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68785" w14:textId="7E99F4CD" w:rsidR="001006BE" w:rsidRPr="007F1B04" w:rsidRDefault="00D47750" w:rsidP="001006BE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Additional file</w:t>
      </w:r>
      <w:bookmarkStart w:id="0" w:name="_GoBack"/>
      <w:bookmarkEnd w:id="0"/>
      <w:r w:rsidR="001006BE" w:rsidRPr="007F1B0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 </w:t>
      </w:r>
      <w:r w:rsidR="00373C8E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4</w:t>
      </w:r>
      <w:r w:rsidR="001006BE" w:rsidRPr="007F1B0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. The Cochrane Collaboration’s tool for assessing risk of bias for </w:t>
      </w:r>
      <w:r w:rsidR="00096A5E" w:rsidRPr="007F1B04">
        <w:rPr>
          <w:rFonts w:ascii="Times New Roman" w:hAnsi="Times New Roman" w:cs="Times New Roman" w:hint="eastAsia"/>
          <w:b/>
          <w:color w:val="000000" w:themeColor="text1"/>
          <w:kern w:val="0"/>
          <w:sz w:val="24"/>
          <w:szCs w:val="24"/>
        </w:rPr>
        <w:t>i</w:t>
      </w:r>
      <w:r w:rsidR="00096A5E" w:rsidRPr="007F1B0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 xml:space="preserve">ncluded </w:t>
      </w:r>
      <w:r w:rsidR="001006BE" w:rsidRPr="007F1B04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randomized controlled trials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2"/>
        <w:gridCol w:w="2771"/>
        <w:gridCol w:w="4763"/>
      </w:tblGrid>
      <w:tr w:rsidR="007F1B04" w:rsidRPr="007F1B04" w14:paraId="2F287A08" w14:textId="77777777" w:rsidTr="002A6CB3">
        <w:trPr>
          <w:trHeight w:val="380"/>
        </w:trPr>
        <w:tc>
          <w:tcPr>
            <w:tcW w:w="1492" w:type="dxa"/>
            <w:vAlign w:val="center"/>
          </w:tcPr>
          <w:p w14:paraId="101C347E" w14:textId="22CBE169" w:rsidR="00506624" w:rsidRPr="007F1B04" w:rsidRDefault="006E3478" w:rsidP="0056115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Author</w:t>
            </w:r>
            <w:r w:rsidR="0056115A" w:rsidRPr="007F1B04">
              <w:rPr>
                <w:rFonts w:ascii="Times New Roman" w:hAnsi="Times New Roman" w:cs="Times New Roman" w:hint="eastAsia"/>
                <w:b/>
                <w:color w:val="000000" w:themeColor="text1"/>
                <w:sz w:val="16"/>
                <w:szCs w:val="16"/>
              </w:rPr>
              <w:t xml:space="preserve"> (year)</w:t>
            </w:r>
          </w:p>
          <w:p w14:paraId="2F287A05" w14:textId="55BC0A0A" w:rsidR="006E3478" w:rsidRPr="007F1B04" w:rsidRDefault="006E3478" w:rsidP="0056115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b/>
                <w:color w:val="000000" w:themeColor="text1"/>
                <w:sz w:val="16"/>
                <w:szCs w:val="16"/>
              </w:rPr>
              <w:t>S</w:t>
            </w:r>
            <w:r w:rsidRPr="007F1B0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tudy name</w:t>
            </w:r>
          </w:p>
        </w:tc>
        <w:tc>
          <w:tcPr>
            <w:tcW w:w="2771" w:type="dxa"/>
            <w:vAlign w:val="center"/>
          </w:tcPr>
          <w:p w14:paraId="2F287A06" w14:textId="77777777" w:rsidR="00506624" w:rsidRPr="007F1B04" w:rsidRDefault="0056115A" w:rsidP="0056115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b/>
                <w:color w:val="000000" w:themeColor="text1"/>
                <w:sz w:val="16"/>
                <w:szCs w:val="16"/>
              </w:rPr>
              <w:t>Domain</w:t>
            </w:r>
          </w:p>
        </w:tc>
        <w:tc>
          <w:tcPr>
            <w:tcW w:w="4763" w:type="dxa"/>
            <w:vAlign w:val="center"/>
          </w:tcPr>
          <w:p w14:paraId="2F287A07" w14:textId="77777777" w:rsidR="00506624" w:rsidRPr="007F1B04" w:rsidRDefault="0056115A" w:rsidP="0056115A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b/>
                <w:color w:val="000000" w:themeColor="text1"/>
                <w:sz w:val="16"/>
                <w:szCs w:val="16"/>
              </w:rPr>
              <w:t>Review author</w:t>
            </w:r>
            <w:r w:rsidRPr="007F1B0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’</w:t>
            </w:r>
            <w:r w:rsidRPr="007F1B04">
              <w:rPr>
                <w:rFonts w:ascii="Times New Roman" w:hAnsi="Times New Roman" w:cs="Times New Roman" w:hint="eastAsia"/>
                <w:b/>
                <w:color w:val="000000" w:themeColor="text1"/>
                <w:sz w:val="16"/>
                <w:szCs w:val="16"/>
              </w:rPr>
              <w:t xml:space="preserve">s assessment and reason for </w:t>
            </w:r>
            <w:r w:rsidRPr="007F1B04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judgment</w:t>
            </w:r>
          </w:p>
        </w:tc>
      </w:tr>
      <w:tr w:rsidR="007F1B04" w:rsidRPr="007F1B04" w14:paraId="2F287A44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2F287A41" w14:textId="0FE9856D" w:rsidR="003E628E" w:rsidRPr="007F1B04" w:rsidRDefault="00096A5E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Aaron et al. (2007)</w:t>
            </w:r>
          </w:p>
        </w:tc>
        <w:tc>
          <w:tcPr>
            <w:tcW w:w="2771" w:type="dxa"/>
            <w:vAlign w:val="center"/>
          </w:tcPr>
          <w:p w14:paraId="2F287A42" w14:textId="77777777" w:rsidR="003E628E" w:rsidRPr="007F1B04" w:rsidRDefault="003E628E" w:rsidP="004674C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2F287A43" w14:textId="34E8AE01" w:rsidR="003E628E" w:rsidRPr="007F1B04" w:rsidRDefault="004A0CE7" w:rsidP="00AD4CCB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</w:t>
            </w:r>
            <w:r w:rsidR="00096A5E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Random sequence was prepared from a computer-generated random listing of the </w:t>
            </w:r>
            <w:r w:rsidR="006D366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three</w:t>
            </w:r>
            <w:r w:rsidR="00096A5E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treatment allocation</w:t>
            </w:r>
            <w:r w:rsidR="006D366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="00096A5E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. </w:t>
            </w:r>
          </w:p>
        </w:tc>
      </w:tr>
      <w:tr w:rsidR="007F1B04" w:rsidRPr="007F1B04" w14:paraId="2F287A4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45" w14:textId="77777777" w:rsidR="003E628E" w:rsidRPr="007F1B04" w:rsidRDefault="003E628E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46" w14:textId="77777777" w:rsidR="003E628E" w:rsidRPr="007F1B04" w:rsidRDefault="003E628E" w:rsidP="004674C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2F287A47" w14:textId="02B4D1E7" w:rsidR="003E628E" w:rsidRPr="007F1B04" w:rsidRDefault="004A0CE7" w:rsidP="004A0CE7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</w:t>
            </w:r>
            <w:r w:rsidR="00EF0DB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Randomization was </w:t>
            </w:r>
            <w:r w:rsidR="006D366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performed using </w:t>
            </w:r>
            <w:r w:rsidR="00EF0DB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central allocation of a randomization schedule and research staff were not aware of the treatment assignment.</w:t>
            </w:r>
          </w:p>
        </w:tc>
      </w:tr>
      <w:tr w:rsidR="007F1B04" w:rsidRPr="007F1B04" w14:paraId="2F287A4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49" w14:textId="77777777" w:rsidR="003E628E" w:rsidRPr="007F1B04" w:rsidRDefault="003E628E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4A" w14:textId="77777777" w:rsidR="003E628E" w:rsidRPr="007F1B04" w:rsidRDefault="003E628E" w:rsidP="004674C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2F287A4B" w14:textId="0A72E811" w:rsidR="003E628E" w:rsidRPr="007F1B04" w:rsidRDefault="00957F62" w:rsidP="006A72EF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</w:t>
            </w:r>
            <w:r w:rsidR="006A72EF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risk of bias. </w:t>
            </w:r>
            <w:r w:rsidR="00096A5E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Neither research staff nor patients were aware of the treatment assignment before or after randomization.</w:t>
            </w:r>
          </w:p>
        </w:tc>
      </w:tr>
      <w:tr w:rsidR="007F1B04" w:rsidRPr="007F1B04" w14:paraId="2F287A50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4D" w14:textId="77777777" w:rsidR="003E628E" w:rsidRPr="007F1B04" w:rsidRDefault="003E628E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4E" w14:textId="77777777" w:rsidR="003E628E" w:rsidRPr="007F1B04" w:rsidRDefault="003E628E" w:rsidP="004674C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2F287A4F" w14:textId="6DE53660" w:rsidR="003E628E" w:rsidRPr="007F1B04" w:rsidRDefault="006A72EF" w:rsidP="00B00A3E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="00E33694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="00E33694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and secondary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were objective findings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EF0DB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acute exacerbation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mortality rate)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it is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judged that the outcome </w:t>
            </w:r>
            <w:r w:rsidR="006D366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not likely to be influenced by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lack of blinding</w:t>
            </w:r>
            <w:r w:rsidR="00EF0DB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of outcome assessment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7F1B04" w:rsidRPr="007F1B04" w14:paraId="2F287A5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51" w14:textId="77777777" w:rsidR="003E628E" w:rsidRPr="007F1B04" w:rsidRDefault="003E628E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52" w14:textId="77777777" w:rsidR="003E628E" w:rsidRPr="007F1B04" w:rsidRDefault="003E628E" w:rsidP="004674C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2F287A53" w14:textId="1F640361" w:rsidR="003E628E" w:rsidRPr="007F1B04" w:rsidRDefault="00E33694" w:rsidP="00E3369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P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atients in both groups were followed </w:t>
            </w:r>
            <w:r w:rsidR="00B97276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all the way through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to the end of the study.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="00EF0DB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As missing data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</w:t>
            </w:r>
            <w:r w:rsidR="00EF0DB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balanced between two arm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="00EF0DB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="00EF0DBA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="00EF0DB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ithdrawal or follow-up loss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in surrogates </w:t>
            </w:r>
            <w:r w:rsidR="00EF0DB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would not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have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influence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our primary and secondary outcomes</w:t>
            </w:r>
            <w:r w:rsidR="00EF0DB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7F1B04" w:rsidRPr="007F1B04" w14:paraId="2F287A5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55" w14:textId="77777777" w:rsidR="003E628E" w:rsidRPr="007F1B04" w:rsidRDefault="003E628E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56" w14:textId="77777777" w:rsidR="003E628E" w:rsidRPr="007F1B04" w:rsidRDefault="003E628E" w:rsidP="004674C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F287A57" w14:textId="0D63E835" w:rsidR="003E628E" w:rsidRPr="007F1B04" w:rsidRDefault="004A0CE7" w:rsidP="004A0CE7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2F287A5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59" w14:textId="77777777" w:rsidR="003E628E" w:rsidRPr="007F1B04" w:rsidRDefault="003E628E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5A" w14:textId="77777777" w:rsidR="003E628E" w:rsidRPr="007F1B04" w:rsidRDefault="003E628E" w:rsidP="004674C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2F287A5B" w14:textId="77777777" w:rsidR="003E628E" w:rsidRPr="007F1B04" w:rsidRDefault="00E33694" w:rsidP="00B00A3E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2F287A60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788DE3BD" w14:textId="77777777" w:rsidR="003E628E" w:rsidRPr="007F1B04" w:rsidRDefault="005E2F0F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A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sai et al. (2013)</w:t>
            </w:r>
          </w:p>
          <w:p w14:paraId="2F287A5D" w14:textId="4DF52BA5" w:rsidR="006E3478" w:rsidRPr="007F1B04" w:rsidRDefault="006E3478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ARISE</w:t>
            </w:r>
          </w:p>
        </w:tc>
        <w:tc>
          <w:tcPr>
            <w:tcW w:w="2771" w:type="dxa"/>
            <w:vAlign w:val="center"/>
          </w:tcPr>
          <w:p w14:paraId="2F287A5E" w14:textId="77777777" w:rsidR="003E628E" w:rsidRPr="007F1B04" w:rsidRDefault="003E628E" w:rsidP="004674C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2F287A5F" w14:textId="407060DA" w:rsidR="003E628E" w:rsidRPr="007F1B04" w:rsidRDefault="005E2F0F" w:rsidP="005E2F0F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Unclear</w:t>
            </w:r>
            <w:r w:rsidR="008A2A23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risk of bias.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random sequence generation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described.</w:t>
            </w:r>
          </w:p>
        </w:tc>
      </w:tr>
      <w:tr w:rsidR="007F1B04" w:rsidRPr="007F1B04" w14:paraId="2F287A6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61" w14:textId="77777777" w:rsidR="003E628E" w:rsidRPr="007F1B04" w:rsidRDefault="003E628E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62" w14:textId="77777777" w:rsidR="003E628E" w:rsidRPr="007F1B04" w:rsidRDefault="003E628E" w:rsidP="004674C4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2F287A63" w14:textId="4CCFEFE0" w:rsidR="003E628E" w:rsidRPr="007F1B04" w:rsidRDefault="008A2A23" w:rsidP="00B00A3E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Unclear risk of bias. The specific method of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llocation concealment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from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participants and medical personnel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was not described.</w:t>
            </w:r>
          </w:p>
        </w:tc>
      </w:tr>
      <w:tr w:rsidR="007F1B04" w:rsidRPr="007F1B04" w14:paraId="2F287A6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65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66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2F287A67" w14:textId="04EDDA1C" w:rsidR="005571E0" w:rsidRPr="007F1B04" w:rsidRDefault="008D26D9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High </w:t>
            </w:r>
            <w:r w:rsidR="005571E0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risk of bias.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Open-label tiotropium hand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haler was used in control arm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placebo use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was not reported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in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either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arm.</w:t>
            </w:r>
          </w:p>
        </w:tc>
      </w:tr>
      <w:tr w:rsidR="007F1B04" w:rsidRPr="007F1B04" w14:paraId="2F287A6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69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6A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2F287A6B" w14:textId="536A26D3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="00E7567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the outcome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was un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likely to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have been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influenced by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lack of blinding.</w:t>
            </w:r>
          </w:p>
        </w:tc>
      </w:tr>
      <w:tr w:rsidR="007F1B04" w:rsidRPr="007F1B04" w14:paraId="2F287A70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6D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6E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2F287A6F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W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ithdrawal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or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follow-up loss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rates in eligible patients were minimal (3%) and almost balanced between the two comparison groups.</w:t>
            </w:r>
          </w:p>
        </w:tc>
      </w:tr>
      <w:tr w:rsidR="007F1B04" w:rsidRPr="007F1B04" w14:paraId="2F287A7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71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72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F287A73" w14:textId="3D0F4231" w:rsidR="005571E0" w:rsidRPr="007F1B04" w:rsidRDefault="001A6985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Unclear</w:t>
            </w:r>
            <w:r w:rsidR="005571E0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risk of bias. A </w:t>
            </w:r>
            <w:r w:rsidR="005571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="00517BA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but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 </w:t>
            </w:r>
            <w:r w:rsidR="00517BA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records showing full data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were </w:t>
            </w:r>
            <w:r w:rsidR="00517BA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available. Only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="00517BA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abstract was found.</w:t>
            </w:r>
          </w:p>
        </w:tc>
      </w:tr>
      <w:tr w:rsidR="007F1B04" w:rsidRPr="007F1B04" w14:paraId="2F287A7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75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76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2F287A77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2F287A7C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5933F98E" w14:textId="77777777" w:rsidR="00430B04" w:rsidRPr="007F1B04" w:rsidRDefault="00430B04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D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ahl et al. (2013)</w:t>
            </w:r>
          </w:p>
          <w:p w14:paraId="2F287A79" w14:textId="5312615C" w:rsidR="006E3478" w:rsidRPr="007F1B04" w:rsidRDefault="006E3478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ENLIGHTEN</w:t>
            </w:r>
          </w:p>
        </w:tc>
        <w:tc>
          <w:tcPr>
            <w:tcW w:w="2771" w:type="dxa"/>
            <w:vAlign w:val="center"/>
          </w:tcPr>
          <w:p w14:paraId="2F287A7A" w14:textId="77777777" w:rsidR="00430B04" w:rsidRPr="007F1B04" w:rsidRDefault="00430B04" w:rsidP="00430B04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2F287A7B" w14:textId="43FC3F41" w:rsidR="00430B04" w:rsidRPr="007F1B04" w:rsidRDefault="00430B04" w:rsidP="00AD4CCB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Unclear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random sequence generation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described.</w:t>
            </w:r>
          </w:p>
        </w:tc>
      </w:tr>
      <w:tr w:rsidR="007F1B04" w:rsidRPr="007F1B04" w14:paraId="2F287A80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7D" w14:textId="77777777" w:rsidR="00430B04" w:rsidRPr="007F1B04" w:rsidRDefault="00430B04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7E" w14:textId="77777777" w:rsidR="00430B04" w:rsidRPr="007F1B04" w:rsidRDefault="00430B04" w:rsidP="00430B04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2F287A7F" w14:textId="0D6B1E28" w:rsidR="00430B04" w:rsidRPr="007F1B04" w:rsidRDefault="00430B04" w:rsidP="00AD4CCB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Unclear risk of bias. The specific method of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llocation concealment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from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participants and medical personnel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was not described.</w:t>
            </w:r>
          </w:p>
        </w:tc>
      </w:tr>
      <w:tr w:rsidR="007F1B04" w:rsidRPr="007F1B04" w14:paraId="2F287A8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81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82" w14:textId="77777777" w:rsidR="005571E0" w:rsidRPr="007F1B04" w:rsidRDefault="005571E0" w:rsidP="005571E0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2F287A83" w14:textId="61709B87" w:rsidR="005571E0" w:rsidRPr="007F1B04" w:rsidRDefault="003722C0" w:rsidP="00AD4CCB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Low risk of bias. Patients in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intervention and control arm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(placebo) used same inhaler device (Breezhaler)</w:t>
            </w:r>
          </w:p>
        </w:tc>
      </w:tr>
      <w:tr w:rsidR="007F1B04" w:rsidRPr="007F1B04" w14:paraId="2F287A8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85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86" w14:textId="77777777" w:rsidR="005571E0" w:rsidRPr="007F1B04" w:rsidRDefault="005571E0" w:rsidP="005571E0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2F287A87" w14:textId="4C041B52" w:rsidR="005571E0" w:rsidRPr="007F1B04" w:rsidRDefault="003722C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="00E7567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the outcome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was un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likely to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have been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influenced by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lack of blinding.</w:t>
            </w:r>
          </w:p>
        </w:tc>
      </w:tr>
      <w:tr w:rsidR="007F1B04" w:rsidRPr="007F1B04" w14:paraId="2F287A8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89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8A" w14:textId="77777777" w:rsidR="005571E0" w:rsidRPr="007F1B04" w:rsidRDefault="005571E0" w:rsidP="005571E0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2F287A8B" w14:textId="2144E87C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</w:t>
            </w:r>
            <w:r w:rsidR="003722C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About 16.5% of randomized patient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="003722C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were </w:t>
            </w:r>
            <w:r w:rsidR="003722C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discontinued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="003722C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but the reason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="003722C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for withdrawal w</w:t>
            </w:r>
            <w:r w:rsidR="00B4380D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ere almost balanced.</w:t>
            </w:r>
          </w:p>
        </w:tc>
      </w:tr>
      <w:tr w:rsidR="007F1B04" w:rsidRPr="007F1B04" w14:paraId="2F287A90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8D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8E" w14:textId="77777777" w:rsidR="005571E0" w:rsidRPr="007F1B04" w:rsidRDefault="005571E0" w:rsidP="005571E0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F287A8F" w14:textId="31F602F5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results were reported in the pre-specified manner.</w:t>
            </w:r>
          </w:p>
        </w:tc>
      </w:tr>
      <w:tr w:rsidR="007F1B04" w:rsidRPr="007F1B04" w14:paraId="2F287A9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91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92" w14:textId="77777777" w:rsidR="005571E0" w:rsidRPr="007F1B04" w:rsidRDefault="005571E0" w:rsidP="005571E0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2F287A93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2F287A98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14A1DDC1" w14:textId="77777777" w:rsidR="005571E0" w:rsidRPr="007F1B04" w:rsidRDefault="00616F3E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Wedzicha et al. (2013)</w:t>
            </w:r>
          </w:p>
          <w:p w14:paraId="2F287A95" w14:textId="325AAF0A" w:rsidR="006E3478" w:rsidRPr="007F1B04" w:rsidRDefault="006E3478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SPARK</w:t>
            </w:r>
          </w:p>
        </w:tc>
        <w:tc>
          <w:tcPr>
            <w:tcW w:w="2771" w:type="dxa"/>
            <w:vAlign w:val="center"/>
          </w:tcPr>
          <w:p w14:paraId="2F287A96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2F287A97" w14:textId="35FEDCB2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</w:t>
            </w:r>
            <w:r w:rsidR="00616F3E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Investigators contacted an interactive voice response system or web system, which generated a randomization number (not communicated to the caller) that linked the patient to a treatment group.</w:t>
            </w:r>
          </w:p>
        </w:tc>
      </w:tr>
      <w:tr w:rsidR="007F1B04" w:rsidRPr="007F1B04" w14:paraId="2F287A9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99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9A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2F287A9B" w14:textId="05D30F4F" w:rsidR="005571E0" w:rsidRPr="007F1B04" w:rsidRDefault="005571E0" w:rsidP="00616F3E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</w:t>
            </w:r>
            <w:r w:rsidR="00616F3E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Patients were randomly allocated to each treatment group. Patients randomly allocated to open-label tiotropium were not assigned a medication number because this treatment was supplied locally.</w:t>
            </w:r>
          </w:p>
        </w:tc>
      </w:tr>
      <w:tr w:rsidR="007F1B04" w:rsidRPr="007F1B04" w14:paraId="2F287AA0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9D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9E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2F287A9F" w14:textId="2D4A4800" w:rsidR="005571E0" w:rsidRPr="007F1B04" w:rsidRDefault="00616F3E" w:rsidP="00AD4CCB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</w:t>
            </w:r>
            <w:r w:rsidR="005571E0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risk of bias. </w:t>
            </w:r>
            <w:r w:rsidR="003D6FF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Patients, investigat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ive</w:t>
            </w:r>
            <w:r w:rsidR="003D6FF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staff, and people performing assessments were masked to treatment (QVA149 or glycopyrronium)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and </w:t>
            </w:r>
            <w:r w:rsidR="003D6FF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from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randomization</w:t>
            </w:r>
            <w:r w:rsidR="003D6FF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until database lock. </w:t>
            </w:r>
            <w:r w:rsidR="007C316C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Although open-label tiotropium was used, </w:t>
            </w:r>
            <w:r w:rsidR="003D6FF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all the double-blind study</w:t>
            </w:r>
            <w:r w:rsidR="007C316C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drugs were identical in</w:t>
            </w:r>
            <w:r w:rsidR="003D6FF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7C316C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packaging, labelling, schedule of administration,</w:t>
            </w:r>
            <w:r w:rsidR="003D6FF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7C316C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appearance, taste, and odor</w:t>
            </w:r>
            <w:r w:rsidR="003D6FF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7F1B04" w:rsidRPr="007F1B04" w14:paraId="2F287AA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A1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A2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2F287AA3" w14:textId="29604619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</w:t>
            </w:r>
            <w:r w:rsidR="00616F3E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Data analysts were masked to treatment (QVA149 or glycopyrronium)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and </w:t>
            </w:r>
            <w:r w:rsidR="00616F3E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from randomization until database lock.</w:t>
            </w:r>
            <w:r w:rsidR="00FA4E6B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Unmasking occurred in the case of emergencies and at 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="00FA4E6B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conclusion of the study.</w:t>
            </w:r>
          </w:p>
        </w:tc>
      </w:tr>
      <w:tr w:rsidR="007F1B04" w:rsidRPr="007F1B04" w14:paraId="2F287AA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A5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A6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2F287AA7" w14:textId="15B8E0F3" w:rsidR="00B4143A" w:rsidRPr="007F1B04" w:rsidRDefault="00B4143A" w:rsidP="00B4143A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U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nclear</w:t>
            </w:r>
            <w:r w:rsidR="005571E0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risk of bias.</w:t>
            </w:r>
            <w:r w:rsidR="005571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Withdrawal rate was 2</w:t>
            </w:r>
            <w:r w:rsidR="007E0179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7E0179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="00721052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%–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 w:rsidR="007E0179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="007E0179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 and relatively even among arms. Primary analysis was done without imputation. Sensitivity analysis according to imputation was done, but imputation method is not clearly described.</w:t>
            </w:r>
          </w:p>
        </w:tc>
      </w:tr>
      <w:tr w:rsidR="007F1B04" w:rsidRPr="007F1B04" w14:paraId="2F287AA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A9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AA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F287AAB" w14:textId="3CB0BD0E" w:rsidR="005571E0" w:rsidRPr="007F1B04" w:rsidRDefault="002A6CB3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2F287AB0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AD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AE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2F287AAF" w14:textId="2A18F15E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. </w:t>
            </w:r>
            <w:r w:rsidR="00CD07DF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T</w:t>
            </w:r>
            <w:r w:rsidR="00CD07D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="00CD07DF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="00CD07D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2F287AB4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2F287AB1" w14:textId="4572D2F0" w:rsidR="005571E0" w:rsidRPr="007F1B04" w:rsidRDefault="00451FF8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Donohue et al (2014)</w:t>
            </w:r>
          </w:p>
        </w:tc>
        <w:tc>
          <w:tcPr>
            <w:tcW w:w="2771" w:type="dxa"/>
            <w:vAlign w:val="center"/>
          </w:tcPr>
          <w:p w14:paraId="2F287AB2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2F287AB3" w14:textId="3C622923" w:rsidR="005571E0" w:rsidRPr="007F1B04" w:rsidRDefault="007A445D" w:rsidP="00AD4CCB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ow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risk of bias. Randomization was carried out by assigning patient identification numbers via an interactive web response system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7F1B04" w:rsidRPr="007F1B04" w14:paraId="2F287AB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B5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B6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2F287AB7" w14:textId="6CDB22BD" w:rsidR="005571E0" w:rsidRPr="007F1B04" w:rsidRDefault="00F1750A" w:rsidP="00AD4CCB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</w:t>
            </w:r>
            <w:r w:rsidR="007A445D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risk of bias.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Although t</w:t>
            </w:r>
            <w:r w:rsidR="007A445D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he specific method of a</w:t>
            </w:r>
            <w:r w:rsidR="007A445D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llocation concealment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from </w:t>
            </w:r>
            <w:r w:rsidR="007A445D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participants and medical personnel </w:t>
            </w:r>
            <w:r w:rsidR="007A445D"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was not described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researchers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stated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that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randomization was conducted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using an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interactive web response system, in which unblinding was only allowed in emergenc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ies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7F1B04" w:rsidRPr="007F1B04" w14:paraId="2F287AB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B9" w14:textId="77777777" w:rsidR="005571E0" w:rsidRPr="007F1B04" w:rsidRDefault="005571E0" w:rsidP="00DB25AB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BA" w14:textId="77777777" w:rsidR="005571E0" w:rsidRPr="007F1B04" w:rsidRDefault="005571E0" w:rsidP="005571E0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2F287ABB" w14:textId="37AD013E" w:rsidR="005571E0" w:rsidRPr="007F1B04" w:rsidRDefault="0018433A" w:rsidP="00AD4CCB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</w:t>
            </w:r>
            <w:r w:rsidR="00F1750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Each group used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</w:t>
            </w:r>
            <w:r w:rsidR="00F1750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same inhalers in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="00F1750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same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manner</w:t>
            </w:r>
            <w:r w:rsidR="00F1750A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7F1B04" w:rsidRPr="007F1B04" w14:paraId="2F287AC0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BD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BE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2F287ABF" w14:textId="0B9AF0EA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the outcome was unlikely to have been influenced by the lack of blinding.</w:t>
            </w:r>
          </w:p>
        </w:tc>
      </w:tr>
      <w:tr w:rsidR="007F1B04" w:rsidRPr="007F1B04" w14:paraId="2F287AC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C1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C2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2F287AC3" w14:textId="5F1F2AE4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Withdrawal rate was 36.7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-41.4%, but relatively even among arms. As our study extracted data from intention-to-treat participants, there was no impact on our outcomes.</w:t>
            </w:r>
          </w:p>
        </w:tc>
      </w:tr>
      <w:tr w:rsidR="007F1B04" w:rsidRPr="007F1B04" w14:paraId="2F287AC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C5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C6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F287AC7" w14:textId="03FF2541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Low risk of bias.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described.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lthough there were additional post-hoc analys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 of adverse events,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authors clearly described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these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 the article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adverse events were not our analysis target.</w:t>
            </w:r>
          </w:p>
        </w:tc>
      </w:tr>
      <w:tr w:rsidR="007F1B04" w:rsidRPr="007F1B04" w14:paraId="2F287AC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C9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CA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2F287ACB" w14:textId="1BEF12FB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2F287AD1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069F7CD1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Buhl et al. (2015)</w:t>
            </w:r>
          </w:p>
          <w:p w14:paraId="2F287ACE" w14:textId="0B5B3479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T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ONADO I</w:t>
            </w:r>
          </w:p>
        </w:tc>
        <w:tc>
          <w:tcPr>
            <w:tcW w:w="2771" w:type="dxa"/>
            <w:vAlign w:val="center"/>
          </w:tcPr>
          <w:p w14:paraId="2F287ACF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2F287AD0" w14:textId="3B634AC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Treatment was assigned via an interactive voice response system / interactive web response system.</w:t>
            </w:r>
          </w:p>
        </w:tc>
      </w:tr>
      <w:tr w:rsidR="007F1B04" w:rsidRPr="007F1B04" w14:paraId="2F287AD5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D2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D3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2F287AD4" w14:textId="4B7240FC" w:rsidR="002A6CB3" w:rsidRPr="007F1B04" w:rsidRDefault="00367D0F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bias. Although t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he specific method of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llocation concealment from participants and medical personnel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was not described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researchers stated that the randomization was conducted using an interactive web response system, in which unblinding was only allowed in emergencies.</w:t>
            </w:r>
          </w:p>
        </w:tc>
      </w:tr>
      <w:tr w:rsidR="007F1B04" w:rsidRPr="007F1B04" w14:paraId="2F287AD9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D6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D7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2F287AD8" w14:textId="6D39CCA5" w:rsidR="002A6CB3" w:rsidRPr="007F1B04" w:rsidRDefault="00367D0F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Each group used the same inhalers in the same manner.</w:t>
            </w:r>
          </w:p>
        </w:tc>
      </w:tr>
      <w:tr w:rsidR="007F1B04" w:rsidRPr="007F1B04" w14:paraId="2F287ADD" w14:textId="77777777" w:rsidTr="002A6CB3">
        <w:trPr>
          <w:trHeight w:val="161"/>
        </w:trPr>
        <w:tc>
          <w:tcPr>
            <w:tcW w:w="1492" w:type="dxa"/>
            <w:vMerge/>
            <w:vAlign w:val="center"/>
          </w:tcPr>
          <w:p w14:paraId="2F287ADA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DB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2F287ADC" w14:textId="7471D874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bias. An independent data monitoring committee regularly reviewed unblinded safety data.</w:t>
            </w:r>
          </w:p>
        </w:tc>
      </w:tr>
      <w:tr w:rsidR="007F1B04" w:rsidRPr="007F1B04" w14:paraId="2F287AE1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DE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DF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2F287AE0" w14:textId="3B22B00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Withdrawal rate was 13.8% and relatively even among arms. As our study extracted data from intention-to-treat participants, there was no impact on our outcomes.</w:t>
            </w:r>
          </w:p>
        </w:tc>
      </w:tr>
      <w:tr w:rsidR="007F1B04" w:rsidRPr="007F1B04" w14:paraId="2F287AE5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E2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E3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F287AE4" w14:textId="26F59505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2F287AE9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E6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E7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2F287AE8" w14:textId="29ABC512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2F287AEE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45268F97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Buhl et al. (2015)</w:t>
            </w:r>
          </w:p>
          <w:p w14:paraId="2F287AEB" w14:textId="2CF20F01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T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ONADO II</w:t>
            </w:r>
          </w:p>
        </w:tc>
        <w:tc>
          <w:tcPr>
            <w:tcW w:w="2771" w:type="dxa"/>
            <w:vAlign w:val="center"/>
          </w:tcPr>
          <w:p w14:paraId="2F287AEC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2F287AED" w14:textId="4DCB9D8C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Treatment was assigned via an interactive voice response system / interactive web response system.</w:t>
            </w:r>
          </w:p>
        </w:tc>
      </w:tr>
      <w:tr w:rsidR="007F1B04" w:rsidRPr="007F1B04" w14:paraId="2F287AF2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EF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F0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2F287AF1" w14:textId="0E6B17AA" w:rsidR="002A6CB3" w:rsidRPr="007F1B04" w:rsidRDefault="00367D0F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bias. Although t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he specific method of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llocation concealment from participants and medical personnel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was not described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researchers stated that the randomization was conducted using an interactive web response system, in which unblinding was only allowed in emergencies.</w:t>
            </w:r>
          </w:p>
        </w:tc>
      </w:tr>
      <w:tr w:rsidR="007F1B04" w:rsidRPr="007F1B04" w14:paraId="2F287AF6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F3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F4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2F287AF5" w14:textId="30D71342" w:rsidR="002A6CB3" w:rsidRPr="007F1B04" w:rsidRDefault="00367D0F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Each group used the same inhalers in the same manner.</w:t>
            </w:r>
          </w:p>
        </w:tc>
      </w:tr>
      <w:tr w:rsidR="007F1B04" w:rsidRPr="007F1B04" w14:paraId="2F287AFA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F7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F8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2F287AF9" w14:textId="2F59B9D2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bias. An independent data monitoring committee regularly reviewed unblinded safety data.</w:t>
            </w:r>
          </w:p>
        </w:tc>
      </w:tr>
      <w:tr w:rsidR="007F1B04" w:rsidRPr="007F1B04" w14:paraId="2F287AFE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FB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AFC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2F287AFD" w14:textId="460AA15E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w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ithdrawal rate was 13.8% and relatively even among arms. As our study extracted data from intention-to-treat participants, there was no impact on our outcomes.</w:t>
            </w:r>
          </w:p>
        </w:tc>
      </w:tr>
      <w:tr w:rsidR="007F1B04" w:rsidRPr="007F1B04" w14:paraId="2F287B02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AFF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B00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F287B01" w14:textId="1AF3C08A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2F287B06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F287B03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287B04" w14:textId="777777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2F287B05" w14:textId="061273C2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6FB0FA54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3FB6100D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Larbig et al. (2015)</w:t>
            </w:r>
          </w:p>
          <w:p w14:paraId="14595B70" w14:textId="01F0EC92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R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ADIATE</w:t>
            </w:r>
          </w:p>
        </w:tc>
        <w:tc>
          <w:tcPr>
            <w:tcW w:w="2771" w:type="dxa"/>
            <w:vAlign w:val="center"/>
          </w:tcPr>
          <w:p w14:paraId="4315A430" w14:textId="6093AD1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3048B0BC" w14:textId="5DFC2B0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Unclear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risk of bias.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both 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abstract and clinicaltrial.gov, t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random sequence generation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described.</w:t>
            </w:r>
          </w:p>
        </w:tc>
      </w:tr>
      <w:tr w:rsidR="007F1B04" w:rsidRPr="007F1B04" w14:paraId="70742696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73806724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001CF62" w14:textId="1C640B0C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007DAD76" w14:textId="142E3D5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Unclear risk of bias.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both 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abstract and clinicaltrial.gov, t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he specific method of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llocation concealment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from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participants and medical personnel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was not described.</w:t>
            </w:r>
          </w:p>
        </w:tc>
      </w:tr>
      <w:tr w:rsidR="007F1B04" w:rsidRPr="007F1B04" w14:paraId="22B23D62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32F93477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D5E94DF" w14:textId="45088DF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5081E81B" w14:textId="56252A8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Unclear risk of bias.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both 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abstract and clinicaltrial.gov, t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he specific method of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participants and medical personnel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was not described.</w:t>
            </w:r>
          </w:p>
        </w:tc>
      </w:tr>
      <w:tr w:rsidR="007F1B04" w:rsidRPr="007F1B04" w14:paraId="2BDA08B6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AE9AFD2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20ACF3F" w14:textId="743B4F4A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53BD9A6C" w14:textId="205A0263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the outcome was unlikely to have been influenced by the lack of blinding.</w:t>
            </w:r>
          </w:p>
        </w:tc>
      </w:tr>
      <w:tr w:rsidR="007F1B04" w:rsidRPr="007F1B04" w14:paraId="0B880B5F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668D0209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A93FDE4" w14:textId="225DAED0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2A7FFFE0" w14:textId="1D98DC71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number of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participants withdrawn after randomization was not described in </w:t>
            </w:r>
            <w:r w:rsidR="00C952D4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either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abstract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or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clinicaltrial.gov. However, as we extracted data from intention-to-treat participants, there was no influence on our meta-analysis.</w:t>
            </w:r>
          </w:p>
        </w:tc>
      </w:tr>
      <w:tr w:rsidR="007F1B04" w:rsidRPr="007F1B04" w14:paraId="56A2F273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7D28EA90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5BB9937" w14:textId="7F082EC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8F1930C" w14:textId="2A11F5DC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Unclear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pre-existing protocol was described, but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no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records showing full data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were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available. Only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abstract was found.</w:t>
            </w:r>
          </w:p>
        </w:tc>
      </w:tr>
      <w:tr w:rsidR="007F1B04" w:rsidRPr="007F1B04" w14:paraId="3F55439A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443BFD5E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C73E5F3" w14:textId="77F8C5D0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15497D36" w14:textId="28115D9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47E7A3C0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450F539F" w14:textId="1AAF80DD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Donohue et al. (2016)</w:t>
            </w:r>
          </w:p>
        </w:tc>
        <w:tc>
          <w:tcPr>
            <w:tcW w:w="2771" w:type="dxa"/>
            <w:vAlign w:val="center"/>
          </w:tcPr>
          <w:p w14:paraId="7807CB15" w14:textId="1DC9BE44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5E06DA0A" w14:textId="3A291EBA" w:rsidR="002A6CB3" w:rsidRPr="007F1B04" w:rsidRDefault="00367D0F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ow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risk of bias. Randomization was carried out by assigning patient identification numbers via an interactive web response system.</w:t>
            </w:r>
          </w:p>
        </w:tc>
      </w:tr>
      <w:tr w:rsidR="007F1B04" w:rsidRPr="007F1B04" w14:paraId="64AB6F09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1C81C8BB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9FE6874" w14:textId="5F94FA5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6FF9FEA8" w14:textId="2DCE4401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An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interactive web response system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is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typically used to maintain allocation concealment by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having a third party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conduct randomization. As this study used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interactive web response system for randomization, allocation concealment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conducted properly.</w:t>
            </w:r>
          </w:p>
        </w:tc>
      </w:tr>
      <w:tr w:rsidR="007F1B04" w:rsidRPr="007F1B04" w14:paraId="0147BA4D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1FCF9DCA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AE508F9" w14:textId="71559C72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3F963A4F" w14:textId="5409CDB2" w:rsidR="002A6CB3" w:rsidRPr="007F1B04" w:rsidRDefault="00367D0F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Each group used the same inhalers in the same manner.</w:t>
            </w:r>
          </w:p>
        </w:tc>
      </w:tr>
      <w:tr w:rsidR="007F1B04" w:rsidRPr="007F1B04" w14:paraId="3A0AE8F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37C2C808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680AD41" w14:textId="7C5FB95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51836D74" w14:textId="66518CEA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the outcome was unlikely to have been influenced by the lack of blinding.</w:t>
            </w:r>
          </w:p>
        </w:tc>
      </w:tr>
      <w:tr w:rsidR="007F1B04" w:rsidRPr="007F1B04" w14:paraId="6D7DCC23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4F98F053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94885C1" w14:textId="7F576A5E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2E4022A4" w14:textId="6023E5E1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Withdrawal rate was 32.4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%–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32.8%, but relatively even among arms. As our study extracted data from intention-to-treat participants, there was no impact on our outcomes.</w:t>
            </w:r>
          </w:p>
        </w:tc>
      </w:tr>
      <w:tr w:rsidR="007F1B04" w:rsidRPr="007F1B04" w14:paraId="59FB9430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0E0D3D66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CF92E13" w14:textId="579897E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6E695555" w14:textId="38675789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30D81457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370EE73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E7872AA" w14:textId="14084739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2DD3C923" w14:textId="19E63109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0E26D6FC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382AFF6D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Ferguson et al. (2016)</w:t>
            </w:r>
          </w:p>
          <w:p w14:paraId="6C91122A" w14:textId="691CA459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F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LIGHT3</w:t>
            </w:r>
          </w:p>
        </w:tc>
        <w:tc>
          <w:tcPr>
            <w:tcW w:w="2771" w:type="dxa"/>
            <w:vAlign w:val="center"/>
          </w:tcPr>
          <w:p w14:paraId="1472B6D1" w14:textId="0330E30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0FDC3696" w14:textId="6F95E321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All eligible patients were randomized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using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interactive response technology to one of the treatment groups. </w:t>
            </w:r>
          </w:p>
        </w:tc>
      </w:tr>
      <w:tr w:rsidR="007F1B04" w:rsidRPr="007F1B04" w14:paraId="536D5E69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031247C2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F579884" w14:textId="05836595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0E830542" w14:textId="22D91862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Interactive response technology </w:t>
            </w:r>
            <w:r w:rsidR="00367D0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is typically used to maintain allocation concealment by having a third party conduct randomization. As this study used an interactive web response system for randomization, allocation concealment was conducted properly.</w:t>
            </w:r>
          </w:p>
        </w:tc>
      </w:tr>
      <w:tr w:rsidR="007F1B04" w:rsidRPr="007F1B04" w14:paraId="71FC85F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5CBCD25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689C69B" w14:textId="1CDCC24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3E94EAB2" w14:textId="742CE63C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Patients were instructed to take </w:t>
            </w:r>
            <w:r w:rsidR="005F263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one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capsule each morning and </w:t>
            </w:r>
            <w:r w:rsidR="005F263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one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 the evening. Each group used </w:t>
            </w:r>
            <w:r w:rsidR="005F263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same inhalers in </w:t>
            </w:r>
            <w:r w:rsidR="005F263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same manner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7F1B04" w:rsidRPr="007F1B04" w14:paraId="51B1EC6A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7FABD2EE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DC7E6DF" w14:textId="5C15CA4A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78F1074C" w14:textId="192F87E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the outcome was unlikely to have been influenced by the lack of blinding.</w:t>
            </w:r>
          </w:p>
        </w:tc>
      </w:tr>
      <w:tr w:rsidR="007F1B04" w:rsidRPr="007F1B04" w14:paraId="5ADF5AE7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31C77773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C3E418E" w14:textId="4AFE65CA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0B65C911" w14:textId="05734BC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Withdrawal rate was 8.3</w:t>
            </w:r>
            <w:r w:rsidR="005F2631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%–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13.2%, and relatively even among arms. As our study extracted data from intention-to-treat participants, there was no impact on our outcomes.</w:t>
            </w:r>
          </w:p>
        </w:tc>
      </w:tr>
      <w:tr w:rsidR="007F1B04" w:rsidRPr="007F1B04" w14:paraId="663468B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45AF45EE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01A9885" w14:textId="1C93E3EE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475A1715" w14:textId="748E641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57D84AED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03A1A6B3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B84C451" w14:textId="709BEA5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5F6C4678" w14:textId="1434F0C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5BBACF3C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5AF4BCB9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Wedzicha et al. (2016)</w:t>
            </w:r>
          </w:p>
          <w:p w14:paraId="40EA5E41" w14:textId="45A957ED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F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LAME</w:t>
            </w:r>
          </w:p>
        </w:tc>
        <w:tc>
          <w:tcPr>
            <w:tcW w:w="2771" w:type="dxa"/>
            <w:vAlign w:val="center"/>
          </w:tcPr>
          <w:p w14:paraId="7A2ECB03" w14:textId="287AE7E0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702F2567" w14:textId="764D438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</w:t>
            </w:r>
            <w:r w:rsidR="00D72A6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nteractive response technology assigned</w:t>
            </w:r>
            <w:r w:rsidR="00D72A6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each patient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 randomization number, which was used to link the patient to a treatment arm and specified a unique medication number for the first package of investigational treatment to be dispensed to the patient.</w:t>
            </w:r>
          </w:p>
        </w:tc>
      </w:tr>
      <w:tr w:rsidR="007F1B04" w:rsidRPr="007F1B04" w14:paraId="012ECC1B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8AD2384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53835F4" w14:textId="0E1E3A0B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287A918E" w14:textId="3B11F1F5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bias. Investigational treatment identity was concealed using identical packaging, labeling, schedule of administration, and appearance.</w:t>
            </w:r>
          </w:p>
        </w:tc>
      </w:tr>
      <w:tr w:rsidR="007F1B04" w:rsidRPr="007F1B04" w14:paraId="5CF9485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7B58E146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BC746D9" w14:textId="38A57E4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46F5C0FB" w14:textId="5B652F0A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bias. Patients, investigator staff, persons performing the assessments, and data analysts remained blind to the identity of the treatment from randomization until database lock.</w:t>
            </w:r>
          </w:p>
        </w:tc>
      </w:tr>
      <w:tr w:rsidR="007F1B04" w:rsidRPr="007F1B04" w14:paraId="3BCFFAD6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6258B4FA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0023BB55" w14:textId="3FEA522B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75D65D8E" w14:textId="41CFC92A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Randomization data were kept strictly confidential until unblinding, and were inaccessible to anyone involved in the study </w:t>
            </w:r>
          </w:p>
        </w:tc>
      </w:tr>
      <w:tr w:rsidR="007F1B04" w:rsidRPr="007F1B04" w14:paraId="7D58F16D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34D6BB56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CDD92AF" w14:textId="1B5F1670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4B50FF24" w14:textId="0D256C24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More than 99.7% of patients were included for intention-to-treat analysis.</w:t>
            </w:r>
          </w:p>
        </w:tc>
      </w:tr>
      <w:tr w:rsidR="007F1B04" w:rsidRPr="007F1B04" w14:paraId="3DFEDBD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5832CB45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FAD0CD4" w14:textId="29EC7FDC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1CD1F709" w14:textId="66AF1C21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prospectively registered and well reported with additional online supplemental material.</w:t>
            </w:r>
          </w:p>
        </w:tc>
      </w:tr>
      <w:tr w:rsidR="007F1B04" w:rsidRPr="007F1B04" w14:paraId="6F77916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75441965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08F3F89" w14:textId="70F1E519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228550C0" w14:textId="529F3992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2E23CA29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13FEE68D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D'Urzo et al. (2017)</w:t>
            </w:r>
          </w:p>
          <w:p w14:paraId="591199A5" w14:textId="1D6B8543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A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UGMENT</w:t>
            </w:r>
          </w:p>
        </w:tc>
        <w:tc>
          <w:tcPr>
            <w:tcW w:w="2771" w:type="dxa"/>
            <w:vAlign w:val="center"/>
          </w:tcPr>
          <w:p w14:paraId="13403393" w14:textId="64747249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21073FB5" w14:textId="6FB2548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Low risk of bias. A list of patient randomization codes was generated 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using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statistical programming at Forest Research Institute.</w:t>
            </w:r>
          </w:p>
        </w:tc>
      </w:tr>
      <w:tr w:rsidR="007F1B04" w:rsidRPr="007F1B04" w14:paraId="79CD9A0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E0F64B5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F97371E" w14:textId="6251568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072A38B1" w14:textId="0D37C685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Low risk of bias. As allocation was implemented using an interactive web response system, allocation concealment 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was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conducted properly.</w:t>
            </w:r>
          </w:p>
        </w:tc>
      </w:tr>
      <w:tr w:rsidR="007F1B04" w:rsidRPr="007F1B04" w14:paraId="644BEDC0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5F9A82BD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5966D18" w14:textId="6571441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497AC115" w14:textId="2F78106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All inhalers were identical from an external perspective and the only difference between</w:t>
            </w:r>
          </w:p>
          <w:p w14:paraId="36E402CB" w14:textId="6EB4F973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them was that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placebo did not contain active ingredient.</w:t>
            </w:r>
          </w:p>
        </w:tc>
      </w:tr>
      <w:tr w:rsidR="007F1B04" w:rsidRPr="007F1B04" w14:paraId="3A6D1857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4FECCDF1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AA585AB" w14:textId="454F3340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4B05D945" w14:textId="3B39E2A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the outcome was unlikely to have been influenced by the lack of blinding.</w:t>
            </w:r>
          </w:p>
        </w:tc>
      </w:tr>
      <w:tr w:rsidR="007F1B04" w:rsidRPr="007F1B04" w14:paraId="00456DE2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064B8725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A8C3923" w14:textId="0A6DFDD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1078AB04" w14:textId="3EF46C53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igh risk of bias. There was a significant 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amount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of incomplete outcome data. Among the 1322 participants who completed 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lead-in study, 921 were enrolled for 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extension study. There was no information about the missing participants from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lead-in study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F1B04" w:rsidRPr="007F1B04" w14:paraId="3AAB81CA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029517C6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CBDC1E7" w14:textId="38B0B212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06C47AE6" w14:textId="669A825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5865D137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609EF55D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D37E42D" w14:textId="6DAC2B83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743961B2" w14:textId="116F4FB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igh risk of bias. The study design was defective in that it was not originally planned for 52 weeks. 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ead-in study was conducted for 24 weeks and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further extension study for 28 weeks.</w:t>
            </w:r>
          </w:p>
        </w:tc>
      </w:tr>
      <w:tr w:rsidR="007F1B04" w:rsidRPr="007F1B04" w14:paraId="494466F2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408865F7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Hanania et al. (2017)</w:t>
            </w:r>
          </w:p>
          <w:p w14:paraId="55180604" w14:textId="2ED0396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P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INNACLE-3</w:t>
            </w:r>
          </w:p>
        </w:tc>
        <w:tc>
          <w:tcPr>
            <w:tcW w:w="2771" w:type="dxa"/>
            <w:vAlign w:val="center"/>
          </w:tcPr>
          <w:p w14:paraId="15ABBBE5" w14:textId="010E2BAB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7853FE01" w14:textId="3F4A0DD1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Study participants were randomly assigned for double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blinded treatment 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using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centralized interactive web response system</w:t>
            </w:r>
            <w:r w:rsidR="00EF7545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</w:tr>
      <w:tr w:rsidR="007F1B04" w:rsidRPr="007F1B04" w14:paraId="7A602F66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602E320C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742D1EB" w14:textId="17ADE1F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097C233A" w14:textId="79B9AFC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Interactive response technology is typically used to maintain allocation concealment by conducting randomization by a third party. As this study used interactive web response system for randomization, allocation concealment is considered conducted properly.</w:t>
            </w:r>
          </w:p>
        </w:tc>
      </w:tr>
      <w:tr w:rsidR="007F1B04" w:rsidRPr="007F1B04" w14:paraId="56257AAB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57075942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FF826E5" w14:textId="04C285F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7DF90AEF" w14:textId="789887E9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igh risk of bias. This study used open-label tiotropium. Performance bias cannot be excluded.</w:t>
            </w:r>
          </w:p>
        </w:tc>
      </w:tr>
      <w:tr w:rsidR="007F1B04" w:rsidRPr="007F1B04" w14:paraId="39F12841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76DFD818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04721918" w14:textId="359A33C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28395150" w14:textId="6DAC2A3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the outcome was unlikely to have been influenced by the lack of blinding.</w:t>
            </w:r>
          </w:p>
        </w:tc>
      </w:tr>
      <w:tr w:rsidR="007F1B04" w:rsidRPr="007F1B04" w14:paraId="0B284022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73A2164F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C3EC697" w14:textId="77C12FB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7F556C4A" w14:textId="643599A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igh risk of bias. There was a significant </w:t>
            </w:r>
            <w:r w:rsidR="003A36A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amount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incomplete outcome data. Among the 2678 participants who completed</w:t>
            </w:r>
            <w:r w:rsidR="003A36A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PINNACLE-1 and -2 stud</w:t>
            </w:r>
            <w:r w:rsidR="003A36A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ies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, 892 were enrolled </w:t>
            </w:r>
            <w:r w:rsidR="003A36A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 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extension study. Subjects receiving placebo MDI were not included </w:t>
            </w:r>
            <w:r w:rsidR="003A36A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in 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PINNACLE-3 study. Otherwise, there was no information about the missing participants from </w:t>
            </w:r>
            <w:r w:rsidR="003A36A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PINNACLE-1 and -2 study</w:t>
            </w:r>
            <w:r w:rsidR="003A36AF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F1B04" w:rsidRPr="007F1B04" w14:paraId="6D11C5B5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2310589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DAE208D" w14:textId="4950A6D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C239B83" w14:textId="23C5C3E9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75BE3E25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5DDA97C7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5FDA435" w14:textId="361E8AC2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0E9142D9" w14:textId="1C780D9B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igh risk of bias. The study design was defective in that it was not originally planned for 52 weeks. PINNACLE-3 was a 28-week extension study of PINNACLE-1 and -2, the two pivotal 24-week studies.</w:t>
            </w:r>
          </w:p>
        </w:tc>
      </w:tr>
      <w:tr w:rsidR="007F1B04" w:rsidRPr="007F1B04" w14:paraId="5277C63A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180CA5E6" w14:textId="577A2D82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Ichinose et al. (2017)</w:t>
            </w:r>
          </w:p>
        </w:tc>
        <w:tc>
          <w:tcPr>
            <w:tcW w:w="2771" w:type="dxa"/>
            <w:vAlign w:val="center"/>
          </w:tcPr>
          <w:p w14:paraId="38452D1D" w14:textId="662DC6DB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50E09317" w14:textId="5F1B95D5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The randomization list was generated using a validated system, which involved a pseudo-random number generator.</w:t>
            </w:r>
          </w:p>
        </w:tc>
      </w:tr>
      <w:tr w:rsidR="007F1B04" w:rsidRPr="007F1B04" w14:paraId="5FFC683E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57FC75FC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0B47395D" w14:textId="0532B5B9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46705F14" w14:textId="5328F84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Randomization to treatment was performed by a third party using an interactive voice/web-based response system, with medication boxes assigned to patients according to the unique number they were allocated.</w:t>
            </w:r>
          </w:p>
        </w:tc>
      </w:tr>
      <w:tr w:rsidR="007F1B04" w:rsidRPr="007F1B04" w14:paraId="51158763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7137F487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0AACCF5D" w14:textId="05723ED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229BE10D" w14:textId="5C8D79C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Each group used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same inhalers in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same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manner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(Respimat inhaler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;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2 puffs every morning).</w:t>
            </w:r>
          </w:p>
        </w:tc>
      </w:tr>
      <w:tr w:rsidR="007F1B04" w:rsidRPr="007F1B04" w14:paraId="370A278F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41F7CEBC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AC2E01B" w14:textId="0AE1A6A2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011C5589" w14:textId="2BC8BC5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the outcome was unlikely to have been influenced by the lack of blinding.</w:t>
            </w:r>
          </w:p>
        </w:tc>
      </w:tr>
      <w:tr w:rsidR="007F1B04" w:rsidRPr="007F1B04" w14:paraId="01470920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1B9C7B09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D28BE4B" w14:textId="0DC2573E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7F191BA8" w14:textId="7480031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w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ithdrawal rate was 4.5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%–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19.5%, and different among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arms. Most differences occurred in acute exacerbation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of COPD, which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were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all included in the intention-to-treat analysis.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For that reason, different withdrawal rate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had no impact on our outcomes.</w:t>
            </w:r>
          </w:p>
        </w:tc>
      </w:tr>
      <w:tr w:rsidR="007F1B04" w:rsidRPr="007F1B04" w14:paraId="795A9F7F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1D35C54D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2DEE90D" w14:textId="73999673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C9F610B" w14:textId="51E11F65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4D92D54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4A5D20C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0877DED2" w14:textId="662DAB11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79ABC433" w14:textId="2C291F2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59B01998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47A954B4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Calverley et al. (2018)</w:t>
            </w:r>
          </w:p>
          <w:p w14:paraId="150D15A2" w14:textId="58E317C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D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YNAGITO</w:t>
            </w:r>
          </w:p>
        </w:tc>
        <w:tc>
          <w:tcPr>
            <w:tcW w:w="2771" w:type="dxa"/>
            <w:vAlign w:val="center"/>
          </w:tcPr>
          <w:p w14:paraId="32039F99" w14:textId="01089D9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500E8FD1" w14:textId="447E35B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 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andom sequence was generated using validated randomization software by Boehringer Ingelheim.</w:t>
            </w:r>
          </w:p>
        </w:tc>
      </w:tr>
      <w:tr w:rsidR="007F1B04" w:rsidRPr="007F1B04" w14:paraId="06A43C42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53D2BFCC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714DE4F" w14:textId="429291B5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56A15770" w14:textId="0E06C5A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An interactive response technology system was used for allocation concealment of trial medication.</w:t>
            </w:r>
          </w:p>
        </w:tc>
      </w:tr>
      <w:tr w:rsidR="007F1B04" w:rsidRPr="007F1B04" w14:paraId="4CDD8DA4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65A857E9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06417EBC" w14:textId="0BEC9D2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19A793CB" w14:textId="38DF8705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Treatment was masked to patients and investigators, because treatments were delivered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using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identical Respimat devices.</w:t>
            </w:r>
          </w:p>
        </w:tc>
      </w:tr>
      <w:tr w:rsidR="007F1B04" w:rsidRPr="007F1B04" w14:paraId="4E031BC3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6A8F9D93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229CF7CE" w14:textId="0F55C2A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7ADB66C9" w14:textId="67A7AF7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By using identical Respimat devices, everyone involved in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analyzing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 trial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d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ata were blinded to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outcome assessment.</w:t>
            </w:r>
          </w:p>
        </w:tc>
      </w:tr>
      <w:tr w:rsidR="007F1B04" w:rsidRPr="007F1B04" w14:paraId="31F2C4BD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684CF3A9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B2C82D8" w14:textId="68194034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25A47A41" w14:textId="4415D22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Low risk of bias.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w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ithdrawal rate was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2.4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%–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16.5% and relatively even among arms. As our study extracted data from intention-to-treat participants, there was no impact on our outcomes.</w:t>
            </w:r>
          </w:p>
        </w:tc>
      </w:tr>
      <w:tr w:rsidR="007F1B04" w:rsidRPr="007F1B04" w14:paraId="3C36579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4972582F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2ADCE87" w14:textId="2BC10C4B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20D8E783" w14:textId="02B6EA5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604D9D71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0BCB353E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0DC648E5" w14:textId="28016753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0AE7239B" w14:textId="7E7DF8C2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491243C9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18F43102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Lipson et al. (2018)</w:t>
            </w:r>
          </w:p>
          <w:p w14:paraId="1C9DD15E" w14:textId="17A3DDB3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I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MPACT</w:t>
            </w:r>
          </w:p>
        </w:tc>
        <w:tc>
          <w:tcPr>
            <w:tcW w:w="2771" w:type="dxa"/>
            <w:vAlign w:val="center"/>
          </w:tcPr>
          <w:p w14:paraId="6D75CA67" w14:textId="58E598F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5AE2C7A7" w14:textId="3E49F8BB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randomization code was generated using a validated computerized system.</w:t>
            </w:r>
          </w:p>
        </w:tc>
      </w:tr>
      <w:tr w:rsidR="007F1B04" w:rsidRPr="007F1B04" w14:paraId="5C7BB562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5CBF41FF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053B485" w14:textId="7B2A364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164126D7" w14:textId="72A569C3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The study used site-based randomization to allocate treatments using an interactive voice response system to maintain allocation concealment.</w:t>
            </w:r>
          </w:p>
        </w:tc>
      </w:tr>
      <w:tr w:rsidR="007F1B04" w:rsidRPr="007F1B04" w14:paraId="6AF2A7AD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10EA620C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0AC019FD" w14:textId="1D727B33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06B1B829" w14:textId="4E7A481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As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the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supplied DPIs were identical in appearance, neither the subject nor the investigator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knew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which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one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subject was receiving.</w:t>
            </w:r>
          </w:p>
        </w:tc>
      </w:tr>
      <w:tr w:rsidR="007F1B04" w:rsidRPr="007F1B04" w14:paraId="147AA22F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7A178D2F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74902F4B" w14:textId="4BED08C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5A734DC0" w14:textId="43AAA8FB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the outcome was unlikely to have been influenced by the lack of blinding.</w:t>
            </w:r>
          </w:p>
        </w:tc>
      </w:tr>
      <w:tr w:rsidR="007F1B04" w:rsidRPr="007F1B04" w14:paraId="029B5236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3FAC99F9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B9BC870" w14:textId="5F777FEE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02654882" w14:textId="2F0C1F6E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bias.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The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ithdrawal rate was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%–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25% and relatively even among arms. As our study extracted data from intention-to-treat participants, there was no impact on our outcomes.</w:t>
            </w:r>
          </w:p>
        </w:tc>
      </w:tr>
      <w:tr w:rsidR="007F1B04" w:rsidRPr="007F1B04" w14:paraId="7B62156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1BAD90D4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C99C9C2" w14:textId="0673B70A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62DE0B3D" w14:textId="0B8E0C6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7F1B04" w:rsidRPr="007F1B04" w14:paraId="58F3FDDC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7CDCD082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E380A3B" w14:textId="2041AB7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06ED4EC8" w14:textId="6F32BE63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  <w:tr w:rsidR="007F1B04" w:rsidRPr="007F1B04" w14:paraId="77D5C66B" w14:textId="77777777" w:rsidTr="002A6CB3">
        <w:trPr>
          <w:trHeight w:val="403"/>
        </w:trPr>
        <w:tc>
          <w:tcPr>
            <w:tcW w:w="1492" w:type="dxa"/>
            <w:vMerge w:val="restart"/>
            <w:vAlign w:val="center"/>
          </w:tcPr>
          <w:p w14:paraId="7CA291A1" w14:textId="77777777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Papi et al. (2018)</w:t>
            </w:r>
          </w:p>
          <w:p w14:paraId="235ECB66" w14:textId="500DF9CE" w:rsidR="002A6CB3" w:rsidRPr="007F1B04" w:rsidRDefault="002A6CB3" w:rsidP="002A6CB3">
            <w:pPr>
              <w:jc w:val="left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eastAsia="Malgun Gothic" w:hAnsi="Times New Roman" w:cs="Times New Roman" w:hint="eastAsia"/>
                <w:b/>
                <w:color w:val="000000" w:themeColor="text1"/>
                <w:sz w:val="16"/>
                <w:szCs w:val="16"/>
              </w:rPr>
              <w:t>T</w:t>
            </w:r>
            <w:r w:rsidRPr="007F1B04">
              <w:rPr>
                <w:rFonts w:ascii="Times New Roman" w:eastAsia="Malgun Gothic" w:hAnsi="Times New Roman" w:cs="Times New Roman"/>
                <w:b/>
                <w:color w:val="000000" w:themeColor="text1"/>
                <w:sz w:val="16"/>
                <w:szCs w:val="16"/>
              </w:rPr>
              <w:t>RIBUTE</w:t>
            </w:r>
          </w:p>
        </w:tc>
        <w:tc>
          <w:tcPr>
            <w:tcW w:w="2771" w:type="dxa"/>
            <w:vAlign w:val="center"/>
          </w:tcPr>
          <w:p w14:paraId="06ADBFCE" w14:textId="125C9E60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Random sequence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generation</w:t>
            </w:r>
          </w:p>
        </w:tc>
        <w:tc>
          <w:tcPr>
            <w:tcW w:w="4763" w:type="dxa"/>
            <w:vAlign w:val="center"/>
          </w:tcPr>
          <w:p w14:paraId="52A3FAB5" w14:textId="22868BB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bias. A randomization list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was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generated by the interactive response technology provider.</w:t>
            </w:r>
          </w:p>
        </w:tc>
      </w:tr>
      <w:tr w:rsidR="007F1B04" w:rsidRPr="007F1B04" w14:paraId="1EB60B39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5F2A00D0" w14:textId="77777777" w:rsidR="002A6CB3" w:rsidRPr="007F1B04" w:rsidRDefault="002A6CB3" w:rsidP="002A6CB3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96E14D6" w14:textId="063472B0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Allocation concealment</w:t>
            </w:r>
          </w:p>
        </w:tc>
        <w:tc>
          <w:tcPr>
            <w:tcW w:w="4763" w:type="dxa"/>
            <w:vAlign w:val="center"/>
          </w:tcPr>
          <w:p w14:paraId="3F223773" w14:textId="0ABC99E6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ow risk of bias. Patients were randomly assigned to treatment groups by central randomization for allocation concealment.</w:t>
            </w:r>
          </w:p>
        </w:tc>
      </w:tr>
      <w:tr w:rsidR="007F1B04" w:rsidRPr="007F1B04" w14:paraId="492ADF1F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48D95862" w14:textId="77777777" w:rsidR="002A6CB3" w:rsidRPr="007F1B04" w:rsidRDefault="002A6CB3" w:rsidP="002A6CB3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52076CD" w14:textId="25208B0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Blinding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of participants and personnel</w:t>
            </w:r>
          </w:p>
        </w:tc>
        <w:tc>
          <w:tcPr>
            <w:tcW w:w="4763" w:type="dxa"/>
            <w:vAlign w:val="center"/>
          </w:tcPr>
          <w:p w14:paraId="597A7016" w14:textId="036D102F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ow risk of bias.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Using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 double-dummy approach, patients and investigators were masked to treatment assignment for the duration of the study.</w:t>
            </w:r>
          </w:p>
        </w:tc>
      </w:tr>
      <w:tr w:rsidR="007F1B04" w:rsidRPr="007F1B04" w14:paraId="6B5DE658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0CBE8E05" w14:textId="77777777" w:rsidR="002A6CB3" w:rsidRPr="007F1B04" w:rsidRDefault="002A6CB3" w:rsidP="002A6CB3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055AFC8F" w14:textId="6C8345A4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Blinding of outcome assessment </w:t>
            </w:r>
          </w:p>
        </w:tc>
        <w:tc>
          <w:tcPr>
            <w:tcW w:w="4763" w:type="dxa"/>
            <w:vAlign w:val="center"/>
          </w:tcPr>
          <w:p w14:paraId="0E97A9E8" w14:textId="72632BB8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Low risk of bias. The specific method of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blinding of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outcome assessment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was not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described.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However, since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our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primary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outcome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w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as an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objective finding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(</w:t>
            </w:r>
            <w:r w:rsidR="0055098F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acute exacerbation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and mortality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)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 the outcome was unlikely to have been influenced by the lack of blinding.</w:t>
            </w:r>
          </w:p>
        </w:tc>
      </w:tr>
      <w:tr w:rsidR="007F1B04" w:rsidRPr="007F1B04" w14:paraId="62001A17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0C5ABF99" w14:textId="77777777" w:rsidR="002A6CB3" w:rsidRPr="007F1B04" w:rsidRDefault="002A6CB3" w:rsidP="002A6CB3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10750D5A" w14:textId="03138F35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Incomplete outcome data</w:t>
            </w:r>
          </w:p>
        </w:tc>
        <w:tc>
          <w:tcPr>
            <w:tcW w:w="4763" w:type="dxa"/>
            <w:vAlign w:val="center"/>
          </w:tcPr>
          <w:p w14:paraId="758DF515" w14:textId="2EA88D8D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Low risk of bias. 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The w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ithdrawal rate was 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1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2.8</w:t>
            </w:r>
            <w:r w:rsidR="00D776E0"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%–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15.6% and relatively even among arms. As our study extracted data from intention-to-treat participants, there was no impact on our outcomes.</w:t>
            </w:r>
          </w:p>
        </w:tc>
      </w:tr>
      <w:tr w:rsidR="007F1B04" w:rsidRPr="007F1B04" w14:paraId="0BB10112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38F5E11D" w14:textId="77777777" w:rsidR="002A6CB3" w:rsidRPr="007F1B04" w:rsidRDefault="002A6CB3" w:rsidP="002A6CB3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4BC9D992" w14:textId="206983A7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Selective reporting</w:t>
            </w:r>
          </w:p>
        </w:tc>
        <w:tc>
          <w:tcPr>
            <w:tcW w:w="4763" w:type="dxa"/>
            <w:vAlign w:val="center"/>
          </w:tcPr>
          <w:p w14:paraId="19AC8D2F" w14:textId="134B31AB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Low risk of bias. A 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pre-existing protocol was described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 xml:space="preserve"> and a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ll the results were reported in the pre-specified manner.</w:t>
            </w:r>
          </w:p>
        </w:tc>
      </w:tr>
      <w:tr w:rsidR="002A6CB3" w:rsidRPr="007F1B04" w14:paraId="1952FBAD" w14:textId="77777777" w:rsidTr="002A6CB3">
        <w:trPr>
          <w:trHeight w:val="403"/>
        </w:trPr>
        <w:tc>
          <w:tcPr>
            <w:tcW w:w="1492" w:type="dxa"/>
            <w:vMerge/>
            <w:vAlign w:val="center"/>
          </w:tcPr>
          <w:p w14:paraId="2082BD79" w14:textId="77777777" w:rsidR="002A6CB3" w:rsidRPr="007F1B04" w:rsidRDefault="002A6CB3" w:rsidP="002A6CB3">
            <w:pPr>
              <w:jc w:val="center"/>
              <w:rPr>
                <w:rFonts w:ascii="Times New Roman" w:eastAsia="Malgun Gothic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2AB8BB2" w14:textId="0AEC5545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Other sources of bias </w:t>
            </w:r>
          </w:p>
        </w:tc>
        <w:tc>
          <w:tcPr>
            <w:tcW w:w="4763" w:type="dxa"/>
            <w:vAlign w:val="center"/>
          </w:tcPr>
          <w:p w14:paraId="1A1B031C" w14:textId="6843305A" w:rsidR="002A6CB3" w:rsidRPr="007F1B04" w:rsidRDefault="002A6CB3" w:rsidP="002A6CB3">
            <w:pPr>
              <w:jc w:val="lef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Low risk of bias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. T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h</w:t>
            </w:r>
            <w:r w:rsidRPr="007F1B04">
              <w:rPr>
                <w:rFonts w:ascii="Times New Roman" w:hAnsi="Times New Roman" w:cs="Times New Roman" w:hint="eastAsia"/>
                <w:color w:val="000000" w:themeColor="text1"/>
                <w:sz w:val="16"/>
                <w:szCs w:val="16"/>
              </w:rPr>
              <w:t>is</w:t>
            </w:r>
            <w:r w:rsidRPr="007F1B0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study appears to be free of other sources of bias.</w:t>
            </w:r>
          </w:p>
        </w:tc>
      </w:tr>
    </w:tbl>
    <w:p w14:paraId="2F287B07" w14:textId="68C3F57B" w:rsidR="00BA57A2" w:rsidRPr="007F1B04" w:rsidRDefault="00BA57A2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40AD4FAB" w14:textId="77777777" w:rsidR="00BA57A2" w:rsidRPr="007F1B04" w:rsidRDefault="00BA57A2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  <w:szCs w:val="20"/>
        </w:rPr>
      </w:pPr>
      <w:r w:rsidRPr="007F1B04">
        <w:rPr>
          <w:rFonts w:ascii="Times New Roman" w:hAnsi="Times New Roman" w:cs="Times New Roman"/>
          <w:color w:val="000000" w:themeColor="text1"/>
          <w:szCs w:val="20"/>
        </w:rPr>
        <w:br w:type="page"/>
      </w:r>
    </w:p>
    <w:p w14:paraId="440E08D0" w14:textId="10A6F3C7" w:rsidR="00BA57A2" w:rsidRPr="007F1B04" w:rsidRDefault="00BA57A2">
      <w:pPr>
        <w:rPr>
          <w:rFonts w:ascii="Times New Roman" w:hAnsi="Times New Roman" w:cs="Times New Roman"/>
          <w:color w:val="000000" w:themeColor="text1"/>
          <w:szCs w:val="20"/>
        </w:rPr>
      </w:pPr>
      <w:r w:rsidRPr="007F1B04">
        <w:rPr>
          <w:rFonts w:ascii="Times New Roman" w:hAnsi="Times New Roman" w:cs="Times New Roman" w:hint="eastAsia"/>
          <w:noProof/>
          <w:color w:val="000000" w:themeColor="text1"/>
          <w:szCs w:val="20"/>
          <w:lang w:val="en-IN" w:eastAsia="en-IN"/>
        </w:rPr>
        <w:drawing>
          <wp:inline distT="0" distB="0" distL="0" distR="0" wp14:anchorId="6FE2C99E" wp14:editId="48A0D61E">
            <wp:extent cx="4562009" cy="1927185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isk of bias graph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9943" cy="194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FE302" w14:textId="2D69BBF8" w:rsidR="008864C2" w:rsidRPr="007F1B04" w:rsidRDefault="00BA57A2">
      <w:pPr>
        <w:rPr>
          <w:rFonts w:ascii="Times New Roman" w:hAnsi="Times New Roman" w:cs="Times New Roman"/>
          <w:color w:val="000000" w:themeColor="text1"/>
          <w:szCs w:val="20"/>
        </w:rPr>
      </w:pPr>
      <w:r w:rsidRPr="007F1B04">
        <w:rPr>
          <w:rFonts w:ascii="Times New Roman" w:hAnsi="Times New Roman" w:cs="Times New Roman" w:hint="eastAsia"/>
          <w:noProof/>
          <w:color w:val="000000" w:themeColor="text1"/>
          <w:szCs w:val="20"/>
          <w:lang w:val="en-IN" w:eastAsia="en-IN"/>
        </w:rPr>
        <w:drawing>
          <wp:inline distT="0" distB="0" distL="0" distR="0" wp14:anchorId="17FCA7F5" wp14:editId="56BBE2F8">
            <wp:extent cx="2795286" cy="6589251"/>
            <wp:effectExtent l="0" t="0" r="5080" b="254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isk of bias summary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788" cy="668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64C2" w:rsidRPr="007F1B04" w:rsidSect="008864C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2B7E76" w14:textId="77777777" w:rsidR="00DE2DB0" w:rsidRDefault="00DE2DB0" w:rsidP="00506624">
      <w:pPr>
        <w:spacing w:after="0" w:line="240" w:lineRule="auto"/>
      </w:pPr>
      <w:r>
        <w:separator/>
      </w:r>
    </w:p>
  </w:endnote>
  <w:endnote w:type="continuationSeparator" w:id="0">
    <w:p w14:paraId="77B7AF2F" w14:textId="77777777" w:rsidR="00DE2DB0" w:rsidRDefault="00DE2DB0" w:rsidP="0050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eathe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24050" w14:textId="77777777" w:rsidR="00DE2DB0" w:rsidRDefault="00DE2DB0" w:rsidP="00506624">
      <w:pPr>
        <w:spacing w:after="0" w:line="240" w:lineRule="auto"/>
      </w:pPr>
      <w:r>
        <w:separator/>
      </w:r>
    </w:p>
  </w:footnote>
  <w:footnote w:type="continuationSeparator" w:id="0">
    <w:p w14:paraId="1A0973DB" w14:textId="77777777" w:rsidR="00DE2DB0" w:rsidRDefault="00DE2DB0" w:rsidP="00506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91E"/>
    <w:rsid w:val="0000284E"/>
    <w:rsid w:val="00014F1B"/>
    <w:rsid w:val="00023C33"/>
    <w:rsid w:val="00024BF2"/>
    <w:rsid w:val="00045325"/>
    <w:rsid w:val="0007431F"/>
    <w:rsid w:val="00075326"/>
    <w:rsid w:val="00081391"/>
    <w:rsid w:val="00087784"/>
    <w:rsid w:val="00096A5E"/>
    <w:rsid w:val="000A6907"/>
    <w:rsid w:val="000C3149"/>
    <w:rsid w:val="000D043E"/>
    <w:rsid w:val="000D2266"/>
    <w:rsid w:val="000E232F"/>
    <w:rsid w:val="000E4950"/>
    <w:rsid w:val="001006BE"/>
    <w:rsid w:val="001057F9"/>
    <w:rsid w:val="0012499D"/>
    <w:rsid w:val="00150F70"/>
    <w:rsid w:val="0015590F"/>
    <w:rsid w:val="00161BBF"/>
    <w:rsid w:val="0018433A"/>
    <w:rsid w:val="001A4B48"/>
    <w:rsid w:val="001A5EAD"/>
    <w:rsid w:val="001A6985"/>
    <w:rsid w:val="001A7F29"/>
    <w:rsid w:val="001E2912"/>
    <w:rsid w:val="0021274C"/>
    <w:rsid w:val="0022125F"/>
    <w:rsid w:val="00224BCB"/>
    <w:rsid w:val="002274D6"/>
    <w:rsid w:val="00262E15"/>
    <w:rsid w:val="0027098A"/>
    <w:rsid w:val="002862B9"/>
    <w:rsid w:val="002A6CB3"/>
    <w:rsid w:val="002C4011"/>
    <w:rsid w:val="002C61E2"/>
    <w:rsid w:val="002D48D4"/>
    <w:rsid w:val="002E491E"/>
    <w:rsid w:val="002E543F"/>
    <w:rsid w:val="00351533"/>
    <w:rsid w:val="00367A2C"/>
    <w:rsid w:val="00367D0F"/>
    <w:rsid w:val="00370D9B"/>
    <w:rsid w:val="003722C0"/>
    <w:rsid w:val="00373C8E"/>
    <w:rsid w:val="00383D55"/>
    <w:rsid w:val="00387AB4"/>
    <w:rsid w:val="0039629A"/>
    <w:rsid w:val="003A0A07"/>
    <w:rsid w:val="003A36AF"/>
    <w:rsid w:val="003B5B49"/>
    <w:rsid w:val="003D6FF0"/>
    <w:rsid w:val="003E628E"/>
    <w:rsid w:val="003F27C1"/>
    <w:rsid w:val="003F6D90"/>
    <w:rsid w:val="00412922"/>
    <w:rsid w:val="00423826"/>
    <w:rsid w:val="0042732B"/>
    <w:rsid w:val="00430B04"/>
    <w:rsid w:val="00444EF3"/>
    <w:rsid w:val="00451FF8"/>
    <w:rsid w:val="004632B5"/>
    <w:rsid w:val="004674C4"/>
    <w:rsid w:val="004A0CE7"/>
    <w:rsid w:val="004A3C63"/>
    <w:rsid w:val="004B3E8E"/>
    <w:rsid w:val="004B720C"/>
    <w:rsid w:val="004D6C14"/>
    <w:rsid w:val="004D7264"/>
    <w:rsid w:val="00506624"/>
    <w:rsid w:val="00517BA2"/>
    <w:rsid w:val="00524700"/>
    <w:rsid w:val="00546D0F"/>
    <w:rsid w:val="0054701D"/>
    <w:rsid w:val="0055098F"/>
    <w:rsid w:val="005571E0"/>
    <w:rsid w:val="005607AB"/>
    <w:rsid w:val="0056115A"/>
    <w:rsid w:val="00572C4B"/>
    <w:rsid w:val="0057636A"/>
    <w:rsid w:val="00577EF6"/>
    <w:rsid w:val="00593368"/>
    <w:rsid w:val="005A165A"/>
    <w:rsid w:val="005A57A6"/>
    <w:rsid w:val="005C687E"/>
    <w:rsid w:val="005C7E9C"/>
    <w:rsid w:val="005E2F0F"/>
    <w:rsid w:val="005E7CD6"/>
    <w:rsid w:val="005F2502"/>
    <w:rsid w:val="005F2631"/>
    <w:rsid w:val="00616F3E"/>
    <w:rsid w:val="006261C6"/>
    <w:rsid w:val="0063091A"/>
    <w:rsid w:val="00647D46"/>
    <w:rsid w:val="00655E08"/>
    <w:rsid w:val="006878F8"/>
    <w:rsid w:val="006A220F"/>
    <w:rsid w:val="006A72EF"/>
    <w:rsid w:val="006B4567"/>
    <w:rsid w:val="006D3661"/>
    <w:rsid w:val="006D7917"/>
    <w:rsid w:val="006E1E41"/>
    <w:rsid w:val="006E2232"/>
    <w:rsid w:val="006E3478"/>
    <w:rsid w:val="006E7B51"/>
    <w:rsid w:val="0070705A"/>
    <w:rsid w:val="00714887"/>
    <w:rsid w:val="00721052"/>
    <w:rsid w:val="0072520B"/>
    <w:rsid w:val="00731B9C"/>
    <w:rsid w:val="007349DD"/>
    <w:rsid w:val="00735D0A"/>
    <w:rsid w:val="0074523B"/>
    <w:rsid w:val="0075584C"/>
    <w:rsid w:val="00766192"/>
    <w:rsid w:val="007669EB"/>
    <w:rsid w:val="007871F9"/>
    <w:rsid w:val="007918F8"/>
    <w:rsid w:val="00797E15"/>
    <w:rsid w:val="007A4032"/>
    <w:rsid w:val="007A445D"/>
    <w:rsid w:val="007A6BA1"/>
    <w:rsid w:val="007B02E9"/>
    <w:rsid w:val="007C316C"/>
    <w:rsid w:val="007D4C84"/>
    <w:rsid w:val="007E0179"/>
    <w:rsid w:val="007E704D"/>
    <w:rsid w:val="007F118E"/>
    <w:rsid w:val="007F1B04"/>
    <w:rsid w:val="00841B9D"/>
    <w:rsid w:val="00842D6D"/>
    <w:rsid w:val="00850691"/>
    <w:rsid w:val="00866D22"/>
    <w:rsid w:val="008838C2"/>
    <w:rsid w:val="008864C2"/>
    <w:rsid w:val="0089023B"/>
    <w:rsid w:val="00890B22"/>
    <w:rsid w:val="008960EB"/>
    <w:rsid w:val="008A2A23"/>
    <w:rsid w:val="008D26D9"/>
    <w:rsid w:val="008E5A2B"/>
    <w:rsid w:val="008F2530"/>
    <w:rsid w:val="008F49D3"/>
    <w:rsid w:val="00921392"/>
    <w:rsid w:val="00923BD4"/>
    <w:rsid w:val="00924B06"/>
    <w:rsid w:val="009334E7"/>
    <w:rsid w:val="00957F62"/>
    <w:rsid w:val="0096101A"/>
    <w:rsid w:val="009809D2"/>
    <w:rsid w:val="009B2913"/>
    <w:rsid w:val="009D1D29"/>
    <w:rsid w:val="009D22DE"/>
    <w:rsid w:val="009E0234"/>
    <w:rsid w:val="009F2B17"/>
    <w:rsid w:val="009F342D"/>
    <w:rsid w:val="00A24DC2"/>
    <w:rsid w:val="00A53C82"/>
    <w:rsid w:val="00A56278"/>
    <w:rsid w:val="00A5785E"/>
    <w:rsid w:val="00A60053"/>
    <w:rsid w:val="00A61BEF"/>
    <w:rsid w:val="00A64FC3"/>
    <w:rsid w:val="00A719B5"/>
    <w:rsid w:val="00A83B29"/>
    <w:rsid w:val="00A924FB"/>
    <w:rsid w:val="00A92B5F"/>
    <w:rsid w:val="00AB7B35"/>
    <w:rsid w:val="00AD09B4"/>
    <w:rsid w:val="00AD4CCB"/>
    <w:rsid w:val="00AD507E"/>
    <w:rsid w:val="00AD7E37"/>
    <w:rsid w:val="00AF3A90"/>
    <w:rsid w:val="00B00A3E"/>
    <w:rsid w:val="00B33150"/>
    <w:rsid w:val="00B4143A"/>
    <w:rsid w:val="00B4380D"/>
    <w:rsid w:val="00B75FFB"/>
    <w:rsid w:val="00B8528E"/>
    <w:rsid w:val="00B941CF"/>
    <w:rsid w:val="00B97276"/>
    <w:rsid w:val="00BA57A2"/>
    <w:rsid w:val="00BC28A7"/>
    <w:rsid w:val="00BE4919"/>
    <w:rsid w:val="00BF4944"/>
    <w:rsid w:val="00C30A18"/>
    <w:rsid w:val="00C318C7"/>
    <w:rsid w:val="00C45C64"/>
    <w:rsid w:val="00C47E1A"/>
    <w:rsid w:val="00C524CC"/>
    <w:rsid w:val="00C83585"/>
    <w:rsid w:val="00C83B77"/>
    <w:rsid w:val="00C83E85"/>
    <w:rsid w:val="00C952D4"/>
    <w:rsid w:val="00CA0144"/>
    <w:rsid w:val="00CA4F7C"/>
    <w:rsid w:val="00CC1A44"/>
    <w:rsid w:val="00CD07DF"/>
    <w:rsid w:val="00CE488F"/>
    <w:rsid w:val="00CE5C7F"/>
    <w:rsid w:val="00CE7D17"/>
    <w:rsid w:val="00CF144C"/>
    <w:rsid w:val="00D0215A"/>
    <w:rsid w:val="00D06BAF"/>
    <w:rsid w:val="00D20C2F"/>
    <w:rsid w:val="00D31453"/>
    <w:rsid w:val="00D41A2F"/>
    <w:rsid w:val="00D46AFB"/>
    <w:rsid w:val="00D47750"/>
    <w:rsid w:val="00D570BF"/>
    <w:rsid w:val="00D67C53"/>
    <w:rsid w:val="00D72A6F"/>
    <w:rsid w:val="00D776E0"/>
    <w:rsid w:val="00D90BD2"/>
    <w:rsid w:val="00D92D4E"/>
    <w:rsid w:val="00DA2DCB"/>
    <w:rsid w:val="00DB25AB"/>
    <w:rsid w:val="00DC4BA0"/>
    <w:rsid w:val="00DE2DB0"/>
    <w:rsid w:val="00DF72FE"/>
    <w:rsid w:val="00E236C2"/>
    <w:rsid w:val="00E33694"/>
    <w:rsid w:val="00E374E3"/>
    <w:rsid w:val="00E411F9"/>
    <w:rsid w:val="00E5180C"/>
    <w:rsid w:val="00E54FF2"/>
    <w:rsid w:val="00E66539"/>
    <w:rsid w:val="00E670EE"/>
    <w:rsid w:val="00E75671"/>
    <w:rsid w:val="00E81555"/>
    <w:rsid w:val="00E829EE"/>
    <w:rsid w:val="00E9542C"/>
    <w:rsid w:val="00E963DB"/>
    <w:rsid w:val="00EA686F"/>
    <w:rsid w:val="00EB1907"/>
    <w:rsid w:val="00EE3C56"/>
    <w:rsid w:val="00EF0DBA"/>
    <w:rsid w:val="00EF7545"/>
    <w:rsid w:val="00F12355"/>
    <w:rsid w:val="00F1750A"/>
    <w:rsid w:val="00F2007F"/>
    <w:rsid w:val="00F328A3"/>
    <w:rsid w:val="00F749A7"/>
    <w:rsid w:val="00F7600A"/>
    <w:rsid w:val="00F76668"/>
    <w:rsid w:val="00FA4E6B"/>
    <w:rsid w:val="00FB5632"/>
    <w:rsid w:val="00FE06B9"/>
    <w:rsid w:val="00FE1B43"/>
    <w:rsid w:val="00FF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287A04"/>
  <w15:docId w15:val="{08DC0C62-80D4-4E6B-B0CA-85378FA4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491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91E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662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06624"/>
  </w:style>
  <w:style w:type="paragraph" w:styleId="Footer">
    <w:name w:val="footer"/>
    <w:basedOn w:val="Normal"/>
    <w:link w:val="FooterChar"/>
    <w:uiPriority w:val="99"/>
    <w:unhideWhenUsed/>
    <w:rsid w:val="0050662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506624"/>
  </w:style>
  <w:style w:type="paragraph" w:customStyle="1" w:styleId="Default">
    <w:name w:val="Default"/>
    <w:rsid w:val="0056115A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F49D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9D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9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9D3"/>
    <w:rPr>
      <w:b/>
      <w:bCs/>
    </w:rPr>
  </w:style>
  <w:style w:type="character" w:customStyle="1" w:styleId="A5">
    <w:name w:val="A5"/>
    <w:uiPriority w:val="99"/>
    <w:rsid w:val="00647D46"/>
    <w:rPr>
      <w:rFonts w:cs="Breathe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3447</Words>
  <Characters>19653</Characters>
  <Application>Microsoft Office Word</Application>
  <DocSecurity>0</DocSecurity>
  <Lines>163</Lines>
  <Paragraphs>46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Flora V.</cp:lastModifiedBy>
  <cp:revision>2</cp:revision>
  <dcterms:created xsi:type="dcterms:W3CDTF">2020-10-14T04:33:00Z</dcterms:created>
  <dcterms:modified xsi:type="dcterms:W3CDTF">2020-10-14T04:33:00Z</dcterms:modified>
</cp:coreProperties>
</file>