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E76EF" w14:textId="0F925AFE" w:rsidR="00107C8A" w:rsidRPr="007E09F4" w:rsidRDefault="00107C8A" w:rsidP="00397FF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Supp</w:t>
      </w:r>
      <w:r w:rsidR="00337358">
        <w:rPr>
          <w:rFonts w:ascii="Times New Roman" w:hAnsi="Times New Roman" w:cs="Times New Roman"/>
          <w:b/>
          <w:bCs/>
          <w:color w:val="000000" w:themeColor="text1"/>
          <w:sz w:val="24"/>
        </w:rPr>
        <w:t>orting information</w:t>
      </w: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</w:p>
    <w:p w14:paraId="5B559267" w14:textId="2333492B" w:rsidR="00107C8A" w:rsidRPr="007E09F4" w:rsidRDefault="005A543C" w:rsidP="00397FF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A543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drawing>
          <wp:inline distT="0" distB="0" distL="0" distR="0" wp14:anchorId="018AAD2C" wp14:editId="66138699">
            <wp:extent cx="5396230" cy="2652395"/>
            <wp:effectExtent l="0" t="0" r="1270" b="0"/>
            <wp:docPr id="2" name="図 2" descr="テキス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テキスト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E629D" w14:textId="77777777" w:rsidR="00107C8A" w:rsidRPr="007E09F4" w:rsidRDefault="00107C8A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S1. Effect of HDM on expression of mitochondrial transcriptional factor A (TFAM) in BEAS-2B cells. </w:t>
      </w:r>
    </w:p>
    <w:p w14:paraId="7A7A2222" w14:textId="35767ADE" w:rsidR="00107C8A" w:rsidRPr="007E09F4" w:rsidRDefault="00107C8A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0" w:name="OLE_LINK5"/>
      <w:bookmarkStart w:id="1" w:name="OLE_LINK6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BEAS-2B cells were treated with various concentration of HDM for 24 h (A) or with HDM </w:t>
      </w:r>
      <w:bookmarkStart w:id="2" w:name="OLE_LINK13"/>
      <w:bookmarkStart w:id="3" w:name="OLE_LINK14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(100 </w:t>
      </w:r>
      <w:r w:rsidRPr="007E09F4">
        <w:rPr>
          <w:rFonts w:ascii="Times New Roman" w:hAnsi="Times New Roman" w:cs="Times New Roman" w:hint="eastAsia"/>
          <w:color w:val="000000" w:themeColor="text1"/>
          <w:sz w:val="24"/>
        </w:rPr>
        <w:t>μ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>g/ml) f</w:t>
      </w:r>
      <w:bookmarkEnd w:id="2"/>
      <w:bookmarkEnd w:id="3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or up to </w:t>
      </w:r>
      <w:r w:rsidR="0039108A" w:rsidRPr="007E09F4">
        <w:rPr>
          <w:rFonts w:ascii="Times New Roman" w:hAnsi="Times New Roman" w:cs="Times New Roman"/>
          <w:color w:val="000000" w:themeColor="text1"/>
          <w:sz w:val="24"/>
        </w:rPr>
        <w:t>48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 h (B). Subsequently, the cells were harvested and the expression of TFAM in the cells was analyzed by western blotting. Data are expressed as means ± SD (n = 3). *p &lt; 0.05, **p &lt; 0.01. </w:t>
      </w:r>
    </w:p>
    <w:bookmarkEnd w:id="0"/>
    <w:bookmarkEnd w:id="1"/>
    <w:p w14:paraId="3A7C715B" w14:textId="150C57D3" w:rsidR="005A543C" w:rsidRDefault="005A543C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591E4E4" w14:textId="091D3E80" w:rsidR="00107C8A" w:rsidRPr="007E09F4" w:rsidRDefault="005A543C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543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41F37158" wp14:editId="33500354">
            <wp:extent cx="5295900" cy="4305300"/>
            <wp:effectExtent l="0" t="0" r="0" b="0"/>
            <wp:docPr id="11" name="図 1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図 1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4A4E" w14:textId="77777777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bookmarkStart w:id="4" w:name="OLE_LINK11"/>
      <w:bookmarkStart w:id="5" w:name="OLE_LINK12"/>
      <w:bookmarkStart w:id="6" w:name="OLE_LINK7"/>
      <w:bookmarkStart w:id="7" w:name="OLE_LINK8"/>
    </w:p>
    <w:p w14:paraId="7261B04F" w14:textId="371722F8" w:rsidR="0039108A" w:rsidRPr="007E09F4" w:rsidRDefault="0039108A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Figure S2. Effect of HDM on expressions of PINK1 and inducible nitric oxide synthase (</w:t>
      </w:r>
      <w:proofErr w:type="spellStart"/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iNOS</w:t>
      </w:r>
      <w:proofErr w:type="spellEnd"/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) in BEAS-2B cells. </w:t>
      </w:r>
    </w:p>
    <w:p w14:paraId="37166D09" w14:textId="7BE36377" w:rsidR="0039108A" w:rsidRPr="007E09F4" w:rsidRDefault="0039108A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8" w:name="OLE_LINK15"/>
      <w:bookmarkStart w:id="9" w:name="OLE_LINK16"/>
      <w:bookmarkEnd w:id="4"/>
      <w:bookmarkEnd w:id="5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BEAS-2B cells were treated with </w:t>
      </w:r>
      <w:r w:rsidR="00DB045B" w:rsidRPr="007E09F4">
        <w:rPr>
          <w:rFonts w:ascii="Times New Roman" w:hAnsi="Times New Roman" w:cs="Times New Roman"/>
          <w:color w:val="000000" w:themeColor="text1"/>
          <w:sz w:val="24"/>
        </w:rPr>
        <w:t xml:space="preserve">100 </w:t>
      </w:r>
      <w:proofErr w:type="spellStart"/>
      <w:r w:rsidR="00DB045B" w:rsidRPr="007E09F4">
        <w:rPr>
          <w:rFonts w:ascii="Times New Roman" w:hAnsi="Times New Roman" w:cs="Times New Roman"/>
          <w:color w:val="000000" w:themeColor="text1"/>
          <w:sz w:val="24"/>
        </w:rPr>
        <w:t>μg</w:t>
      </w:r>
      <w:proofErr w:type="spellEnd"/>
      <w:r w:rsidR="00DB045B" w:rsidRPr="007E09F4">
        <w:rPr>
          <w:rFonts w:ascii="Times New Roman" w:hAnsi="Times New Roman" w:cs="Times New Roman"/>
          <w:color w:val="000000" w:themeColor="text1"/>
          <w:sz w:val="24"/>
        </w:rPr>
        <w:t>/ml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 of HDM </w:t>
      </w:r>
      <w:r w:rsidR="00DB045B" w:rsidRPr="007E09F4">
        <w:rPr>
          <w:rFonts w:ascii="Times New Roman" w:hAnsi="Times New Roman" w:cs="Times New Roman"/>
          <w:color w:val="000000" w:themeColor="text1"/>
          <w:sz w:val="24"/>
        </w:rPr>
        <w:t xml:space="preserve">or PBS 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for 24 h. Subsequently, the cells were harvested and the expression of PINK1 (A) and </w:t>
      </w:r>
      <w:proofErr w:type="spellStart"/>
      <w:r w:rsidRPr="007E09F4">
        <w:rPr>
          <w:rFonts w:ascii="Times New Roman" w:hAnsi="Times New Roman" w:cs="Times New Roman"/>
          <w:color w:val="000000" w:themeColor="text1"/>
          <w:sz w:val="24"/>
        </w:rPr>
        <w:t>iNOS</w:t>
      </w:r>
      <w:proofErr w:type="spellEnd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 (B) in the cells was analyzed by western blotting. Data are expressed as means ± SD (n = 4). </w:t>
      </w:r>
      <w:r w:rsidR="00DB045B" w:rsidRPr="007E09F4">
        <w:rPr>
          <w:rFonts w:ascii="Times New Roman" w:hAnsi="Times New Roman" w:cs="Times New Roman"/>
          <w:color w:val="000000" w:themeColor="text1"/>
          <w:sz w:val="24"/>
        </w:rPr>
        <w:t xml:space="preserve">*p &lt; 0.05, 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>**p &lt; 0.0</w:t>
      </w:r>
      <w:bookmarkEnd w:id="6"/>
      <w:bookmarkEnd w:id="7"/>
      <w:r w:rsidRPr="007E09F4">
        <w:rPr>
          <w:rFonts w:ascii="Times New Roman" w:hAnsi="Times New Roman" w:cs="Times New Roman"/>
          <w:color w:val="000000" w:themeColor="text1"/>
          <w:sz w:val="24"/>
        </w:rPr>
        <w:t>1.</w:t>
      </w:r>
    </w:p>
    <w:bookmarkEnd w:id="8"/>
    <w:bookmarkEnd w:id="9"/>
    <w:p w14:paraId="36EF8A20" w14:textId="084ED8DF" w:rsidR="0039108A" w:rsidRPr="007E09F4" w:rsidRDefault="0039108A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0745612D" w14:textId="77777777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1E4BD25" w14:textId="7DAFB2C1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A543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drawing>
          <wp:inline distT="0" distB="0" distL="0" distR="0" wp14:anchorId="5869877B" wp14:editId="37885AF8">
            <wp:extent cx="5396230" cy="2559050"/>
            <wp:effectExtent l="0" t="0" r="0" b="0"/>
            <wp:docPr id="12" name="図 12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9BC1F" w14:textId="77777777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073C538" w14:textId="5F38F5C7" w:rsidR="0039108A" w:rsidRPr="007E09F4" w:rsidRDefault="0039108A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S3. Effect of SRT1720 on HDM-induced interleukin (IL)-33 release in the supernatant of BEAS-2B cells. </w:t>
      </w:r>
    </w:p>
    <w:p w14:paraId="53A722E8" w14:textId="063FE3FD" w:rsidR="005B0A42" w:rsidRPr="007E09F4" w:rsidRDefault="005B0A42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BEAS-2B cells were treated with HDM (100 </w:t>
      </w:r>
      <w:proofErr w:type="spellStart"/>
      <w:r w:rsidRPr="007E09F4">
        <w:rPr>
          <w:rFonts w:ascii="Times New Roman" w:hAnsi="Times New Roman" w:cs="Times New Roman"/>
          <w:color w:val="000000" w:themeColor="text1"/>
          <w:sz w:val="24"/>
        </w:rPr>
        <w:t>μg</w:t>
      </w:r>
      <w:proofErr w:type="spellEnd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/ml) for up to 240 min. Subsequently, the supernatant was harvested, and the concentration of IL-33 </w:t>
      </w:r>
      <w:r w:rsidR="003E5C2E" w:rsidRPr="007E09F4">
        <w:rPr>
          <w:rFonts w:ascii="Times New Roman" w:hAnsi="Times New Roman" w:cs="Times New Roman"/>
          <w:color w:val="000000" w:themeColor="text1"/>
          <w:sz w:val="24"/>
        </w:rPr>
        <w:t xml:space="preserve">in the supernatant 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was determined using Enzyme Linked </w:t>
      </w:r>
      <w:proofErr w:type="spellStart"/>
      <w:r w:rsidRPr="007E09F4">
        <w:rPr>
          <w:rFonts w:ascii="Times New Roman" w:hAnsi="Times New Roman" w:cs="Times New Roman"/>
          <w:color w:val="000000" w:themeColor="text1"/>
          <w:sz w:val="24"/>
        </w:rPr>
        <w:t>Immunosolvent</w:t>
      </w:r>
      <w:proofErr w:type="spellEnd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 Assay (ELISA) kit (A). BEAS-2B cells were treated with SRT1720 (1 </w:t>
      </w:r>
      <w:proofErr w:type="spellStart"/>
      <w:r w:rsidRPr="007E09F4">
        <w:rPr>
          <w:rFonts w:ascii="Times New Roman" w:hAnsi="Times New Roman" w:cs="Times New Roman"/>
          <w:color w:val="000000" w:themeColor="text1"/>
          <w:sz w:val="24"/>
        </w:rPr>
        <w:t>μM</w:t>
      </w:r>
      <w:proofErr w:type="spellEnd"/>
      <w:r w:rsidRPr="007E09F4">
        <w:rPr>
          <w:rFonts w:ascii="Times New Roman" w:hAnsi="Times New Roman" w:cs="Times New Roman"/>
          <w:color w:val="000000" w:themeColor="text1"/>
          <w:sz w:val="24"/>
        </w:rPr>
        <w:t>)</w:t>
      </w:r>
      <w:r w:rsidR="00D072C0" w:rsidRPr="007E09F4">
        <w:rPr>
          <w:rFonts w:ascii="Times New Roman" w:hAnsi="Times New Roman" w:cs="Times New Roman"/>
          <w:color w:val="000000" w:themeColor="text1"/>
          <w:sz w:val="24"/>
        </w:rPr>
        <w:t xml:space="preserve"> or PBS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 for 6 hours. Subsequently, the cells were stimulated with HDM (100 </w:t>
      </w:r>
      <w:proofErr w:type="spellStart"/>
      <w:r w:rsidRPr="007E09F4">
        <w:rPr>
          <w:rFonts w:ascii="Times New Roman" w:hAnsi="Times New Roman" w:cs="Times New Roman"/>
          <w:color w:val="000000" w:themeColor="text1"/>
          <w:sz w:val="24"/>
        </w:rPr>
        <w:t>μg</w:t>
      </w:r>
      <w:proofErr w:type="spellEnd"/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/ml) for 30 min and the supernatant was harvested. The concentration of IL-33 in the supernatant was determined using </w:t>
      </w:r>
      <w:r w:rsidR="00974D73" w:rsidRPr="007E09F4">
        <w:rPr>
          <w:rFonts w:ascii="Times New Roman" w:hAnsi="Times New Roman" w:cs="Times New Roman"/>
          <w:color w:val="000000" w:themeColor="text1"/>
          <w:sz w:val="24"/>
        </w:rPr>
        <w:t xml:space="preserve">an 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>ELISA kit (B). Data are expressed as means ± SD (n = 3). **p &lt; 0.01</w:t>
      </w:r>
      <w:r w:rsidR="0087420D" w:rsidRPr="007E09F4">
        <w:rPr>
          <w:rFonts w:ascii="Times New Roman" w:hAnsi="Times New Roman" w:cs="Times New Roman"/>
          <w:color w:val="000000" w:themeColor="text1"/>
          <w:sz w:val="24"/>
        </w:rPr>
        <w:t>. N.S. = not significant</w:t>
      </w:r>
      <w:r w:rsidR="00362869" w:rsidRPr="007E09F4">
        <w:rPr>
          <w:rFonts w:ascii="Times New Roman" w:hAnsi="Times New Roman" w:cs="Times New Roman"/>
          <w:color w:val="000000" w:themeColor="text1"/>
          <w:sz w:val="24"/>
        </w:rPr>
        <w:t>.</w:t>
      </w:r>
      <w:r w:rsidR="0087420D" w:rsidRPr="007E09F4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3404E041" w14:textId="77777777" w:rsidR="0039108A" w:rsidRPr="007E09F4" w:rsidRDefault="0039108A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52DDCA51" w14:textId="77777777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023612A" w14:textId="300DAC7B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5A543C">
        <w:rPr>
          <w:rFonts w:ascii="Times New Roman" w:hAnsi="Times New Roman" w:cs="Times New Roman"/>
          <w:b/>
          <w:bCs/>
          <w:noProof/>
          <w:color w:val="000000" w:themeColor="text1"/>
          <w:sz w:val="24"/>
        </w:rPr>
        <w:lastRenderedPageBreak/>
        <w:drawing>
          <wp:inline distT="0" distB="0" distL="0" distR="0" wp14:anchorId="179EC0B4" wp14:editId="5BB9C247">
            <wp:extent cx="5396230" cy="2505710"/>
            <wp:effectExtent l="0" t="0" r="1270" b="0"/>
            <wp:docPr id="163" name="図 163" descr="ピアノの鍵盤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図 163" descr="ピアノの鍵盤&#10;&#10;中程度の精度で自動的に生成された説明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C792" w14:textId="77777777" w:rsidR="005A543C" w:rsidRDefault="005A543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53158567" w14:textId="04F40508" w:rsidR="00107C8A" w:rsidRPr="007E09F4" w:rsidRDefault="00107C8A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Figure S</w:t>
      </w:r>
      <w:r w:rsidR="0039108A"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. Influence of corticosteroids on HDM-mediated downregulation of mitochondrial biogenesis and junctional proteins. </w:t>
      </w:r>
    </w:p>
    <w:p w14:paraId="7BAB95FC" w14:textId="77777777" w:rsidR="00107C8A" w:rsidRPr="007E09F4" w:rsidRDefault="00107C8A" w:rsidP="00397FF7">
      <w:pPr>
        <w:widowControl/>
        <w:spacing w:line="480" w:lineRule="auto"/>
        <w:rPr>
          <w:rFonts w:ascii="Times New Roman" w:eastAsia="ＭＳ Ｐゴシック" w:hAnsi="Times New Roman" w:cs="Times New Roman"/>
          <w:b/>
          <w:bCs/>
          <w:color w:val="000000" w:themeColor="text1"/>
          <w:kern w:val="0"/>
          <w:sz w:val="24"/>
        </w:rPr>
      </w:pPr>
      <w:r w:rsidRPr="007E09F4">
        <w:rPr>
          <w:rFonts w:ascii="Times New Roman" w:hAnsi="Times New Roman" w:cs="Times New Roman"/>
          <w:color w:val="000000" w:themeColor="text1"/>
          <w:sz w:val="24"/>
        </w:rPr>
        <w:t>BEAS-2B cells were treated with various concentrations of dexamethasone for 24 h and then harvested. Expressions of PGC-1α (A), TFAM (B) and E-cadherin (C) were analyzed by western blotting. Data are expressed as means ± SD (n = 3).</w:t>
      </w:r>
    </w:p>
    <w:p w14:paraId="7403D100" w14:textId="5E3B6D53" w:rsidR="00D05746" w:rsidRPr="007E09F4" w:rsidRDefault="005A543C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5A543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28DDEC49" wp14:editId="287723D2">
            <wp:extent cx="5396230" cy="7526020"/>
            <wp:effectExtent l="0" t="0" r="1270" b="5080"/>
            <wp:docPr id="1" name="図 1" descr="ダイアグラム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ダイアグラム&#10;&#10;低い精度で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752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1FF2" w14:textId="6C895813" w:rsidR="006148BC" w:rsidRPr="007E09F4" w:rsidRDefault="006148BC" w:rsidP="00397FF7">
      <w:pPr>
        <w:widowControl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Figure S5. Suggested role of direct and indirect effect</w:t>
      </w:r>
      <w:r w:rsidR="00B478DC"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of HDM </w:t>
      </w:r>
      <w:r w:rsidR="003E1B6A"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in epithelial </w:t>
      </w:r>
      <w:r w:rsidR="00FA7A95"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barrier </w:t>
      </w:r>
      <w:r w:rsidR="003E1B6A" w:rsidRPr="007E09F4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disruption. </w:t>
      </w:r>
    </w:p>
    <w:p w14:paraId="14E9BE40" w14:textId="2041977C" w:rsidR="005B786F" w:rsidRPr="007E09F4" w:rsidRDefault="00233370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E09F4">
        <w:rPr>
          <w:rFonts w:ascii="Times New Roman" w:hAnsi="Times New Roman" w:cs="Times New Roman" w:hint="eastAsia"/>
          <w:color w:val="000000" w:themeColor="text1"/>
          <w:sz w:val="24"/>
        </w:rPr>
        <w:lastRenderedPageBreak/>
        <w:t>H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>DM directly cleave</w:t>
      </w:r>
      <w:r w:rsidR="007D0AC1" w:rsidRPr="007E09F4">
        <w:rPr>
          <w:rFonts w:ascii="Times New Roman" w:hAnsi="Times New Roman" w:cs="Times New Roman"/>
          <w:color w:val="000000" w:themeColor="text1"/>
          <w:sz w:val="24"/>
        </w:rPr>
        <w:t>s</w:t>
      </w:r>
      <w:r w:rsidRPr="007E09F4">
        <w:rPr>
          <w:rFonts w:ascii="Times New Roman" w:hAnsi="Times New Roman" w:cs="Times New Roman"/>
          <w:color w:val="000000" w:themeColor="text1"/>
          <w:sz w:val="24"/>
        </w:rPr>
        <w:t xml:space="preserve"> the tight junction proteins by the proteases. </w:t>
      </w:r>
      <w:r w:rsidR="00106FD4" w:rsidRPr="007E09F4">
        <w:rPr>
          <w:rFonts w:ascii="Times New Roman" w:hAnsi="Times New Roman" w:cs="Times New Roman"/>
          <w:color w:val="000000" w:themeColor="text1"/>
          <w:sz w:val="24"/>
        </w:rPr>
        <w:t>HDM indirectly affect</w:t>
      </w:r>
      <w:r w:rsidR="007D0AC1" w:rsidRPr="007E09F4">
        <w:rPr>
          <w:rFonts w:ascii="Times New Roman" w:hAnsi="Times New Roman" w:cs="Times New Roman"/>
          <w:color w:val="000000" w:themeColor="text1"/>
          <w:sz w:val="24"/>
        </w:rPr>
        <w:t>s</w:t>
      </w:r>
      <w:r w:rsidR="00106FD4" w:rsidRPr="007E09F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863B5" w:rsidRPr="007E09F4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106FD4" w:rsidRPr="007E09F4">
        <w:rPr>
          <w:rFonts w:ascii="Times New Roman" w:hAnsi="Times New Roman" w:cs="Times New Roman"/>
          <w:color w:val="000000" w:themeColor="text1"/>
          <w:sz w:val="24"/>
        </w:rPr>
        <w:t xml:space="preserve">expression and distribution of tight junction proteins through </w:t>
      </w:r>
      <w:r w:rsidR="007863B5" w:rsidRPr="007E09F4">
        <w:rPr>
          <w:rFonts w:ascii="Times New Roman" w:hAnsi="Times New Roman" w:cs="Times New Roman"/>
          <w:color w:val="000000" w:themeColor="text1"/>
          <w:sz w:val="24"/>
        </w:rPr>
        <w:t>a r</w:t>
      </w:r>
      <w:r w:rsidR="00895241" w:rsidRPr="007E09F4">
        <w:rPr>
          <w:rFonts w:ascii="Times New Roman" w:hAnsi="Times New Roman" w:cs="Times New Roman"/>
          <w:color w:val="000000" w:themeColor="text1"/>
          <w:sz w:val="24"/>
        </w:rPr>
        <w:t>eceptor</w:t>
      </w:r>
      <w:r w:rsidR="007863B5" w:rsidRPr="007E09F4">
        <w:rPr>
          <w:rFonts w:ascii="Times New Roman" w:hAnsi="Times New Roman" w:cs="Times New Roman"/>
          <w:color w:val="000000" w:themeColor="text1"/>
          <w:sz w:val="24"/>
        </w:rPr>
        <w:t>-</w:t>
      </w:r>
      <w:r w:rsidR="00895241" w:rsidRPr="007E09F4">
        <w:rPr>
          <w:rFonts w:ascii="Times New Roman" w:hAnsi="Times New Roman" w:cs="Times New Roman"/>
          <w:color w:val="000000" w:themeColor="text1"/>
          <w:sz w:val="24"/>
        </w:rPr>
        <w:t xml:space="preserve">dependent pathway including PAR-2 and TLR4. </w:t>
      </w:r>
      <w:r w:rsidR="007C68F2" w:rsidRPr="007E09F4">
        <w:rPr>
          <w:rFonts w:ascii="Times New Roman" w:hAnsi="Times New Roman" w:cs="Times New Roman"/>
          <w:color w:val="000000" w:themeColor="text1"/>
          <w:sz w:val="24"/>
        </w:rPr>
        <w:t xml:space="preserve">The current study suggests that activation </w:t>
      </w:r>
      <w:r w:rsidR="009A3396" w:rsidRPr="007E09F4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 w:rsidR="00BC60C2" w:rsidRPr="007E09F4">
        <w:rPr>
          <w:rFonts w:ascii="Times New Roman" w:hAnsi="Times New Roman" w:cs="Times New Roman"/>
          <w:color w:val="000000" w:themeColor="text1"/>
          <w:sz w:val="24"/>
        </w:rPr>
        <w:t xml:space="preserve">PAR-2 and TLR4 by HDM </w:t>
      </w:r>
      <w:r w:rsidR="00237B26" w:rsidRPr="007E09F4">
        <w:rPr>
          <w:rFonts w:ascii="Times New Roman" w:hAnsi="Times New Roman" w:cs="Times New Roman"/>
          <w:color w:val="000000" w:themeColor="text1"/>
          <w:sz w:val="24"/>
        </w:rPr>
        <w:t xml:space="preserve">can </w:t>
      </w:r>
      <w:r w:rsidR="00EB4D12" w:rsidRPr="007E09F4">
        <w:rPr>
          <w:rFonts w:ascii="Times New Roman" w:hAnsi="Times New Roman" w:cs="Times New Roman"/>
          <w:color w:val="000000" w:themeColor="text1"/>
          <w:sz w:val="24"/>
        </w:rPr>
        <w:t xml:space="preserve">inhibit the activation of </w:t>
      </w:r>
      <w:r w:rsidR="00BC60C2" w:rsidRPr="007E09F4">
        <w:rPr>
          <w:rFonts w:ascii="Times New Roman" w:hAnsi="Times New Roman" w:cs="Times New Roman"/>
          <w:color w:val="000000" w:themeColor="text1"/>
          <w:sz w:val="24"/>
        </w:rPr>
        <w:t>PGC-1</w:t>
      </w:r>
      <w:r w:rsidR="00237B26" w:rsidRPr="007E09F4">
        <w:rPr>
          <w:rFonts w:ascii="Times New Roman" w:hAnsi="Times New Roman" w:cs="Times New Roman"/>
          <w:color w:val="000000" w:themeColor="text1"/>
          <w:sz w:val="24"/>
        </w:rPr>
        <w:t xml:space="preserve">α </w:t>
      </w:r>
      <w:r w:rsidR="00BC60C2" w:rsidRPr="007E09F4">
        <w:rPr>
          <w:rFonts w:ascii="Times New Roman" w:hAnsi="Times New Roman" w:cs="Times New Roman"/>
          <w:color w:val="000000" w:themeColor="text1"/>
          <w:sz w:val="24"/>
        </w:rPr>
        <w:t>and</w:t>
      </w:r>
      <w:r w:rsidR="00237B26" w:rsidRPr="007E09F4">
        <w:rPr>
          <w:rFonts w:ascii="Times New Roman" w:hAnsi="Times New Roman" w:cs="Times New Roman"/>
          <w:color w:val="000000" w:themeColor="text1"/>
          <w:sz w:val="24"/>
        </w:rPr>
        <w:t>,</w:t>
      </w:r>
      <w:r w:rsidR="00BC60C2" w:rsidRPr="007E09F4">
        <w:rPr>
          <w:rFonts w:ascii="Times New Roman" w:hAnsi="Times New Roman" w:cs="Times New Roman"/>
          <w:color w:val="000000" w:themeColor="text1"/>
          <w:sz w:val="24"/>
        </w:rPr>
        <w:t xml:space="preserve"> consequently</w:t>
      </w:r>
      <w:r w:rsidR="00237B26" w:rsidRPr="007E09F4">
        <w:rPr>
          <w:rFonts w:ascii="Times New Roman" w:hAnsi="Times New Roman" w:cs="Times New Roman"/>
          <w:color w:val="000000" w:themeColor="text1"/>
          <w:sz w:val="24"/>
        </w:rPr>
        <w:t>,</w:t>
      </w:r>
      <w:r w:rsidR="00EB4D12" w:rsidRPr="007E09F4">
        <w:rPr>
          <w:rFonts w:ascii="Times New Roman" w:hAnsi="Times New Roman" w:cs="Times New Roman"/>
          <w:color w:val="000000" w:themeColor="text1"/>
          <w:sz w:val="24"/>
        </w:rPr>
        <w:t xml:space="preserve"> cause</w:t>
      </w:r>
      <w:r w:rsidR="00BC60C2" w:rsidRPr="007E09F4">
        <w:rPr>
          <w:rFonts w:ascii="Times New Roman" w:hAnsi="Times New Roman" w:cs="Times New Roman"/>
          <w:color w:val="000000" w:themeColor="text1"/>
          <w:sz w:val="24"/>
        </w:rPr>
        <w:t xml:space="preserve"> decrease in mitochondrial biogenesis and </w:t>
      </w:r>
      <w:r w:rsidR="00CB5BF8" w:rsidRPr="007E09F4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634508" w:rsidRPr="007E09F4">
        <w:rPr>
          <w:rFonts w:ascii="Times New Roman" w:hAnsi="Times New Roman" w:cs="Times New Roman"/>
          <w:color w:val="000000" w:themeColor="text1"/>
          <w:sz w:val="24"/>
        </w:rPr>
        <w:t xml:space="preserve">expression of </w:t>
      </w:r>
      <w:r w:rsidR="00BC60C2" w:rsidRPr="007E09F4">
        <w:rPr>
          <w:rFonts w:ascii="Times New Roman" w:hAnsi="Times New Roman" w:cs="Times New Roman"/>
          <w:color w:val="000000" w:themeColor="text1"/>
          <w:sz w:val="24"/>
        </w:rPr>
        <w:t xml:space="preserve">tight junction proteins. </w:t>
      </w:r>
      <w:r w:rsidR="007534C5" w:rsidRPr="007E09F4">
        <w:rPr>
          <w:rFonts w:ascii="Times New Roman" w:hAnsi="Times New Roman" w:cs="Times New Roman"/>
          <w:color w:val="000000" w:themeColor="text1"/>
          <w:sz w:val="24"/>
        </w:rPr>
        <w:t>B</w:t>
      </w:r>
      <w:r w:rsidR="00895241" w:rsidRPr="007E09F4">
        <w:rPr>
          <w:rFonts w:ascii="Times New Roman" w:hAnsi="Times New Roman" w:cs="Times New Roman"/>
          <w:color w:val="000000" w:themeColor="text1"/>
          <w:sz w:val="24"/>
        </w:rPr>
        <w:t xml:space="preserve">oth </w:t>
      </w:r>
      <w:r w:rsidR="007534C5" w:rsidRPr="007E09F4">
        <w:rPr>
          <w:rFonts w:ascii="Times New Roman" w:hAnsi="Times New Roman" w:cs="Times New Roman"/>
          <w:color w:val="000000" w:themeColor="text1"/>
          <w:sz w:val="24"/>
        </w:rPr>
        <w:t xml:space="preserve">direct and indirect </w:t>
      </w:r>
      <w:r w:rsidR="00895241" w:rsidRPr="007E09F4">
        <w:rPr>
          <w:rFonts w:ascii="Times New Roman" w:hAnsi="Times New Roman" w:cs="Times New Roman"/>
          <w:color w:val="000000" w:themeColor="text1"/>
          <w:sz w:val="24"/>
        </w:rPr>
        <w:t>route</w:t>
      </w:r>
      <w:r w:rsidR="00FF62B5" w:rsidRPr="007E09F4">
        <w:rPr>
          <w:rFonts w:ascii="Times New Roman" w:hAnsi="Times New Roman" w:cs="Times New Roman"/>
          <w:color w:val="000000" w:themeColor="text1"/>
          <w:sz w:val="24"/>
        </w:rPr>
        <w:t>s</w:t>
      </w:r>
      <w:r w:rsidR="007534C5" w:rsidRPr="007E09F4">
        <w:rPr>
          <w:rFonts w:ascii="Times New Roman" w:hAnsi="Times New Roman" w:cs="Times New Roman"/>
          <w:color w:val="000000" w:themeColor="text1"/>
          <w:sz w:val="24"/>
        </w:rPr>
        <w:t xml:space="preserve"> are incorporated into </w:t>
      </w:r>
      <w:r w:rsidR="00CB5BF8" w:rsidRPr="007E09F4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7534C5" w:rsidRPr="007E09F4">
        <w:rPr>
          <w:rFonts w:ascii="Times New Roman" w:hAnsi="Times New Roman" w:cs="Times New Roman"/>
          <w:color w:val="000000" w:themeColor="text1"/>
          <w:sz w:val="24"/>
        </w:rPr>
        <w:t xml:space="preserve">process of </w:t>
      </w:r>
      <w:r w:rsidR="003658D5" w:rsidRPr="007E09F4">
        <w:rPr>
          <w:rFonts w:ascii="Times New Roman" w:hAnsi="Times New Roman" w:cs="Times New Roman"/>
          <w:color w:val="000000" w:themeColor="text1"/>
          <w:sz w:val="24"/>
        </w:rPr>
        <w:t xml:space="preserve">epithelial </w:t>
      </w:r>
      <w:r w:rsidR="00FA7A95" w:rsidRPr="007E09F4">
        <w:rPr>
          <w:rFonts w:ascii="Times New Roman" w:hAnsi="Times New Roman" w:cs="Times New Roman"/>
          <w:color w:val="000000" w:themeColor="text1"/>
          <w:sz w:val="24"/>
        </w:rPr>
        <w:t xml:space="preserve">barrier </w:t>
      </w:r>
      <w:r w:rsidR="003658D5" w:rsidRPr="007E09F4">
        <w:rPr>
          <w:rFonts w:ascii="Times New Roman" w:hAnsi="Times New Roman" w:cs="Times New Roman"/>
          <w:color w:val="000000" w:themeColor="text1"/>
          <w:sz w:val="24"/>
        </w:rPr>
        <w:t>disruption, leading to increase</w:t>
      </w:r>
      <w:r w:rsidR="00CB5BF8" w:rsidRPr="007E09F4">
        <w:rPr>
          <w:rFonts w:ascii="Times New Roman" w:hAnsi="Times New Roman" w:cs="Times New Roman"/>
          <w:color w:val="000000" w:themeColor="text1"/>
          <w:sz w:val="24"/>
        </w:rPr>
        <w:t>d</w:t>
      </w:r>
      <w:r w:rsidR="003658D5" w:rsidRPr="007E09F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C68F2" w:rsidRPr="007E09F4">
        <w:rPr>
          <w:rFonts w:ascii="Times New Roman" w:hAnsi="Times New Roman" w:cs="Times New Roman"/>
          <w:color w:val="000000" w:themeColor="text1"/>
          <w:sz w:val="24"/>
        </w:rPr>
        <w:t xml:space="preserve">epithelial permeability. </w:t>
      </w:r>
      <w:r w:rsidR="002662D1" w:rsidRPr="007E09F4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4573B421" w14:textId="2859B7B7" w:rsidR="006148BC" w:rsidRPr="007E09F4" w:rsidRDefault="00F90123" w:rsidP="00397FF7">
      <w:pPr>
        <w:widowControl/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E09F4">
        <w:rPr>
          <w:rFonts w:ascii="Times New Roman" w:hAnsi="Times New Roman" w:cs="Times New Roman"/>
          <w:color w:val="000000" w:themeColor="text1"/>
          <w:sz w:val="24"/>
        </w:rPr>
        <w:t>HDM: house dust mite; PGC-1α: peroxisome proliferator-activated receptor gamma coactivator 1 alpha; NRF1: nuclear respiratory factor1; TFAM: mitochondria transcription factor A; TLR4: Toll-like receptor 4; PAR2 protease activated receptor 2; ac: acetylated.</w:t>
      </w:r>
    </w:p>
    <w:sectPr w:rsidR="006148BC" w:rsidRPr="007E09F4" w:rsidSect="002B405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C8A"/>
    <w:rsid w:val="00106FD4"/>
    <w:rsid w:val="00107C8A"/>
    <w:rsid w:val="001619BD"/>
    <w:rsid w:val="001709DA"/>
    <w:rsid w:val="001C1E65"/>
    <w:rsid w:val="00233370"/>
    <w:rsid w:val="00237B26"/>
    <w:rsid w:val="002662D1"/>
    <w:rsid w:val="002B4051"/>
    <w:rsid w:val="00337358"/>
    <w:rsid w:val="00362869"/>
    <w:rsid w:val="003658D5"/>
    <w:rsid w:val="0039108A"/>
    <w:rsid w:val="00397FF7"/>
    <w:rsid w:val="003E1B6A"/>
    <w:rsid w:val="003E5C2E"/>
    <w:rsid w:val="00544224"/>
    <w:rsid w:val="00556145"/>
    <w:rsid w:val="00585CA7"/>
    <w:rsid w:val="005A543C"/>
    <w:rsid w:val="005B0A42"/>
    <w:rsid w:val="005B786F"/>
    <w:rsid w:val="005F0B9B"/>
    <w:rsid w:val="006148BC"/>
    <w:rsid w:val="00623640"/>
    <w:rsid w:val="00624D8D"/>
    <w:rsid w:val="00634508"/>
    <w:rsid w:val="007534C5"/>
    <w:rsid w:val="007863B5"/>
    <w:rsid w:val="007B3733"/>
    <w:rsid w:val="007C68F2"/>
    <w:rsid w:val="007D0AC1"/>
    <w:rsid w:val="007E09F4"/>
    <w:rsid w:val="00811AB9"/>
    <w:rsid w:val="0087420D"/>
    <w:rsid w:val="00895241"/>
    <w:rsid w:val="008F4925"/>
    <w:rsid w:val="009623AA"/>
    <w:rsid w:val="00974D73"/>
    <w:rsid w:val="009A3396"/>
    <w:rsid w:val="00A15133"/>
    <w:rsid w:val="00A97D43"/>
    <w:rsid w:val="00AC02B3"/>
    <w:rsid w:val="00B478DC"/>
    <w:rsid w:val="00B96880"/>
    <w:rsid w:val="00BA2816"/>
    <w:rsid w:val="00BC60C2"/>
    <w:rsid w:val="00C0160E"/>
    <w:rsid w:val="00CB5BF8"/>
    <w:rsid w:val="00D05746"/>
    <w:rsid w:val="00D072C0"/>
    <w:rsid w:val="00DB045B"/>
    <w:rsid w:val="00EB4D12"/>
    <w:rsid w:val="00F90123"/>
    <w:rsid w:val="00FA7A95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A94D40"/>
  <w15:chartTrackingRefBased/>
  <w15:docId w15:val="{91040B9B-49F1-8E4C-9A94-7D132163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0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08A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9108A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9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市川 朋宏</dc:creator>
  <cp:keywords/>
  <dc:description/>
  <cp:lastModifiedBy>市川 朋宏</cp:lastModifiedBy>
  <cp:revision>2</cp:revision>
  <dcterms:created xsi:type="dcterms:W3CDTF">2021-02-21T14:10:00Z</dcterms:created>
  <dcterms:modified xsi:type="dcterms:W3CDTF">2021-02-21T14:10:00Z</dcterms:modified>
</cp:coreProperties>
</file>