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35363" w14:textId="77777777" w:rsidR="00365CB3" w:rsidRPr="0078701D" w:rsidRDefault="00365CB3" w:rsidP="00365CB3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bookmarkStart w:id="0" w:name="_Hlk60748447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Supplemental </w:t>
      </w:r>
      <w:r w:rsidRPr="0078701D">
        <w:rPr>
          <w:rFonts w:ascii="Arial" w:hAnsi="Arial" w:cs="Arial"/>
          <w:b/>
          <w:bCs/>
          <w:sz w:val="24"/>
          <w:szCs w:val="24"/>
          <w:lang w:val="en-US"/>
        </w:rPr>
        <w:t>Table 7.</w:t>
      </w:r>
      <w:r w:rsidRPr="0078701D">
        <w:rPr>
          <w:rFonts w:ascii="Arial" w:hAnsi="Arial" w:cs="Arial"/>
          <w:sz w:val="24"/>
          <w:szCs w:val="24"/>
          <w:lang w:val="en-US"/>
        </w:rPr>
        <w:t xml:space="preserve"> Restricted or prohibited immunomodulatory or antifibrotic therapies taken at baseline, during treatment with trial drug and/or following discontinuation of trial drug</w:t>
      </w:r>
      <w:r w:rsidRPr="0078701D" w:rsidDel="00A67639">
        <w:rPr>
          <w:rFonts w:ascii="Arial" w:hAnsi="Arial" w:cs="Arial"/>
          <w:sz w:val="24"/>
          <w:szCs w:val="24"/>
          <w:lang w:val="en-US"/>
        </w:rPr>
        <w:t xml:space="preserve"> </w:t>
      </w:r>
      <w:r w:rsidRPr="0078701D">
        <w:rPr>
          <w:rFonts w:ascii="Arial" w:hAnsi="Arial" w:cs="Arial"/>
          <w:sz w:val="24"/>
          <w:szCs w:val="24"/>
          <w:lang w:val="en-US"/>
        </w:rPr>
        <w:t xml:space="preserve">over 52 weeks by customized drug grouping (CDG) category or preferred name in subjects with other fibrotic patterns on HRCT.  </w:t>
      </w:r>
    </w:p>
    <w:bookmarkEnd w:id="0"/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027"/>
        <w:gridCol w:w="2721"/>
      </w:tblGrid>
      <w:tr w:rsidR="00365CB3" w:rsidRPr="003C4EB2" w14:paraId="38D88E63" w14:textId="77777777" w:rsidTr="005D064C">
        <w:trPr>
          <w:trHeight w:val="737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2CD5E" w14:textId="77777777" w:rsidR="00365CB3" w:rsidRPr="003C4EB2" w:rsidRDefault="00365CB3" w:rsidP="005D064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D3ECE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3C4EB2">
              <w:rPr>
                <w:rFonts w:ascii="Arial" w:eastAsiaTheme="minorEastAsia" w:hAnsi="Arial" w:cs="Arial"/>
                <w:b/>
                <w:bCs/>
                <w:lang w:eastAsia="zh-CN" w:bidi="th-TH"/>
              </w:rPr>
              <w:t>Nintedanib</w:t>
            </w:r>
            <w:proofErr w:type="spellEnd"/>
            <w:r w:rsidRPr="003C4EB2">
              <w:rPr>
                <w:rFonts w:ascii="Arial" w:eastAsiaTheme="minorEastAsia" w:hAnsi="Arial" w:cs="Arial"/>
                <w:b/>
                <w:bCs/>
                <w:lang w:eastAsia="zh-CN" w:bidi="th-TH"/>
              </w:rPr>
              <w:t xml:space="preserve"> (n=126)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F2C64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b/>
                <w:bCs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b/>
                <w:bCs/>
                <w:lang w:eastAsia="zh-CN" w:bidi="th-TH"/>
              </w:rPr>
              <w:t>Placebo</w:t>
            </w:r>
          </w:p>
          <w:p w14:paraId="3436E413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eastAsiaTheme="minorEastAsia" w:hAnsi="Arial" w:cs="Arial"/>
                <w:b/>
                <w:bCs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b/>
                <w:bCs/>
                <w:lang w:eastAsia="zh-CN" w:bidi="th-TH"/>
              </w:rPr>
              <w:t xml:space="preserve"> (n=125)</w:t>
            </w:r>
          </w:p>
        </w:tc>
      </w:tr>
      <w:tr w:rsidR="00365CB3" w:rsidRPr="003C4EB2" w14:paraId="52269174" w14:textId="77777777" w:rsidTr="005D064C">
        <w:trPr>
          <w:trHeight w:val="506"/>
        </w:trPr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66DB2B81" w14:textId="77777777" w:rsidR="00365CB3" w:rsidRPr="003C4EB2" w:rsidRDefault="00365CB3" w:rsidP="005D064C">
            <w:pPr>
              <w:spacing w:line="480" w:lineRule="auto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  <w:color w:val="000000"/>
              </w:rPr>
              <w:t xml:space="preserve">≥1 restricted or prohibited therapy  </w:t>
            </w:r>
          </w:p>
        </w:tc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14:paraId="0120CEE8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</w:rPr>
              <w:t>18 (14.3)</w:t>
            </w:r>
          </w:p>
        </w:tc>
        <w:tc>
          <w:tcPr>
            <w:tcW w:w="2721" w:type="dxa"/>
            <w:tcBorders>
              <w:top w:val="single" w:sz="4" w:space="0" w:color="auto"/>
            </w:tcBorders>
            <w:vAlign w:val="center"/>
          </w:tcPr>
          <w:p w14:paraId="62AE41FE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C4EB2">
              <w:rPr>
                <w:rFonts w:ascii="Arial" w:hAnsi="Arial" w:cs="Arial"/>
                <w:color w:val="000000"/>
              </w:rPr>
              <w:t>33 (26.4)</w:t>
            </w:r>
          </w:p>
        </w:tc>
      </w:tr>
      <w:tr w:rsidR="00365CB3" w:rsidRPr="003C4EB2" w14:paraId="67955051" w14:textId="77777777" w:rsidTr="005D064C">
        <w:trPr>
          <w:trHeight w:val="506"/>
        </w:trPr>
        <w:tc>
          <w:tcPr>
            <w:tcW w:w="4111" w:type="dxa"/>
            <w:vAlign w:val="center"/>
          </w:tcPr>
          <w:p w14:paraId="2CA6EED3" w14:textId="77777777" w:rsidR="00365CB3" w:rsidRPr="003C4EB2" w:rsidRDefault="00365CB3" w:rsidP="005D064C">
            <w:pPr>
              <w:spacing w:line="480" w:lineRule="auto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  <w:color w:val="000000"/>
              </w:rPr>
              <w:t>Glucocorticoids*</w:t>
            </w:r>
          </w:p>
        </w:tc>
        <w:tc>
          <w:tcPr>
            <w:tcW w:w="2027" w:type="dxa"/>
            <w:vAlign w:val="center"/>
          </w:tcPr>
          <w:p w14:paraId="1B24ECC5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</w:rPr>
              <w:t>16 (12.7)</w:t>
            </w:r>
          </w:p>
        </w:tc>
        <w:tc>
          <w:tcPr>
            <w:tcW w:w="2721" w:type="dxa"/>
            <w:vAlign w:val="center"/>
          </w:tcPr>
          <w:p w14:paraId="729C0C6B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C4EB2">
              <w:rPr>
                <w:rFonts w:ascii="Arial" w:hAnsi="Arial" w:cs="Arial"/>
                <w:color w:val="000000"/>
              </w:rPr>
              <w:t>27 (21.6)</w:t>
            </w:r>
          </w:p>
        </w:tc>
      </w:tr>
      <w:tr w:rsidR="00365CB3" w:rsidRPr="003C4EB2" w14:paraId="1B660F7B" w14:textId="77777777" w:rsidTr="005D064C">
        <w:trPr>
          <w:trHeight w:val="506"/>
        </w:trPr>
        <w:tc>
          <w:tcPr>
            <w:tcW w:w="4111" w:type="dxa"/>
            <w:vAlign w:val="center"/>
          </w:tcPr>
          <w:p w14:paraId="66371F8C" w14:textId="77777777" w:rsidR="00365CB3" w:rsidRPr="003C4EB2" w:rsidRDefault="00365CB3" w:rsidP="005D064C">
            <w:pPr>
              <w:spacing w:line="480" w:lineRule="auto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  <w:color w:val="000000"/>
              </w:rPr>
              <w:t>Mycophenolate mofetil</w:t>
            </w:r>
          </w:p>
        </w:tc>
        <w:tc>
          <w:tcPr>
            <w:tcW w:w="2027" w:type="dxa"/>
            <w:vAlign w:val="center"/>
          </w:tcPr>
          <w:p w14:paraId="6BC21BD1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</w:rPr>
              <w:t>5 (4.0)</w:t>
            </w:r>
          </w:p>
        </w:tc>
        <w:tc>
          <w:tcPr>
            <w:tcW w:w="2721" w:type="dxa"/>
            <w:vAlign w:val="center"/>
          </w:tcPr>
          <w:p w14:paraId="10B21897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C4EB2">
              <w:rPr>
                <w:rFonts w:ascii="Arial" w:hAnsi="Arial" w:cs="Arial"/>
                <w:color w:val="000000"/>
              </w:rPr>
              <w:t>4 (3.2)</w:t>
            </w:r>
          </w:p>
        </w:tc>
      </w:tr>
      <w:tr w:rsidR="00365CB3" w:rsidRPr="003C4EB2" w14:paraId="511DE897" w14:textId="77777777" w:rsidTr="005D064C">
        <w:trPr>
          <w:trHeight w:val="506"/>
        </w:trPr>
        <w:tc>
          <w:tcPr>
            <w:tcW w:w="4111" w:type="dxa"/>
            <w:vAlign w:val="center"/>
          </w:tcPr>
          <w:p w14:paraId="356CA51F" w14:textId="77777777" w:rsidR="00365CB3" w:rsidRPr="003C4EB2" w:rsidRDefault="00365CB3" w:rsidP="005D064C">
            <w:pPr>
              <w:spacing w:line="480" w:lineRule="auto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  <w:color w:val="000000"/>
              </w:rPr>
              <w:t>Azathioprine</w:t>
            </w:r>
          </w:p>
        </w:tc>
        <w:tc>
          <w:tcPr>
            <w:tcW w:w="2027" w:type="dxa"/>
            <w:vAlign w:val="center"/>
          </w:tcPr>
          <w:p w14:paraId="24075C06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</w:rPr>
              <w:t>1 (0.8)</w:t>
            </w:r>
          </w:p>
        </w:tc>
        <w:tc>
          <w:tcPr>
            <w:tcW w:w="2721" w:type="dxa"/>
            <w:vAlign w:val="center"/>
          </w:tcPr>
          <w:p w14:paraId="496209C7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C4EB2">
              <w:rPr>
                <w:rFonts w:ascii="Arial" w:hAnsi="Arial" w:cs="Arial"/>
                <w:color w:val="000000"/>
              </w:rPr>
              <w:t>3 (2.4)</w:t>
            </w:r>
          </w:p>
        </w:tc>
      </w:tr>
      <w:tr w:rsidR="00365CB3" w:rsidRPr="003C4EB2" w14:paraId="576AF164" w14:textId="77777777" w:rsidTr="005D064C">
        <w:trPr>
          <w:trHeight w:val="506"/>
        </w:trPr>
        <w:tc>
          <w:tcPr>
            <w:tcW w:w="4111" w:type="dxa"/>
            <w:vAlign w:val="center"/>
          </w:tcPr>
          <w:p w14:paraId="0370C5C5" w14:textId="77777777" w:rsidR="00365CB3" w:rsidRPr="003C4EB2" w:rsidRDefault="00365CB3" w:rsidP="005D064C">
            <w:pPr>
              <w:spacing w:line="480" w:lineRule="auto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  <w:color w:val="000000"/>
              </w:rPr>
              <w:t>Tacrolimus</w:t>
            </w:r>
          </w:p>
        </w:tc>
        <w:tc>
          <w:tcPr>
            <w:tcW w:w="2027" w:type="dxa"/>
            <w:vAlign w:val="center"/>
          </w:tcPr>
          <w:p w14:paraId="185FD309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</w:rPr>
              <w:t>2 (1.6)</w:t>
            </w:r>
          </w:p>
        </w:tc>
        <w:tc>
          <w:tcPr>
            <w:tcW w:w="2721" w:type="dxa"/>
            <w:vAlign w:val="center"/>
          </w:tcPr>
          <w:p w14:paraId="2F2FCA26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C4EB2">
              <w:rPr>
                <w:rFonts w:ascii="Arial" w:hAnsi="Arial" w:cs="Arial"/>
                <w:color w:val="000000"/>
              </w:rPr>
              <w:t>1 (0.8)</w:t>
            </w:r>
          </w:p>
        </w:tc>
      </w:tr>
      <w:tr w:rsidR="00365CB3" w:rsidRPr="003C4EB2" w14:paraId="4EC7C601" w14:textId="77777777" w:rsidTr="005D064C">
        <w:trPr>
          <w:trHeight w:val="506"/>
        </w:trPr>
        <w:tc>
          <w:tcPr>
            <w:tcW w:w="4111" w:type="dxa"/>
            <w:vAlign w:val="center"/>
          </w:tcPr>
          <w:p w14:paraId="3CBB5E26" w14:textId="77777777" w:rsidR="00365CB3" w:rsidRPr="003C4EB2" w:rsidRDefault="00365CB3" w:rsidP="005D064C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3C4EB2">
              <w:rPr>
                <w:rFonts w:ascii="Arial" w:hAnsi="Arial" w:cs="Arial"/>
                <w:color w:val="000000"/>
              </w:rPr>
              <w:t>Rituximab</w:t>
            </w:r>
          </w:p>
        </w:tc>
        <w:tc>
          <w:tcPr>
            <w:tcW w:w="2027" w:type="dxa"/>
            <w:vAlign w:val="center"/>
          </w:tcPr>
          <w:p w14:paraId="7B17A2F4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</w:rPr>
              <w:t>2 (1.6)</w:t>
            </w:r>
          </w:p>
        </w:tc>
        <w:tc>
          <w:tcPr>
            <w:tcW w:w="2721" w:type="dxa"/>
            <w:vAlign w:val="center"/>
          </w:tcPr>
          <w:p w14:paraId="54D371F6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C4EB2">
              <w:rPr>
                <w:rFonts w:ascii="Arial" w:hAnsi="Arial" w:cs="Arial"/>
                <w:color w:val="000000"/>
              </w:rPr>
              <w:t>1 (0.8)</w:t>
            </w:r>
          </w:p>
        </w:tc>
      </w:tr>
      <w:tr w:rsidR="00365CB3" w:rsidRPr="003C4EB2" w14:paraId="099101D4" w14:textId="77777777" w:rsidTr="005D064C">
        <w:trPr>
          <w:trHeight w:val="506"/>
        </w:trPr>
        <w:tc>
          <w:tcPr>
            <w:tcW w:w="4111" w:type="dxa"/>
            <w:vAlign w:val="center"/>
          </w:tcPr>
          <w:p w14:paraId="6103F3D2" w14:textId="77777777" w:rsidR="00365CB3" w:rsidRPr="003C4EB2" w:rsidRDefault="00365CB3" w:rsidP="005D064C">
            <w:pPr>
              <w:spacing w:line="480" w:lineRule="auto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  <w:color w:val="000000"/>
              </w:rPr>
              <w:t>Ciclosporin</w:t>
            </w:r>
          </w:p>
        </w:tc>
        <w:tc>
          <w:tcPr>
            <w:tcW w:w="2027" w:type="dxa"/>
          </w:tcPr>
          <w:p w14:paraId="6FADA8DC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</w:rPr>
              <w:t>1 (0.8)</w:t>
            </w:r>
          </w:p>
        </w:tc>
        <w:tc>
          <w:tcPr>
            <w:tcW w:w="2721" w:type="dxa"/>
          </w:tcPr>
          <w:p w14:paraId="7433FD80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C4EB2">
              <w:rPr>
                <w:rFonts w:ascii="Arial" w:hAnsi="Arial" w:cs="Arial"/>
                <w:color w:val="000000"/>
              </w:rPr>
              <w:t>0</w:t>
            </w:r>
          </w:p>
        </w:tc>
      </w:tr>
      <w:tr w:rsidR="00365CB3" w:rsidRPr="003C4EB2" w14:paraId="74A8BD1B" w14:textId="77777777" w:rsidTr="005D064C">
        <w:trPr>
          <w:trHeight w:val="506"/>
        </w:trPr>
        <w:tc>
          <w:tcPr>
            <w:tcW w:w="4111" w:type="dxa"/>
            <w:vAlign w:val="center"/>
          </w:tcPr>
          <w:p w14:paraId="1AFFCBE7" w14:textId="77777777" w:rsidR="00365CB3" w:rsidRPr="003C4EB2" w:rsidRDefault="00365CB3" w:rsidP="005D064C">
            <w:pPr>
              <w:spacing w:line="480" w:lineRule="auto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  <w:color w:val="000000"/>
              </w:rPr>
              <w:t>Cyclophosphamide</w:t>
            </w:r>
          </w:p>
        </w:tc>
        <w:tc>
          <w:tcPr>
            <w:tcW w:w="2027" w:type="dxa"/>
            <w:vAlign w:val="center"/>
          </w:tcPr>
          <w:p w14:paraId="623E24FF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</w:rPr>
              <w:t>0</w:t>
            </w:r>
          </w:p>
        </w:tc>
        <w:tc>
          <w:tcPr>
            <w:tcW w:w="2721" w:type="dxa"/>
            <w:vAlign w:val="center"/>
          </w:tcPr>
          <w:p w14:paraId="051E40CD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C4EB2">
              <w:rPr>
                <w:rFonts w:ascii="Arial" w:hAnsi="Arial" w:cs="Arial"/>
                <w:color w:val="000000"/>
              </w:rPr>
              <w:t>0</w:t>
            </w:r>
          </w:p>
        </w:tc>
      </w:tr>
      <w:tr w:rsidR="00365CB3" w:rsidRPr="003C4EB2" w14:paraId="573E8679" w14:textId="77777777" w:rsidTr="005D064C">
        <w:trPr>
          <w:trHeight w:val="506"/>
        </w:trPr>
        <w:tc>
          <w:tcPr>
            <w:tcW w:w="4111" w:type="dxa"/>
            <w:vAlign w:val="center"/>
          </w:tcPr>
          <w:p w14:paraId="086B9D56" w14:textId="77777777" w:rsidR="00365CB3" w:rsidRPr="003C4EB2" w:rsidRDefault="00365CB3" w:rsidP="005D064C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3C4EB2">
              <w:rPr>
                <w:rFonts w:ascii="Arial" w:hAnsi="Arial" w:cs="Arial"/>
                <w:color w:val="000000"/>
              </w:rPr>
              <w:t>Nintedanib</w:t>
            </w:r>
            <w:proofErr w:type="spellEnd"/>
            <w:r w:rsidRPr="003C4EB2">
              <w:rPr>
                <w:rFonts w:ascii="Arial" w:hAnsi="Arial" w:cs="Arial"/>
                <w:color w:val="000000"/>
                <w:vertAlign w:val="superscript"/>
              </w:rPr>
              <w:t>*</w:t>
            </w:r>
          </w:p>
        </w:tc>
        <w:tc>
          <w:tcPr>
            <w:tcW w:w="2027" w:type="dxa"/>
            <w:vAlign w:val="center"/>
          </w:tcPr>
          <w:p w14:paraId="237FAEB5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</w:rPr>
              <w:t>0</w:t>
            </w:r>
          </w:p>
        </w:tc>
        <w:tc>
          <w:tcPr>
            <w:tcW w:w="2721" w:type="dxa"/>
            <w:vAlign w:val="center"/>
          </w:tcPr>
          <w:p w14:paraId="745E0DA6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C4EB2">
              <w:rPr>
                <w:rFonts w:ascii="Arial" w:hAnsi="Arial" w:cs="Arial"/>
                <w:color w:val="000000"/>
              </w:rPr>
              <w:t>1 (0.8)</w:t>
            </w:r>
          </w:p>
        </w:tc>
      </w:tr>
      <w:tr w:rsidR="00365CB3" w:rsidRPr="003C4EB2" w14:paraId="1B299050" w14:textId="77777777" w:rsidTr="005D064C">
        <w:trPr>
          <w:trHeight w:val="506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4B9C2D3" w14:textId="77777777" w:rsidR="00365CB3" w:rsidRPr="003C4EB2" w:rsidRDefault="00365CB3" w:rsidP="005D064C">
            <w:pPr>
              <w:spacing w:line="480" w:lineRule="auto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  <w:color w:val="000000"/>
              </w:rPr>
              <w:t>Pirfenidone</w:t>
            </w:r>
            <w:r w:rsidRPr="003C4EB2">
              <w:rPr>
                <w:rFonts w:ascii="Arial" w:hAnsi="Arial" w:cs="Arial"/>
                <w:color w:val="000000"/>
                <w:vertAlign w:val="superscript"/>
              </w:rPr>
              <w:t>*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vAlign w:val="center"/>
          </w:tcPr>
          <w:p w14:paraId="3573DD96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C4EB2">
              <w:rPr>
                <w:rFonts w:ascii="Arial" w:hAnsi="Arial" w:cs="Arial"/>
              </w:rPr>
              <w:t>0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14:paraId="3908A187" w14:textId="77777777" w:rsidR="00365CB3" w:rsidRPr="003C4EB2" w:rsidRDefault="00365CB3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C4EB2">
              <w:rPr>
                <w:rFonts w:ascii="Arial" w:hAnsi="Arial" w:cs="Arial"/>
                <w:color w:val="000000"/>
              </w:rPr>
              <w:t>0</w:t>
            </w:r>
          </w:p>
        </w:tc>
      </w:tr>
    </w:tbl>
    <w:p w14:paraId="2491FF7E" w14:textId="77777777" w:rsidR="00365CB3" w:rsidRPr="003C4EB2" w:rsidRDefault="00365CB3" w:rsidP="00365CB3">
      <w:pPr>
        <w:pStyle w:val="CSReferenceFootnote"/>
        <w:tabs>
          <w:tab w:val="left" w:pos="0"/>
        </w:tabs>
        <w:spacing w:line="480" w:lineRule="auto"/>
        <w:ind w:left="0" w:firstLine="0"/>
        <w:rPr>
          <w:rFonts w:ascii="Arial" w:hAnsi="Arial" w:cs="Arial"/>
          <w:sz w:val="20"/>
          <w:szCs w:val="20"/>
        </w:rPr>
      </w:pPr>
      <w:r w:rsidRPr="003C4EB2">
        <w:rPr>
          <w:rFonts w:ascii="Arial" w:hAnsi="Arial" w:cs="Arial"/>
          <w:sz w:val="20"/>
          <w:szCs w:val="20"/>
        </w:rPr>
        <w:t xml:space="preserve">Data are n (%) of subjects who took ≥1 such therapy at baseline, during treatment with trial drug, and/or following discontinuation of trial drug (up to week 52) for any duration. Glucocorticoids were only counted as restricted therapies if used at high dose (&gt;20 mg/day prednisone or equivalent) and if the route of administration was oral, intravenous, intravenous bolus, intravenous drip, or intramuscular. Other therapies are displayed regardless of dose or route of administration. *Based on CDG category; for other therapies, preferred names are shown. HRCT = high-resolution computed tomography; ILD = interstitial lung disease; MCTD = mixed connective tissue disease; RA = rheumatoid arthritis; </w:t>
      </w:r>
      <w:proofErr w:type="spellStart"/>
      <w:r w:rsidRPr="003C4EB2">
        <w:rPr>
          <w:rFonts w:ascii="Arial" w:hAnsi="Arial" w:cs="Arial"/>
          <w:sz w:val="20"/>
          <w:szCs w:val="20"/>
        </w:rPr>
        <w:t>SSc</w:t>
      </w:r>
      <w:proofErr w:type="spellEnd"/>
      <w:r w:rsidRPr="003C4EB2">
        <w:rPr>
          <w:rFonts w:ascii="Arial" w:hAnsi="Arial" w:cs="Arial"/>
          <w:sz w:val="20"/>
          <w:szCs w:val="20"/>
        </w:rPr>
        <w:t xml:space="preserve"> = systemic sclerosis.</w:t>
      </w:r>
    </w:p>
    <w:p w14:paraId="1094E748" w14:textId="77777777" w:rsidR="000C06AA" w:rsidRDefault="000C06AA">
      <w:bookmarkStart w:id="1" w:name="_GoBack"/>
      <w:bookmarkEnd w:id="1"/>
    </w:p>
    <w:sectPr w:rsidR="000C06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B3"/>
    <w:rsid w:val="000C06AA"/>
    <w:rsid w:val="00244BAE"/>
    <w:rsid w:val="0036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BE6CA"/>
  <w15:chartTrackingRefBased/>
  <w15:docId w15:val="{447B6029-3061-4C48-996A-1290BCC0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CB3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ReferenceFootnoteChar">
    <w:name w:val="CS Reference Footnote Char"/>
    <w:basedOn w:val="DefaultParagraphFont"/>
    <w:link w:val="CSReferenceFootnote"/>
    <w:locked/>
    <w:rsid w:val="00365CB3"/>
    <w:rPr>
      <w:sz w:val="18"/>
      <w:szCs w:val="18"/>
      <w:lang w:val="en-US"/>
    </w:rPr>
  </w:style>
  <w:style w:type="paragraph" w:customStyle="1" w:styleId="CSReferenceFootnote">
    <w:name w:val="CS Reference Footnote"/>
    <w:basedOn w:val="Normal"/>
    <w:link w:val="CSReferenceFootnoteChar"/>
    <w:rsid w:val="00365CB3"/>
    <w:pPr>
      <w:tabs>
        <w:tab w:val="left" w:pos="454"/>
      </w:tabs>
      <w:spacing w:before="40" w:after="0" w:line="240" w:lineRule="auto"/>
      <w:ind w:left="454" w:hanging="454"/>
    </w:pPr>
    <w:rPr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Tove</dc:creator>
  <cp:keywords/>
  <dc:description/>
  <cp:lastModifiedBy>Anderson, Tove</cp:lastModifiedBy>
  <cp:revision>1</cp:revision>
  <dcterms:created xsi:type="dcterms:W3CDTF">2021-01-05T14:36:00Z</dcterms:created>
  <dcterms:modified xsi:type="dcterms:W3CDTF">2021-01-05T14:37:00Z</dcterms:modified>
</cp:coreProperties>
</file>