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8FDA57" w14:textId="77777777" w:rsidR="00060BF0" w:rsidRPr="0078701D" w:rsidRDefault="00060BF0" w:rsidP="00060BF0">
      <w:pPr>
        <w:spacing w:after="120" w:line="480" w:lineRule="auto"/>
        <w:rPr>
          <w:sz w:val="24"/>
          <w:szCs w:val="24"/>
          <w:lang w:val="en-US"/>
        </w:rPr>
      </w:pPr>
      <w:bookmarkStart w:id="0" w:name="_Hlk60747890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Supplemental </w:t>
      </w:r>
      <w:r w:rsidRPr="0078701D">
        <w:rPr>
          <w:rFonts w:ascii="Arial" w:hAnsi="Arial" w:cs="Arial"/>
          <w:b/>
          <w:bCs/>
          <w:sz w:val="24"/>
          <w:szCs w:val="24"/>
          <w:lang w:val="en-US"/>
        </w:rPr>
        <w:t>Table 1.</w:t>
      </w:r>
      <w:r w:rsidRPr="0078701D">
        <w:rPr>
          <w:rFonts w:ascii="Arial" w:hAnsi="Arial" w:cs="Arial"/>
          <w:sz w:val="24"/>
          <w:szCs w:val="24"/>
          <w:lang w:val="en-US"/>
        </w:rPr>
        <w:t xml:space="preserve"> Proportions of subjects</w:t>
      </w:r>
      <w:r w:rsidRPr="0078701D">
        <w:rPr>
          <w:sz w:val="24"/>
          <w:szCs w:val="24"/>
          <w:lang w:val="en-US"/>
        </w:rPr>
        <w:t xml:space="preserve"> </w:t>
      </w:r>
      <w:r w:rsidRPr="0078701D">
        <w:rPr>
          <w:rFonts w:ascii="Arial" w:hAnsi="Arial" w:cs="Arial"/>
          <w:sz w:val="24"/>
          <w:szCs w:val="24"/>
          <w:lang w:val="en-US"/>
        </w:rPr>
        <w:t>taking disease-modifying anti-rheumatic drugs (DMARDs) at baseline by WHO standardized drug grouping and preferred name.</w:t>
      </w:r>
    </w:p>
    <w:tbl>
      <w:tblPr>
        <w:tblStyle w:val="TableThem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4"/>
        <w:gridCol w:w="2856"/>
        <w:gridCol w:w="2859"/>
        <w:gridCol w:w="2859"/>
      </w:tblGrid>
      <w:tr w:rsidR="00060BF0" w:rsidRPr="003C4EB2" w14:paraId="43CB5111" w14:textId="77777777" w:rsidTr="005D064C">
        <w:trPr>
          <w:trHeight w:val="454"/>
        </w:trPr>
        <w:tc>
          <w:tcPr>
            <w:tcW w:w="19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B816B9" w14:textId="77777777" w:rsidR="00060BF0" w:rsidRPr="003C4EB2" w:rsidRDefault="00060BF0" w:rsidP="005D064C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bookmarkStart w:id="1" w:name="_Hlk34831281"/>
            <w:bookmarkEnd w:id="0"/>
          </w:p>
        </w:tc>
        <w:tc>
          <w:tcPr>
            <w:tcW w:w="10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4C65E3" w14:textId="77777777" w:rsidR="00060BF0" w:rsidRPr="003C4EB2" w:rsidRDefault="00060BF0" w:rsidP="005D064C">
            <w:pPr>
              <w:spacing w:line="48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3C4EB2">
              <w:rPr>
                <w:rFonts w:ascii="Arial" w:hAnsi="Arial" w:cs="Arial"/>
                <w:b/>
                <w:lang w:val="en-US"/>
              </w:rPr>
              <w:t>Overall population</w:t>
            </w:r>
          </w:p>
          <w:p w14:paraId="6CED9586" w14:textId="77777777" w:rsidR="00060BF0" w:rsidRPr="003C4EB2" w:rsidRDefault="00060BF0" w:rsidP="005D064C">
            <w:pPr>
              <w:spacing w:line="48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3C4EB2">
              <w:rPr>
                <w:rFonts w:ascii="Arial" w:hAnsi="Arial" w:cs="Arial"/>
                <w:b/>
                <w:lang w:val="en-US"/>
              </w:rPr>
              <w:t>(n=663)</w:t>
            </w: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8E2159" w14:textId="77777777" w:rsidR="00060BF0" w:rsidRPr="003C4EB2" w:rsidRDefault="00060BF0" w:rsidP="005D064C">
            <w:pPr>
              <w:spacing w:line="48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3C4EB2">
              <w:rPr>
                <w:rFonts w:ascii="Arial" w:hAnsi="Arial" w:cs="Arial"/>
                <w:b/>
                <w:lang w:val="en-US"/>
              </w:rPr>
              <w:t>UIP-like fibrotic pattern on HRCT</w:t>
            </w:r>
          </w:p>
          <w:p w14:paraId="74A25448" w14:textId="77777777" w:rsidR="00060BF0" w:rsidRPr="003C4EB2" w:rsidRDefault="00060BF0" w:rsidP="005D064C">
            <w:pPr>
              <w:spacing w:line="48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3C4EB2">
              <w:rPr>
                <w:rFonts w:ascii="Arial" w:hAnsi="Arial" w:cs="Arial"/>
                <w:b/>
                <w:lang w:val="en-US"/>
              </w:rPr>
              <w:t>(n=412)</w:t>
            </w: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883F3A" w14:textId="77777777" w:rsidR="00060BF0" w:rsidRPr="003C4EB2" w:rsidRDefault="00060BF0" w:rsidP="005D064C">
            <w:pPr>
              <w:spacing w:line="48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3C4EB2">
              <w:rPr>
                <w:rFonts w:ascii="Arial" w:hAnsi="Arial" w:cs="Arial"/>
                <w:b/>
                <w:lang w:val="en-US"/>
              </w:rPr>
              <w:t>Other fibrotic patterns on HRCT</w:t>
            </w:r>
          </w:p>
          <w:p w14:paraId="0FEE4B4C" w14:textId="77777777" w:rsidR="00060BF0" w:rsidRPr="003C4EB2" w:rsidRDefault="00060BF0" w:rsidP="005D064C">
            <w:pPr>
              <w:spacing w:line="48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3C4EB2">
              <w:rPr>
                <w:rFonts w:ascii="Arial" w:hAnsi="Arial" w:cs="Arial"/>
                <w:b/>
                <w:lang w:val="en-US"/>
              </w:rPr>
              <w:t>(n=251)</w:t>
            </w:r>
          </w:p>
        </w:tc>
      </w:tr>
      <w:tr w:rsidR="00060BF0" w:rsidRPr="003C4EB2" w14:paraId="1A062C83" w14:textId="77777777" w:rsidTr="005D064C">
        <w:trPr>
          <w:trHeight w:val="397"/>
        </w:trPr>
        <w:tc>
          <w:tcPr>
            <w:tcW w:w="1929" w:type="pct"/>
            <w:tcBorders>
              <w:top w:val="single" w:sz="4" w:space="0" w:color="auto"/>
            </w:tcBorders>
          </w:tcPr>
          <w:p w14:paraId="69F1C454" w14:textId="77777777" w:rsidR="00060BF0" w:rsidRPr="003C4EB2" w:rsidRDefault="00060BF0" w:rsidP="005D064C">
            <w:pPr>
              <w:spacing w:before="60" w:after="60" w:line="480" w:lineRule="auto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eastAsiaTheme="minorEastAsia" w:hAnsi="Arial" w:cs="Arial"/>
                <w:lang w:val="en-US" w:eastAsia="zh-CN" w:bidi="th-TH"/>
              </w:rPr>
              <w:t>Biologic DMARDs</w:t>
            </w:r>
          </w:p>
        </w:tc>
        <w:tc>
          <w:tcPr>
            <w:tcW w:w="1023" w:type="pct"/>
            <w:tcBorders>
              <w:top w:val="single" w:sz="4" w:space="0" w:color="auto"/>
            </w:tcBorders>
          </w:tcPr>
          <w:p w14:paraId="7B05AB78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31 (4.7)</w:t>
            </w:r>
          </w:p>
        </w:tc>
        <w:tc>
          <w:tcPr>
            <w:tcW w:w="1024" w:type="pct"/>
            <w:tcBorders>
              <w:top w:val="single" w:sz="4" w:space="0" w:color="auto"/>
            </w:tcBorders>
          </w:tcPr>
          <w:p w14:paraId="23901C72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27 (6.6)</w:t>
            </w:r>
          </w:p>
        </w:tc>
        <w:tc>
          <w:tcPr>
            <w:tcW w:w="1024" w:type="pct"/>
            <w:tcBorders>
              <w:top w:val="single" w:sz="4" w:space="0" w:color="auto"/>
            </w:tcBorders>
          </w:tcPr>
          <w:p w14:paraId="6AA01302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4 (1.6)</w:t>
            </w:r>
          </w:p>
        </w:tc>
      </w:tr>
      <w:tr w:rsidR="00060BF0" w:rsidRPr="003C4EB2" w14:paraId="1A01C463" w14:textId="77777777" w:rsidTr="005D064C">
        <w:trPr>
          <w:trHeight w:val="397"/>
        </w:trPr>
        <w:tc>
          <w:tcPr>
            <w:tcW w:w="1929" w:type="pct"/>
          </w:tcPr>
          <w:p w14:paraId="79E66FEF" w14:textId="77777777" w:rsidR="00060BF0" w:rsidRPr="003C4EB2" w:rsidRDefault="00060BF0" w:rsidP="005D064C">
            <w:pPr>
              <w:spacing w:before="60" w:after="60" w:line="480" w:lineRule="auto"/>
              <w:ind w:left="321"/>
              <w:rPr>
                <w:rFonts w:ascii="Arial" w:eastAsiaTheme="minorEastAsia" w:hAnsi="Arial" w:cs="Arial"/>
                <w:lang w:val="en-US" w:eastAsia="zh-CN" w:bidi="th-TH"/>
              </w:rPr>
            </w:pPr>
            <w:r w:rsidRPr="003C4EB2">
              <w:rPr>
                <w:rFonts w:ascii="Arial" w:eastAsiaTheme="minorEastAsia" w:hAnsi="Arial" w:cs="Arial"/>
                <w:lang w:val="en-US" w:eastAsia="zh-CN" w:bidi="th-TH"/>
              </w:rPr>
              <w:t>Denosumab</w:t>
            </w:r>
          </w:p>
        </w:tc>
        <w:tc>
          <w:tcPr>
            <w:tcW w:w="1023" w:type="pct"/>
          </w:tcPr>
          <w:p w14:paraId="18611591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11 (1.7)</w:t>
            </w:r>
          </w:p>
        </w:tc>
        <w:tc>
          <w:tcPr>
            <w:tcW w:w="1024" w:type="pct"/>
          </w:tcPr>
          <w:p w14:paraId="5F852B53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8 (1.</w:t>
            </w:r>
            <w:r>
              <w:rPr>
                <w:rFonts w:ascii="Arial" w:hAnsi="Arial" w:cs="Arial"/>
                <w:lang w:val="en-US"/>
              </w:rPr>
              <w:t>9</w:t>
            </w:r>
            <w:r w:rsidRPr="003C4EB2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1024" w:type="pct"/>
          </w:tcPr>
          <w:p w14:paraId="12DBEC37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3 (1.2)</w:t>
            </w:r>
          </w:p>
        </w:tc>
      </w:tr>
      <w:tr w:rsidR="00060BF0" w:rsidRPr="003C4EB2" w14:paraId="510D86AF" w14:textId="77777777" w:rsidTr="005D064C">
        <w:trPr>
          <w:trHeight w:val="397"/>
        </w:trPr>
        <w:tc>
          <w:tcPr>
            <w:tcW w:w="1929" w:type="pct"/>
          </w:tcPr>
          <w:p w14:paraId="50D7CB9A" w14:textId="77777777" w:rsidR="00060BF0" w:rsidRPr="003C4EB2" w:rsidRDefault="00060BF0" w:rsidP="005D064C">
            <w:pPr>
              <w:spacing w:before="60" w:after="60" w:line="480" w:lineRule="auto"/>
              <w:ind w:left="321"/>
              <w:rPr>
                <w:rFonts w:ascii="Arial" w:eastAsiaTheme="minorEastAsia" w:hAnsi="Arial" w:cs="Arial"/>
                <w:lang w:val="en-US" w:eastAsia="zh-CN" w:bidi="th-TH"/>
              </w:rPr>
            </w:pPr>
            <w:r w:rsidRPr="003C4EB2">
              <w:rPr>
                <w:rFonts w:ascii="Arial" w:eastAsiaTheme="minorEastAsia" w:hAnsi="Arial" w:cs="Arial"/>
                <w:lang w:val="en-US" w:eastAsia="zh-CN" w:bidi="th-TH"/>
              </w:rPr>
              <w:t>Abatacept</w:t>
            </w:r>
          </w:p>
        </w:tc>
        <w:tc>
          <w:tcPr>
            <w:tcW w:w="1023" w:type="pct"/>
          </w:tcPr>
          <w:p w14:paraId="01AAB149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6 (0.9)</w:t>
            </w:r>
          </w:p>
        </w:tc>
        <w:tc>
          <w:tcPr>
            <w:tcW w:w="1024" w:type="pct"/>
          </w:tcPr>
          <w:p w14:paraId="0C5FE4EF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5 (1.2)</w:t>
            </w:r>
          </w:p>
        </w:tc>
        <w:tc>
          <w:tcPr>
            <w:tcW w:w="1024" w:type="pct"/>
          </w:tcPr>
          <w:p w14:paraId="55DE6D22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1 (0.4)</w:t>
            </w:r>
          </w:p>
        </w:tc>
      </w:tr>
      <w:tr w:rsidR="00060BF0" w:rsidRPr="003C4EB2" w14:paraId="21EB05DB" w14:textId="77777777" w:rsidTr="005D064C">
        <w:trPr>
          <w:trHeight w:val="397"/>
        </w:trPr>
        <w:tc>
          <w:tcPr>
            <w:tcW w:w="1929" w:type="pct"/>
          </w:tcPr>
          <w:p w14:paraId="0EF4D439" w14:textId="77777777" w:rsidR="00060BF0" w:rsidRPr="003C4EB2" w:rsidRDefault="00060BF0" w:rsidP="005D064C">
            <w:pPr>
              <w:spacing w:before="60" w:after="60" w:line="480" w:lineRule="auto"/>
              <w:ind w:left="321"/>
              <w:rPr>
                <w:rFonts w:ascii="Arial" w:eastAsiaTheme="minorEastAsia" w:hAnsi="Arial" w:cs="Arial"/>
                <w:lang w:val="en-US" w:eastAsia="zh-CN" w:bidi="th-TH"/>
              </w:rPr>
            </w:pPr>
            <w:r w:rsidRPr="003C4EB2">
              <w:rPr>
                <w:rFonts w:ascii="Arial" w:eastAsiaTheme="minorEastAsia" w:hAnsi="Arial" w:cs="Arial"/>
                <w:lang w:val="en-US" w:eastAsia="zh-CN" w:bidi="th-TH"/>
              </w:rPr>
              <w:t>Etanercept</w:t>
            </w:r>
          </w:p>
        </w:tc>
        <w:tc>
          <w:tcPr>
            <w:tcW w:w="1023" w:type="pct"/>
          </w:tcPr>
          <w:p w14:paraId="617E50B8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4 (0.6)</w:t>
            </w:r>
          </w:p>
        </w:tc>
        <w:tc>
          <w:tcPr>
            <w:tcW w:w="1024" w:type="pct"/>
          </w:tcPr>
          <w:p w14:paraId="45EB7DA8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4 (1.0)</w:t>
            </w:r>
          </w:p>
        </w:tc>
        <w:tc>
          <w:tcPr>
            <w:tcW w:w="1024" w:type="pct"/>
          </w:tcPr>
          <w:p w14:paraId="76407590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0</w:t>
            </w:r>
          </w:p>
        </w:tc>
      </w:tr>
      <w:tr w:rsidR="00060BF0" w:rsidRPr="003C4EB2" w14:paraId="7D48DF7F" w14:textId="77777777" w:rsidTr="005D064C">
        <w:trPr>
          <w:trHeight w:val="397"/>
        </w:trPr>
        <w:tc>
          <w:tcPr>
            <w:tcW w:w="1929" w:type="pct"/>
          </w:tcPr>
          <w:p w14:paraId="504C75CE" w14:textId="77777777" w:rsidR="00060BF0" w:rsidRPr="003C4EB2" w:rsidRDefault="00060BF0" w:rsidP="005D064C">
            <w:pPr>
              <w:spacing w:before="60" w:after="60" w:line="480" w:lineRule="auto"/>
              <w:ind w:left="321"/>
              <w:rPr>
                <w:rFonts w:ascii="Arial" w:eastAsiaTheme="minorEastAsia" w:hAnsi="Arial" w:cs="Arial"/>
                <w:lang w:val="en-US" w:eastAsia="zh-CN" w:bidi="th-TH"/>
              </w:rPr>
            </w:pPr>
            <w:r w:rsidRPr="003C4EB2">
              <w:rPr>
                <w:rFonts w:ascii="Arial" w:eastAsiaTheme="minorEastAsia" w:hAnsi="Arial" w:cs="Arial"/>
                <w:lang w:val="en-US" w:eastAsia="zh-CN" w:bidi="th-TH"/>
              </w:rPr>
              <w:t>Tocilizumab</w:t>
            </w:r>
          </w:p>
        </w:tc>
        <w:tc>
          <w:tcPr>
            <w:tcW w:w="1023" w:type="pct"/>
          </w:tcPr>
          <w:p w14:paraId="2050321C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4 (0.6)</w:t>
            </w:r>
          </w:p>
        </w:tc>
        <w:tc>
          <w:tcPr>
            <w:tcW w:w="1024" w:type="pct"/>
          </w:tcPr>
          <w:p w14:paraId="3F9F2095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4 (1.0)</w:t>
            </w:r>
          </w:p>
        </w:tc>
        <w:tc>
          <w:tcPr>
            <w:tcW w:w="1024" w:type="pct"/>
          </w:tcPr>
          <w:p w14:paraId="56B1C7BF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0</w:t>
            </w:r>
          </w:p>
        </w:tc>
      </w:tr>
      <w:tr w:rsidR="00060BF0" w:rsidRPr="003C4EB2" w14:paraId="498662F1" w14:textId="77777777" w:rsidTr="005D064C">
        <w:trPr>
          <w:trHeight w:val="397"/>
        </w:trPr>
        <w:tc>
          <w:tcPr>
            <w:tcW w:w="1929" w:type="pct"/>
          </w:tcPr>
          <w:p w14:paraId="6FB307AA" w14:textId="77777777" w:rsidR="00060BF0" w:rsidRPr="003C4EB2" w:rsidRDefault="00060BF0" w:rsidP="005D064C">
            <w:pPr>
              <w:spacing w:before="60" w:after="60" w:line="480" w:lineRule="auto"/>
              <w:ind w:left="321"/>
              <w:rPr>
                <w:rFonts w:ascii="Arial" w:eastAsiaTheme="minorEastAsia" w:hAnsi="Arial" w:cs="Arial"/>
                <w:lang w:val="en-US" w:eastAsia="zh-CN" w:bidi="th-TH"/>
              </w:rPr>
            </w:pPr>
            <w:r w:rsidRPr="003C4EB2">
              <w:rPr>
                <w:rFonts w:ascii="Arial" w:eastAsiaTheme="minorEastAsia" w:hAnsi="Arial" w:cs="Arial"/>
                <w:lang w:val="en-US" w:eastAsia="zh-CN" w:bidi="th-TH"/>
              </w:rPr>
              <w:t>Adalimumab</w:t>
            </w:r>
          </w:p>
        </w:tc>
        <w:tc>
          <w:tcPr>
            <w:tcW w:w="1023" w:type="pct"/>
          </w:tcPr>
          <w:p w14:paraId="423A00C4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3 (0.5)</w:t>
            </w:r>
          </w:p>
        </w:tc>
        <w:tc>
          <w:tcPr>
            <w:tcW w:w="1024" w:type="pct"/>
          </w:tcPr>
          <w:p w14:paraId="463C2A5B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3 (0.7)</w:t>
            </w:r>
          </w:p>
        </w:tc>
        <w:tc>
          <w:tcPr>
            <w:tcW w:w="1024" w:type="pct"/>
          </w:tcPr>
          <w:p w14:paraId="0D31C605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0</w:t>
            </w:r>
          </w:p>
        </w:tc>
      </w:tr>
      <w:tr w:rsidR="00060BF0" w:rsidRPr="003C4EB2" w14:paraId="02FADB62" w14:textId="77777777" w:rsidTr="005D064C">
        <w:trPr>
          <w:trHeight w:val="397"/>
        </w:trPr>
        <w:tc>
          <w:tcPr>
            <w:tcW w:w="1929" w:type="pct"/>
          </w:tcPr>
          <w:p w14:paraId="438E8913" w14:textId="77777777" w:rsidR="00060BF0" w:rsidRPr="003C4EB2" w:rsidRDefault="00060BF0" w:rsidP="005D064C">
            <w:pPr>
              <w:spacing w:before="60" w:after="60" w:line="480" w:lineRule="auto"/>
              <w:ind w:left="321"/>
              <w:rPr>
                <w:rFonts w:ascii="Arial" w:eastAsiaTheme="minorEastAsia" w:hAnsi="Arial" w:cs="Arial"/>
                <w:lang w:val="en-US" w:eastAsia="zh-CN" w:bidi="th-TH"/>
              </w:rPr>
            </w:pPr>
            <w:r w:rsidRPr="003C4EB2">
              <w:rPr>
                <w:rFonts w:ascii="Arial" w:eastAsiaTheme="minorEastAsia" w:hAnsi="Arial" w:cs="Arial"/>
                <w:lang w:val="en-US" w:eastAsia="zh-CN" w:bidi="th-TH"/>
              </w:rPr>
              <w:t>Infliximab</w:t>
            </w:r>
          </w:p>
        </w:tc>
        <w:tc>
          <w:tcPr>
            <w:tcW w:w="1023" w:type="pct"/>
          </w:tcPr>
          <w:p w14:paraId="4E2D695B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2 (0.3)</w:t>
            </w:r>
          </w:p>
        </w:tc>
        <w:tc>
          <w:tcPr>
            <w:tcW w:w="1024" w:type="pct"/>
          </w:tcPr>
          <w:p w14:paraId="3F2F9E87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2 (0.5)</w:t>
            </w:r>
          </w:p>
        </w:tc>
        <w:tc>
          <w:tcPr>
            <w:tcW w:w="1024" w:type="pct"/>
          </w:tcPr>
          <w:p w14:paraId="20E16C0C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0</w:t>
            </w:r>
          </w:p>
        </w:tc>
      </w:tr>
      <w:tr w:rsidR="00060BF0" w:rsidRPr="003C4EB2" w14:paraId="7FC74FED" w14:textId="77777777" w:rsidTr="005D064C">
        <w:trPr>
          <w:trHeight w:val="397"/>
        </w:trPr>
        <w:tc>
          <w:tcPr>
            <w:tcW w:w="1929" w:type="pct"/>
          </w:tcPr>
          <w:p w14:paraId="6CBEFBF7" w14:textId="77777777" w:rsidR="00060BF0" w:rsidRPr="003C4EB2" w:rsidRDefault="00060BF0" w:rsidP="005D064C">
            <w:pPr>
              <w:spacing w:before="60" w:after="60" w:line="480" w:lineRule="auto"/>
              <w:ind w:left="321"/>
              <w:rPr>
                <w:rFonts w:ascii="Arial" w:eastAsiaTheme="minorEastAsia" w:hAnsi="Arial" w:cs="Arial"/>
                <w:lang w:val="en-US" w:eastAsia="zh-CN" w:bidi="th-TH"/>
              </w:rPr>
            </w:pPr>
            <w:r w:rsidRPr="003C4EB2">
              <w:rPr>
                <w:rFonts w:ascii="Arial" w:eastAsiaTheme="minorEastAsia" w:hAnsi="Arial" w:cs="Arial"/>
                <w:lang w:val="en-US" w:eastAsia="zh-CN" w:bidi="th-TH"/>
              </w:rPr>
              <w:t>Rituximab</w:t>
            </w:r>
            <w:r>
              <w:rPr>
                <w:rFonts w:ascii="Arial" w:eastAsiaTheme="minorEastAsia" w:hAnsi="Arial" w:cs="Arial"/>
                <w:lang w:val="en-US" w:eastAsia="zh-CN" w:bidi="th-TH"/>
              </w:rPr>
              <w:t>*</w:t>
            </w:r>
          </w:p>
        </w:tc>
        <w:tc>
          <w:tcPr>
            <w:tcW w:w="1023" w:type="pct"/>
          </w:tcPr>
          <w:p w14:paraId="75D529DE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1 (0.2)</w:t>
            </w:r>
          </w:p>
        </w:tc>
        <w:tc>
          <w:tcPr>
            <w:tcW w:w="1024" w:type="pct"/>
          </w:tcPr>
          <w:p w14:paraId="0DB4133A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1 (0.2)</w:t>
            </w:r>
          </w:p>
        </w:tc>
        <w:tc>
          <w:tcPr>
            <w:tcW w:w="1024" w:type="pct"/>
          </w:tcPr>
          <w:p w14:paraId="505248FF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0</w:t>
            </w:r>
          </w:p>
        </w:tc>
      </w:tr>
      <w:tr w:rsidR="00060BF0" w:rsidRPr="003C4EB2" w14:paraId="5B84F3DE" w14:textId="77777777" w:rsidTr="005D064C">
        <w:trPr>
          <w:trHeight w:val="397"/>
        </w:trPr>
        <w:tc>
          <w:tcPr>
            <w:tcW w:w="1929" w:type="pct"/>
          </w:tcPr>
          <w:p w14:paraId="1C522984" w14:textId="77777777" w:rsidR="00060BF0" w:rsidRPr="003C4EB2" w:rsidRDefault="00060BF0" w:rsidP="005D064C">
            <w:pPr>
              <w:spacing w:before="60" w:after="60" w:line="480" w:lineRule="auto"/>
              <w:ind w:left="321"/>
              <w:rPr>
                <w:rFonts w:ascii="Arial" w:eastAsiaTheme="minorEastAsia" w:hAnsi="Arial" w:cs="Arial"/>
                <w:lang w:val="en-US" w:eastAsia="zh-CN" w:bidi="th-TH"/>
              </w:rPr>
            </w:pPr>
            <w:r w:rsidRPr="003C4EB2">
              <w:rPr>
                <w:rFonts w:ascii="Arial" w:eastAsiaTheme="minorEastAsia" w:hAnsi="Arial" w:cs="Arial"/>
                <w:lang w:val="en-US" w:eastAsia="zh-CN" w:bidi="th-TH"/>
              </w:rPr>
              <w:t>Ascorbic acid; collagen</w:t>
            </w:r>
          </w:p>
        </w:tc>
        <w:tc>
          <w:tcPr>
            <w:tcW w:w="1023" w:type="pct"/>
          </w:tcPr>
          <w:p w14:paraId="170F6E85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1 (0.2)</w:t>
            </w:r>
          </w:p>
        </w:tc>
        <w:tc>
          <w:tcPr>
            <w:tcW w:w="1024" w:type="pct"/>
          </w:tcPr>
          <w:p w14:paraId="460F9552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024" w:type="pct"/>
          </w:tcPr>
          <w:p w14:paraId="5EE03CAF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1 (0.4)</w:t>
            </w:r>
          </w:p>
        </w:tc>
      </w:tr>
      <w:tr w:rsidR="00060BF0" w:rsidRPr="003C4EB2" w14:paraId="2489FB99" w14:textId="77777777" w:rsidTr="005D064C">
        <w:trPr>
          <w:trHeight w:val="397"/>
        </w:trPr>
        <w:tc>
          <w:tcPr>
            <w:tcW w:w="1929" w:type="pct"/>
          </w:tcPr>
          <w:p w14:paraId="168C73E0" w14:textId="77777777" w:rsidR="00060BF0" w:rsidRPr="003C4EB2" w:rsidDel="00E6263E" w:rsidRDefault="00060BF0" w:rsidP="005D064C">
            <w:pPr>
              <w:spacing w:before="60" w:after="60" w:line="480" w:lineRule="auto"/>
              <w:ind w:left="321"/>
              <w:rPr>
                <w:rFonts w:ascii="Arial" w:eastAsiaTheme="minorEastAsia" w:hAnsi="Arial" w:cs="Arial"/>
                <w:lang w:val="en-US" w:eastAsia="zh-CN" w:bidi="th-TH"/>
              </w:rPr>
            </w:pPr>
            <w:r w:rsidRPr="003C4EB2">
              <w:rPr>
                <w:rFonts w:ascii="Arial" w:eastAsiaTheme="minorEastAsia" w:hAnsi="Arial" w:cs="Arial"/>
                <w:lang w:val="en-US" w:eastAsia="zh-CN" w:bidi="th-TH"/>
              </w:rPr>
              <w:lastRenderedPageBreak/>
              <w:t xml:space="preserve">Other </w:t>
            </w:r>
          </w:p>
        </w:tc>
        <w:tc>
          <w:tcPr>
            <w:tcW w:w="1023" w:type="pct"/>
          </w:tcPr>
          <w:p w14:paraId="25462541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1 (0.2)</w:t>
            </w:r>
          </w:p>
        </w:tc>
        <w:tc>
          <w:tcPr>
            <w:tcW w:w="1024" w:type="pct"/>
          </w:tcPr>
          <w:p w14:paraId="0F0FF007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1 (0.2)</w:t>
            </w:r>
          </w:p>
        </w:tc>
        <w:tc>
          <w:tcPr>
            <w:tcW w:w="1024" w:type="pct"/>
          </w:tcPr>
          <w:p w14:paraId="717805F8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0</w:t>
            </w:r>
          </w:p>
        </w:tc>
      </w:tr>
      <w:tr w:rsidR="00060BF0" w:rsidRPr="003C4EB2" w14:paraId="47874D5C" w14:textId="77777777" w:rsidTr="005D064C">
        <w:trPr>
          <w:trHeight w:val="397"/>
        </w:trPr>
        <w:tc>
          <w:tcPr>
            <w:tcW w:w="1929" w:type="pct"/>
          </w:tcPr>
          <w:p w14:paraId="5C85E3D6" w14:textId="77777777" w:rsidR="00060BF0" w:rsidRPr="003C4EB2" w:rsidRDefault="00060BF0" w:rsidP="005D064C">
            <w:pPr>
              <w:spacing w:before="60" w:after="60" w:line="480" w:lineRule="auto"/>
              <w:ind w:left="321" w:hanging="284"/>
              <w:rPr>
                <w:rFonts w:ascii="Arial" w:eastAsiaTheme="minorEastAsia" w:hAnsi="Arial" w:cs="Arial"/>
                <w:lang w:val="en-US" w:eastAsia="zh-CN" w:bidi="th-TH"/>
              </w:rPr>
            </w:pPr>
            <w:r w:rsidRPr="003C4EB2">
              <w:rPr>
                <w:rFonts w:ascii="Arial" w:eastAsiaTheme="minorEastAsia" w:hAnsi="Arial" w:cs="Arial"/>
                <w:lang w:val="en-US" w:eastAsia="zh-CN" w:bidi="th-TH"/>
              </w:rPr>
              <w:t>Non-biologic DMARDs</w:t>
            </w:r>
          </w:p>
        </w:tc>
        <w:tc>
          <w:tcPr>
            <w:tcW w:w="1023" w:type="pct"/>
          </w:tcPr>
          <w:p w14:paraId="17827EFB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77 (11.6)</w:t>
            </w:r>
          </w:p>
        </w:tc>
        <w:tc>
          <w:tcPr>
            <w:tcW w:w="1024" w:type="pct"/>
          </w:tcPr>
          <w:p w14:paraId="044E2ECA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61 (14.8)</w:t>
            </w:r>
          </w:p>
        </w:tc>
        <w:tc>
          <w:tcPr>
            <w:tcW w:w="1024" w:type="pct"/>
          </w:tcPr>
          <w:p w14:paraId="4665B96C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16 (6.4)</w:t>
            </w:r>
          </w:p>
        </w:tc>
      </w:tr>
      <w:tr w:rsidR="00060BF0" w:rsidRPr="003C4EB2" w14:paraId="1C8DB183" w14:textId="77777777" w:rsidTr="005D064C">
        <w:trPr>
          <w:trHeight w:val="397"/>
        </w:trPr>
        <w:tc>
          <w:tcPr>
            <w:tcW w:w="1929" w:type="pct"/>
          </w:tcPr>
          <w:p w14:paraId="2CAF9631" w14:textId="77777777" w:rsidR="00060BF0" w:rsidRPr="003C4EB2" w:rsidRDefault="00060BF0" w:rsidP="005D064C">
            <w:pPr>
              <w:spacing w:before="60" w:after="60" w:line="480" w:lineRule="auto"/>
              <w:ind w:left="321"/>
              <w:rPr>
                <w:rFonts w:ascii="Arial" w:eastAsiaTheme="minorEastAsia" w:hAnsi="Arial" w:cs="Arial"/>
                <w:lang w:val="en-US" w:eastAsia="zh-CN" w:bidi="th-TH"/>
              </w:rPr>
            </w:pPr>
            <w:r w:rsidRPr="003C4EB2">
              <w:rPr>
                <w:rFonts w:ascii="Arial" w:eastAsiaTheme="minorEastAsia" w:hAnsi="Arial" w:cs="Arial"/>
                <w:lang w:val="en-US" w:eastAsia="zh-CN" w:bidi="th-TH"/>
              </w:rPr>
              <w:t>Hydroxychloroquine</w:t>
            </w:r>
          </w:p>
        </w:tc>
        <w:tc>
          <w:tcPr>
            <w:tcW w:w="1023" w:type="pct"/>
          </w:tcPr>
          <w:p w14:paraId="6721B27C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22 (3.3)</w:t>
            </w:r>
          </w:p>
        </w:tc>
        <w:tc>
          <w:tcPr>
            <w:tcW w:w="1024" w:type="pct"/>
          </w:tcPr>
          <w:p w14:paraId="12C93357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18 (4.4)</w:t>
            </w:r>
          </w:p>
        </w:tc>
        <w:tc>
          <w:tcPr>
            <w:tcW w:w="1024" w:type="pct"/>
          </w:tcPr>
          <w:p w14:paraId="4BC3407C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 (1.6)</w:t>
            </w:r>
          </w:p>
        </w:tc>
      </w:tr>
      <w:tr w:rsidR="00060BF0" w:rsidRPr="003C4EB2" w14:paraId="43AD2F2E" w14:textId="77777777" w:rsidTr="005D064C">
        <w:trPr>
          <w:trHeight w:val="397"/>
        </w:trPr>
        <w:tc>
          <w:tcPr>
            <w:tcW w:w="1929" w:type="pct"/>
          </w:tcPr>
          <w:p w14:paraId="02DFA79D" w14:textId="77777777" w:rsidR="00060BF0" w:rsidRPr="003C4EB2" w:rsidRDefault="00060BF0" w:rsidP="005D064C">
            <w:pPr>
              <w:spacing w:before="60" w:after="60" w:line="480" w:lineRule="auto"/>
              <w:ind w:left="321"/>
              <w:rPr>
                <w:rFonts w:ascii="Arial" w:eastAsiaTheme="minorEastAsia" w:hAnsi="Arial" w:cs="Arial"/>
                <w:lang w:val="en-US" w:eastAsia="zh-CN" w:bidi="th-TH"/>
              </w:rPr>
            </w:pPr>
            <w:r w:rsidRPr="003C4EB2">
              <w:rPr>
                <w:rFonts w:ascii="Arial" w:eastAsiaTheme="minorEastAsia" w:hAnsi="Arial" w:cs="Arial"/>
                <w:lang w:val="en-US" w:eastAsia="zh-CN" w:bidi="th-TH"/>
              </w:rPr>
              <w:t>Leflunomide</w:t>
            </w:r>
          </w:p>
        </w:tc>
        <w:tc>
          <w:tcPr>
            <w:tcW w:w="1023" w:type="pct"/>
          </w:tcPr>
          <w:p w14:paraId="592DEE47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18 (2.7)</w:t>
            </w:r>
          </w:p>
        </w:tc>
        <w:tc>
          <w:tcPr>
            <w:tcW w:w="1024" w:type="pct"/>
          </w:tcPr>
          <w:p w14:paraId="521AF522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16 (3.9)</w:t>
            </w:r>
          </w:p>
        </w:tc>
        <w:tc>
          <w:tcPr>
            <w:tcW w:w="1024" w:type="pct"/>
          </w:tcPr>
          <w:p w14:paraId="6F3AF3F0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2 (0.8)</w:t>
            </w:r>
          </w:p>
        </w:tc>
      </w:tr>
      <w:tr w:rsidR="00060BF0" w:rsidRPr="003C4EB2" w14:paraId="2173F973" w14:textId="77777777" w:rsidTr="005D064C">
        <w:trPr>
          <w:trHeight w:val="397"/>
        </w:trPr>
        <w:tc>
          <w:tcPr>
            <w:tcW w:w="1929" w:type="pct"/>
          </w:tcPr>
          <w:p w14:paraId="65F7CE40" w14:textId="77777777" w:rsidR="00060BF0" w:rsidRPr="003C4EB2" w:rsidRDefault="00060BF0" w:rsidP="005D064C">
            <w:pPr>
              <w:spacing w:before="60" w:after="60" w:line="480" w:lineRule="auto"/>
              <w:ind w:left="321"/>
              <w:rPr>
                <w:rFonts w:ascii="Arial" w:eastAsiaTheme="minorEastAsia" w:hAnsi="Arial" w:cs="Arial"/>
                <w:lang w:val="en-US" w:eastAsia="zh-CN" w:bidi="th-TH"/>
              </w:rPr>
            </w:pPr>
            <w:r w:rsidRPr="003C4EB2">
              <w:rPr>
                <w:rFonts w:ascii="Arial" w:eastAsiaTheme="minorEastAsia" w:hAnsi="Arial" w:cs="Arial"/>
                <w:lang w:val="en-US" w:eastAsia="zh-CN" w:bidi="th-TH"/>
              </w:rPr>
              <w:t>Methotrexate</w:t>
            </w:r>
          </w:p>
        </w:tc>
        <w:tc>
          <w:tcPr>
            <w:tcW w:w="1023" w:type="pct"/>
          </w:tcPr>
          <w:p w14:paraId="6EB06595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15 (2.3)</w:t>
            </w:r>
          </w:p>
        </w:tc>
        <w:tc>
          <w:tcPr>
            <w:tcW w:w="1024" w:type="pct"/>
          </w:tcPr>
          <w:p w14:paraId="0035FA65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10 (2.4)</w:t>
            </w:r>
          </w:p>
        </w:tc>
        <w:tc>
          <w:tcPr>
            <w:tcW w:w="1024" w:type="pct"/>
          </w:tcPr>
          <w:p w14:paraId="31D3B282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5 (2.0)</w:t>
            </w:r>
          </w:p>
        </w:tc>
      </w:tr>
      <w:tr w:rsidR="00060BF0" w:rsidRPr="003C4EB2" w14:paraId="52D65463" w14:textId="77777777" w:rsidTr="005D064C">
        <w:trPr>
          <w:trHeight w:val="397"/>
        </w:trPr>
        <w:tc>
          <w:tcPr>
            <w:tcW w:w="1929" w:type="pct"/>
          </w:tcPr>
          <w:p w14:paraId="793578EE" w14:textId="77777777" w:rsidR="00060BF0" w:rsidRPr="003C4EB2" w:rsidRDefault="00060BF0" w:rsidP="005D064C">
            <w:pPr>
              <w:spacing w:before="60" w:after="60" w:line="480" w:lineRule="auto"/>
              <w:ind w:left="321"/>
              <w:rPr>
                <w:rFonts w:ascii="Arial" w:eastAsiaTheme="minorEastAsia" w:hAnsi="Arial" w:cs="Arial"/>
                <w:lang w:val="en-US" w:eastAsia="zh-CN" w:bidi="th-TH"/>
              </w:rPr>
            </w:pPr>
            <w:r w:rsidRPr="003C4EB2">
              <w:rPr>
                <w:rFonts w:ascii="Arial" w:eastAsiaTheme="minorEastAsia" w:hAnsi="Arial" w:cs="Arial"/>
                <w:lang w:val="en-US" w:eastAsia="zh-CN" w:bidi="th-TH"/>
              </w:rPr>
              <w:t>Sulfasalazine</w:t>
            </w:r>
          </w:p>
        </w:tc>
        <w:tc>
          <w:tcPr>
            <w:tcW w:w="1023" w:type="pct"/>
          </w:tcPr>
          <w:p w14:paraId="136D3F98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10 (1.5)</w:t>
            </w:r>
          </w:p>
        </w:tc>
        <w:tc>
          <w:tcPr>
            <w:tcW w:w="1024" w:type="pct"/>
          </w:tcPr>
          <w:p w14:paraId="612D6AE1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9 (2.2)</w:t>
            </w:r>
          </w:p>
        </w:tc>
        <w:tc>
          <w:tcPr>
            <w:tcW w:w="1024" w:type="pct"/>
          </w:tcPr>
          <w:p w14:paraId="266A3094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1 (0.4)</w:t>
            </w:r>
          </w:p>
        </w:tc>
      </w:tr>
      <w:tr w:rsidR="00060BF0" w:rsidRPr="003C4EB2" w14:paraId="4859AD79" w14:textId="77777777" w:rsidTr="005D064C">
        <w:trPr>
          <w:trHeight w:val="397"/>
        </w:trPr>
        <w:tc>
          <w:tcPr>
            <w:tcW w:w="1929" w:type="pct"/>
          </w:tcPr>
          <w:p w14:paraId="037043C5" w14:textId="77777777" w:rsidR="00060BF0" w:rsidRPr="003C4EB2" w:rsidRDefault="00060BF0" w:rsidP="005D064C">
            <w:pPr>
              <w:spacing w:before="60" w:after="60" w:line="480" w:lineRule="auto"/>
              <w:ind w:left="321"/>
              <w:rPr>
                <w:rFonts w:ascii="Arial" w:eastAsiaTheme="minorEastAsia" w:hAnsi="Arial" w:cs="Arial"/>
                <w:lang w:val="en-US" w:eastAsia="zh-CN" w:bidi="th-TH"/>
              </w:rPr>
            </w:pPr>
            <w:r w:rsidRPr="003C4EB2">
              <w:rPr>
                <w:rFonts w:ascii="Arial" w:eastAsiaTheme="minorEastAsia" w:hAnsi="Arial" w:cs="Arial"/>
                <w:lang w:val="en-US" w:eastAsia="zh-CN" w:bidi="th-TH"/>
              </w:rPr>
              <w:t>Hydroxychloroquine sulfate</w:t>
            </w:r>
          </w:p>
        </w:tc>
        <w:tc>
          <w:tcPr>
            <w:tcW w:w="1023" w:type="pct"/>
          </w:tcPr>
          <w:p w14:paraId="04E47BF7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8 (1.2)</w:t>
            </w:r>
          </w:p>
        </w:tc>
        <w:tc>
          <w:tcPr>
            <w:tcW w:w="1024" w:type="pct"/>
          </w:tcPr>
          <w:p w14:paraId="4C746A54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6 (1.5)</w:t>
            </w:r>
          </w:p>
        </w:tc>
        <w:tc>
          <w:tcPr>
            <w:tcW w:w="1024" w:type="pct"/>
          </w:tcPr>
          <w:p w14:paraId="291FE9D1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2 (0.8)</w:t>
            </w:r>
          </w:p>
        </w:tc>
      </w:tr>
      <w:tr w:rsidR="00060BF0" w:rsidRPr="003C4EB2" w14:paraId="42E51186" w14:textId="77777777" w:rsidTr="005D064C">
        <w:trPr>
          <w:trHeight w:val="397"/>
        </w:trPr>
        <w:tc>
          <w:tcPr>
            <w:tcW w:w="1929" w:type="pct"/>
          </w:tcPr>
          <w:p w14:paraId="3360DDCA" w14:textId="77777777" w:rsidR="00060BF0" w:rsidRPr="003C4EB2" w:rsidRDefault="00060BF0" w:rsidP="005D064C">
            <w:pPr>
              <w:spacing w:before="60" w:after="60" w:line="480" w:lineRule="auto"/>
              <w:ind w:left="321"/>
              <w:rPr>
                <w:rFonts w:ascii="Arial" w:eastAsiaTheme="minorEastAsia" w:hAnsi="Arial" w:cs="Arial"/>
                <w:lang w:val="en-US" w:eastAsia="zh-CN" w:bidi="th-TH"/>
              </w:rPr>
            </w:pPr>
            <w:r w:rsidRPr="003C4EB2">
              <w:rPr>
                <w:rFonts w:ascii="Arial" w:eastAsiaTheme="minorEastAsia" w:hAnsi="Arial" w:cs="Arial"/>
                <w:lang w:val="en-US" w:eastAsia="zh-CN" w:bidi="th-TH"/>
              </w:rPr>
              <w:t>Methotrexate sodium</w:t>
            </w:r>
          </w:p>
        </w:tc>
        <w:tc>
          <w:tcPr>
            <w:tcW w:w="1023" w:type="pct"/>
          </w:tcPr>
          <w:p w14:paraId="26295844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4 (0.6)</w:t>
            </w:r>
          </w:p>
        </w:tc>
        <w:tc>
          <w:tcPr>
            <w:tcW w:w="1024" w:type="pct"/>
          </w:tcPr>
          <w:p w14:paraId="1B2BDFEE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4 (1.0)</w:t>
            </w:r>
          </w:p>
        </w:tc>
        <w:tc>
          <w:tcPr>
            <w:tcW w:w="1024" w:type="pct"/>
          </w:tcPr>
          <w:p w14:paraId="7D3A5BEA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0</w:t>
            </w:r>
          </w:p>
        </w:tc>
      </w:tr>
      <w:tr w:rsidR="00060BF0" w:rsidRPr="003C4EB2" w14:paraId="422C0CB4" w14:textId="77777777" w:rsidTr="005D064C">
        <w:trPr>
          <w:trHeight w:val="397"/>
        </w:trPr>
        <w:tc>
          <w:tcPr>
            <w:tcW w:w="1929" w:type="pct"/>
          </w:tcPr>
          <w:p w14:paraId="68DE22B6" w14:textId="77777777" w:rsidR="00060BF0" w:rsidRPr="003C4EB2" w:rsidRDefault="00060BF0" w:rsidP="005D064C">
            <w:pPr>
              <w:spacing w:before="60" w:after="60" w:line="480" w:lineRule="auto"/>
              <w:ind w:left="321"/>
              <w:rPr>
                <w:rFonts w:ascii="Arial" w:eastAsiaTheme="minorEastAsia" w:hAnsi="Arial" w:cs="Arial"/>
                <w:lang w:val="en-US" w:eastAsia="zh-CN" w:bidi="th-TH"/>
              </w:rPr>
            </w:pPr>
            <w:r w:rsidRPr="003C4EB2">
              <w:rPr>
                <w:rFonts w:ascii="Arial" w:eastAsiaTheme="minorEastAsia" w:hAnsi="Arial" w:cs="Arial"/>
                <w:lang w:val="en-US" w:eastAsia="zh-CN" w:bidi="th-TH"/>
              </w:rPr>
              <w:t>Mycophenolate mofetil</w:t>
            </w:r>
            <w:r>
              <w:rPr>
                <w:rFonts w:ascii="Arial" w:eastAsiaTheme="minorEastAsia" w:hAnsi="Arial" w:cs="Arial"/>
                <w:lang w:val="en-US" w:eastAsia="zh-CN" w:bidi="th-TH"/>
              </w:rPr>
              <w:t>*</w:t>
            </w:r>
          </w:p>
        </w:tc>
        <w:tc>
          <w:tcPr>
            <w:tcW w:w="1023" w:type="pct"/>
          </w:tcPr>
          <w:p w14:paraId="2CE68293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3 (0.5)</w:t>
            </w:r>
          </w:p>
        </w:tc>
        <w:tc>
          <w:tcPr>
            <w:tcW w:w="1024" w:type="pct"/>
          </w:tcPr>
          <w:p w14:paraId="222C0ECE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3 (0.7)</w:t>
            </w:r>
          </w:p>
        </w:tc>
        <w:tc>
          <w:tcPr>
            <w:tcW w:w="1024" w:type="pct"/>
          </w:tcPr>
          <w:p w14:paraId="0F40C0AB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0</w:t>
            </w:r>
          </w:p>
        </w:tc>
      </w:tr>
      <w:tr w:rsidR="00060BF0" w:rsidRPr="003C4EB2" w14:paraId="24CC6A42" w14:textId="77777777" w:rsidTr="005D064C">
        <w:trPr>
          <w:trHeight w:val="397"/>
        </w:trPr>
        <w:tc>
          <w:tcPr>
            <w:tcW w:w="1929" w:type="pct"/>
          </w:tcPr>
          <w:p w14:paraId="2EF03227" w14:textId="77777777" w:rsidR="00060BF0" w:rsidRPr="003C4EB2" w:rsidRDefault="00060BF0" w:rsidP="005D064C">
            <w:pPr>
              <w:spacing w:before="60" w:after="60" w:line="480" w:lineRule="auto"/>
              <w:ind w:left="321"/>
              <w:rPr>
                <w:rFonts w:ascii="Arial" w:eastAsiaTheme="minorEastAsia" w:hAnsi="Arial" w:cs="Arial"/>
                <w:lang w:val="en-US" w:eastAsia="zh-CN" w:bidi="th-TH"/>
              </w:rPr>
            </w:pPr>
            <w:r w:rsidRPr="003C4EB2">
              <w:rPr>
                <w:rFonts w:ascii="Arial" w:eastAsiaTheme="minorEastAsia" w:hAnsi="Arial" w:cs="Arial"/>
                <w:lang w:val="en-US" w:eastAsia="zh-CN" w:bidi="th-TH"/>
              </w:rPr>
              <w:t xml:space="preserve">Chloroquine phosphate </w:t>
            </w:r>
          </w:p>
        </w:tc>
        <w:tc>
          <w:tcPr>
            <w:tcW w:w="1023" w:type="pct"/>
          </w:tcPr>
          <w:p w14:paraId="4FC0D710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2 (0.3)</w:t>
            </w:r>
          </w:p>
        </w:tc>
        <w:tc>
          <w:tcPr>
            <w:tcW w:w="1024" w:type="pct"/>
          </w:tcPr>
          <w:p w14:paraId="340752EF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1 (0.2)</w:t>
            </w:r>
          </w:p>
        </w:tc>
        <w:tc>
          <w:tcPr>
            <w:tcW w:w="1024" w:type="pct"/>
          </w:tcPr>
          <w:p w14:paraId="180577AA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1 (0.4)</w:t>
            </w:r>
          </w:p>
        </w:tc>
      </w:tr>
      <w:tr w:rsidR="00060BF0" w:rsidRPr="003C4EB2" w14:paraId="42B59307" w14:textId="77777777" w:rsidTr="005D064C">
        <w:trPr>
          <w:trHeight w:val="397"/>
        </w:trPr>
        <w:tc>
          <w:tcPr>
            <w:tcW w:w="1929" w:type="pct"/>
          </w:tcPr>
          <w:p w14:paraId="511533FA" w14:textId="77777777" w:rsidR="00060BF0" w:rsidRPr="003C4EB2" w:rsidRDefault="00060BF0" w:rsidP="005D064C">
            <w:pPr>
              <w:spacing w:before="60" w:after="60" w:line="480" w:lineRule="auto"/>
              <w:ind w:left="321"/>
              <w:rPr>
                <w:rFonts w:ascii="Arial" w:eastAsiaTheme="minorEastAsia" w:hAnsi="Arial" w:cs="Arial"/>
                <w:lang w:val="en-US" w:eastAsia="zh-CN" w:bidi="th-TH"/>
              </w:rPr>
            </w:pPr>
            <w:r w:rsidRPr="003C4EB2">
              <w:rPr>
                <w:rFonts w:ascii="Arial" w:eastAsiaTheme="minorEastAsia" w:hAnsi="Arial" w:cs="Arial"/>
                <w:lang w:val="en-US" w:eastAsia="zh-CN" w:bidi="th-TH"/>
              </w:rPr>
              <w:t>Ciclosporin</w:t>
            </w:r>
            <w:r>
              <w:rPr>
                <w:rFonts w:ascii="Arial" w:eastAsiaTheme="minorEastAsia" w:hAnsi="Arial" w:cs="Arial"/>
                <w:lang w:val="en-US" w:eastAsia="zh-CN" w:bidi="th-TH"/>
              </w:rPr>
              <w:t>*</w:t>
            </w:r>
          </w:p>
        </w:tc>
        <w:tc>
          <w:tcPr>
            <w:tcW w:w="1023" w:type="pct"/>
          </w:tcPr>
          <w:p w14:paraId="3577DB08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2 (0.3)</w:t>
            </w:r>
          </w:p>
        </w:tc>
        <w:tc>
          <w:tcPr>
            <w:tcW w:w="1024" w:type="pct"/>
          </w:tcPr>
          <w:p w14:paraId="521A9A3F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2 (0.5)</w:t>
            </w:r>
          </w:p>
        </w:tc>
        <w:tc>
          <w:tcPr>
            <w:tcW w:w="1024" w:type="pct"/>
          </w:tcPr>
          <w:p w14:paraId="619C42A5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0</w:t>
            </w:r>
          </w:p>
        </w:tc>
      </w:tr>
      <w:tr w:rsidR="00060BF0" w:rsidRPr="003C4EB2" w14:paraId="6575629C" w14:textId="77777777" w:rsidTr="005D064C">
        <w:trPr>
          <w:trHeight w:val="397"/>
        </w:trPr>
        <w:tc>
          <w:tcPr>
            <w:tcW w:w="1929" w:type="pct"/>
          </w:tcPr>
          <w:p w14:paraId="4AD63A46" w14:textId="77777777" w:rsidR="00060BF0" w:rsidRPr="003C4EB2" w:rsidRDefault="00060BF0" w:rsidP="005D064C">
            <w:pPr>
              <w:spacing w:before="60" w:after="60" w:line="480" w:lineRule="auto"/>
              <w:ind w:left="321"/>
              <w:rPr>
                <w:rFonts w:ascii="Arial" w:eastAsiaTheme="minorEastAsia" w:hAnsi="Arial" w:cs="Arial"/>
                <w:lang w:val="en-US" w:eastAsia="zh-CN" w:bidi="th-TH"/>
              </w:rPr>
            </w:pPr>
            <w:r w:rsidRPr="003C4EB2">
              <w:rPr>
                <w:rFonts w:ascii="Arial" w:eastAsiaTheme="minorEastAsia" w:hAnsi="Arial" w:cs="Arial"/>
                <w:lang w:val="en-US" w:eastAsia="zh-CN" w:bidi="th-TH"/>
              </w:rPr>
              <w:t>Doxycycline</w:t>
            </w:r>
          </w:p>
        </w:tc>
        <w:tc>
          <w:tcPr>
            <w:tcW w:w="1023" w:type="pct"/>
          </w:tcPr>
          <w:p w14:paraId="17867B41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2 (0.3)</w:t>
            </w:r>
          </w:p>
        </w:tc>
        <w:tc>
          <w:tcPr>
            <w:tcW w:w="1024" w:type="pct"/>
          </w:tcPr>
          <w:p w14:paraId="1D332EB4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2 (0.5)</w:t>
            </w:r>
          </w:p>
        </w:tc>
        <w:tc>
          <w:tcPr>
            <w:tcW w:w="1024" w:type="pct"/>
          </w:tcPr>
          <w:p w14:paraId="4F936ACF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0</w:t>
            </w:r>
          </w:p>
        </w:tc>
      </w:tr>
      <w:tr w:rsidR="00060BF0" w:rsidRPr="003C4EB2" w14:paraId="6D79A04C" w14:textId="77777777" w:rsidTr="005D064C">
        <w:trPr>
          <w:trHeight w:val="397"/>
        </w:trPr>
        <w:tc>
          <w:tcPr>
            <w:tcW w:w="1929" w:type="pct"/>
          </w:tcPr>
          <w:p w14:paraId="6354EB96" w14:textId="77777777" w:rsidR="00060BF0" w:rsidRPr="003C4EB2" w:rsidRDefault="00060BF0" w:rsidP="005D064C">
            <w:pPr>
              <w:spacing w:before="60" w:after="60" w:line="480" w:lineRule="auto"/>
              <w:ind w:left="321"/>
              <w:rPr>
                <w:rFonts w:ascii="Arial" w:eastAsiaTheme="minorEastAsia" w:hAnsi="Arial" w:cs="Arial"/>
                <w:lang w:val="en-US" w:eastAsia="zh-CN" w:bidi="th-TH"/>
              </w:rPr>
            </w:pPr>
            <w:r w:rsidRPr="003C4EB2">
              <w:rPr>
                <w:rFonts w:ascii="Arial" w:eastAsiaTheme="minorEastAsia" w:hAnsi="Arial" w:cs="Arial"/>
                <w:lang w:val="en-US" w:eastAsia="zh-CN" w:bidi="th-TH"/>
              </w:rPr>
              <w:t>Penicillamine</w:t>
            </w:r>
          </w:p>
        </w:tc>
        <w:tc>
          <w:tcPr>
            <w:tcW w:w="1023" w:type="pct"/>
          </w:tcPr>
          <w:p w14:paraId="4BDECF6E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2 (0.3)</w:t>
            </w:r>
          </w:p>
        </w:tc>
        <w:tc>
          <w:tcPr>
            <w:tcW w:w="1024" w:type="pct"/>
          </w:tcPr>
          <w:p w14:paraId="3DC8850E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1 (0.2)</w:t>
            </w:r>
          </w:p>
        </w:tc>
        <w:tc>
          <w:tcPr>
            <w:tcW w:w="1024" w:type="pct"/>
          </w:tcPr>
          <w:p w14:paraId="50A5389C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1 (0.4)</w:t>
            </w:r>
          </w:p>
        </w:tc>
      </w:tr>
      <w:tr w:rsidR="00060BF0" w:rsidRPr="003C4EB2" w14:paraId="54E9ED5D" w14:textId="77777777" w:rsidTr="005D064C">
        <w:trPr>
          <w:trHeight w:val="397"/>
        </w:trPr>
        <w:tc>
          <w:tcPr>
            <w:tcW w:w="1929" w:type="pct"/>
          </w:tcPr>
          <w:p w14:paraId="6E076577" w14:textId="77777777" w:rsidR="00060BF0" w:rsidRPr="003C4EB2" w:rsidRDefault="00060BF0" w:rsidP="005D064C">
            <w:pPr>
              <w:spacing w:before="60" w:after="60" w:line="480" w:lineRule="auto"/>
              <w:ind w:left="321"/>
              <w:rPr>
                <w:rFonts w:ascii="Arial" w:eastAsiaTheme="minorEastAsia" w:hAnsi="Arial" w:cs="Arial"/>
                <w:lang w:val="en-US" w:eastAsia="zh-CN" w:bidi="th-TH"/>
              </w:rPr>
            </w:pPr>
            <w:proofErr w:type="spellStart"/>
            <w:r w:rsidRPr="003C4EB2">
              <w:rPr>
                <w:rFonts w:ascii="Arial" w:eastAsiaTheme="minorEastAsia" w:hAnsi="Arial" w:cs="Arial"/>
                <w:lang w:val="en-US" w:eastAsia="zh-CN" w:bidi="th-TH"/>
              </w:rPr>
              <w:t>Bucillamine</w:t>
            </w:r>
            <w:proofErr w:type="spellEnd"/>
          </w:p>
        </w:tc>
        <w:tc>
          <w:tcPr>
            <w:tcW w:w="1023" w:type="pct"/>
          </w:tcPr>
          <w:p w14:paraId="2CCC68C3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1 (0.2)</w:t>
            </w:r>
          </w:p>
        </w:tc>
        <w:tc>
          <w:tcPr>
            <w:tcW w:w="1024" w:type="pct"/>
          </w:tcPr>
          <w:p w14:paraId="38DBD549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1 (0.2)</w:t>
            </w:r>
          </w:p>
        </w:tc>
        <w:tc>
          <w:tcPr>
            <w:tcW w:w="1024" w:type="pct"/>
          </w:tcPr>
          <w:p w14:paraId="64922031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0</w:t>
            </w:r>
          </w:p>
        </w:tc>
      </w:tr>
      <w:tr w:rsidR="00060BF0" w:rsidRPr="003C4EB2" w14:paraId="750C2D37" w14:textId="77777777" w:rsidTr="005D064C">
        <w:trPr>
          <w:trHeight w:val="397"/>
        </w:trPr>
        <w:tc>
          <w:tcPr>
            <w:tcW w:w="1929" w:type="pct"/>
          </w:tcPr>
          <w:p w14:paraId="2D43E267" w14:textId="77777777" w:rsidR="00060BF0" w:rsidRPr="003C4EB2" w:rsidRDefault="00060BF0" w:rsidP="005D064C">
            <w:pPr>
              <w:spacing w:before="60" w:after="60" w:line="480" w:lineRule="auto"/>
              <w:ind w:left="321"/>
              <w:rPr>
                <w:rFonts w:ascii="Arial" w:eastAsiaTheme="minorEastAsia" w:hAnsi="Arial" w:cs="Arial"/>
                <w:lang w:val="en-US" w:eastAsia="zh-CN" w:bidi="th-TH"/>
              </w:rPr>
            </w:pPr>
            <w:proofErr w:type="spellStart"/>
            <w:r w:rsidRPr="003C4EB2">
              <w:rPr>
                <w:rFonts w:ascii="Arial" w:eastAsiaTheme="minorEastAsia" w:hAnsi="Arial" w:cs="Arial"/>
                <w:lang w:val="en-US" w:eastAsia="zh-CN" w:bidi="th-TH"/>
              </w:rPr>
              <w:lastRenderedPageBreak/>
              <w:t>Iguratimod</w:t>
            </w:r>
            <w:proofErr w:type="spellEnd"/>
          </w:p>
        </w:tc>
        <w:tc>
          <w:tcPr>
            <w:tcW w:w="1023" w:type="pct"/>
          </w:tcPr>
          <w:p w14:paraId="20514630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1 (0.2)</w:t>
            </w:r>
          </w:p>
        </w:tc>
        <w:tc>
          <w:tcPr>
            <w:tcW w:w="1024" w:type="pct"/>
          </w:tcPr>
          <w:p w14:paraId="68FE5ED3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1 (0.2)</w:t>
            </w:r>
          </w:p>
        </w:tc>
        <w:tc>
          <w:tcPr>
            <w:tcW w:w="1024" w:type="pct"/>
          </w:tcPr>
          <w:p w14:paraId="0188B81F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0</w:t>
            </w:r>
          </w:p>
        </w:tc>
      </w:tr>
      <w:tr w:rsidR="00060BF0" w:rsidRPr="003C4EB2" w14:paraId="6D9A90B1" w14:textId="77777777" w:rsidTr="005D064C">
        <w:trPr>
          <w:trHeight w:val="397"/>
        </w:trPr>
        <w:tc>
          <w:tcPr>
            <w:tcW w:w="1929" w:type="pct"/>
          </w:tcPr>
          <w:p w14:paraId="6F2F7A69" w14:textId="77777777" w:rsidR="00060BF0" w:rsidRPr="003C4EB2" w:rsidRDefault="00060BF0" w:rsidP="005D064C">
            <w:pPr>
              <w:spacing w:before="60" w:after="60" w:line="480" w:lineRule="auto"/>
              <w:ind w:left="321"/>
              <w:rPr>
                <w:rFonts w:ascii="Arial" w:eastAsiaTheme="minorEastAsia" w:hAnsi="Arial" w:cs="Arial"/>
                <w:lang w:val="en-US" w:eastAsia="zh-CN" w:bidi="th-TH"/>
              </w:rPr>
            </w:pPr>
            <w:r w:rsidRPr="003C4EB2">
              <w:rPr>
                <w:rFonts w:ascii="Arial" w:eastAsiaTheme="minorEastAsia" w:hAnsi="Arial" w:cs="Arial"/>
                <w:lang w:val="en-US" w:eastAsia="zh-CN" w:bidi="th-TH"/>
              </w:rPr>
              <w:t>Minocycline hydrochloride</w:t>
            </w:r>
          </w:p>
        </w:tc>
        <w:tc>
          <w:tcPr>
            <w:tcW w:w="1023" w:type="pct"/>
          </w:tcPr>
          <w:p w14:paraId="0B77F506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1 (0.2)</w:t>
            </w:r>
          </w:p>
        </w:tc>
        <w:tc>
          <w:tcPr>
            <w:tcW w:w="1024" w:type="pct"/>
          </w:tcPr>
          <w:p w14:paraId="13FFA9CB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024" w:type="pct"/>
          </w:tcPr>
          <w:p w14:paraId="52219694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1 (0.4)</w:t>
            </w:r>
          </w:p>
        </w:tc>
      </w:tr>
      <w:tr w:rsidR="00060BF0" w:rsidRPr="003C4EB2" w14:paraId="5B9E87E0" w14:textId="77777777" w:rsidTr="005D064C">
        <w:trPr>
          <w:trHeight w:val="397"/>
        </w:trPr>
        <w:tc>
          <w:tcPr>
            <w:tcW w:w="1929" w:type="pct"/>
            <w:tcBorders>
              <w:bottom w:val="single" w:sz="4" w:space="0" w:color="auto"/>
            </w:tcBorders>
          </w:tcPr>
          <w:p w14:paraId="5DADC9D7" w14:textId="77777777" w:rsidR="00060BF0" w:rsidRPr="003C4EB2" w:rsidRDefault="00060BF0" w:rsidP="005D064C">
            <w:pPr>
              <w:spacing w:before="60" w:after="60" w:line="480" w:lineRule="auto"/>
              <w:ind w:left="321"/>
              <w:rPr>
                <w:rFonts w:ascii="Arial" w:eastAsiaTheme="minorEastAsia" w:hAnsi="Arial" w:cs="Arial"/>
                <w:lang w:val="en-US" w:eastAsia="zh-CN" w:bidi="th-TH"/>
              </w:rPr>
            </w:pPr>
            <w:r w:rsidRPr="003C4EB2">
              <w:rPr>
                <w:rFonts w:ascii="Arial" w:eastAsiaTheme="minorEastAsia" w:hAnsi="Arial" w:cs="Arial"/>
                <w:lang w:val="en-US" w:eastAsia="zh-CN" w:bidi="th-TH"/>
              </w:rPr>
              <w:t>Tacrolimus</w:t>
            </w:r>
            <w:r>
              <w:rPr>
                <w:rFonts w:ascii="Arial" w:eastAsiaTheme="minorEastAsia" w:hAnsi="Arial" w:cs="Arial"/>
                <w:lang w:val="en-US" w:eastAsia="zh-CN" w:bidi="th-TH"/>
              </w:rPr>
              <w:t>*</w:t>
            </w:r>
          </w:p>
        </w:tc>
        <w:tc>
          <w:tcPr>
            <w:tcW w:w="1023" w:type="pct"/>
            <w:tcBorders>
              <w:bottom w:val="single" w:sz="4" w:space="0" w:color="auto"/>
            </w:tcBorders>
          </w:tcPr>
          <w:p w14:paraId="6F251A8A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1 (0.2)</w:t>
            </w:r>
          </w:p>
        </w:tc>
        <w:tc>
          <w:tcPr>
            <w:tcW w:w="1024" w:type="pct"/>
            <w:tcBorders>
              <w:bottom w:val="single" w:sz="4" w:space="0" w:color="auto"/>
            </w:tcBorders>
          </w:tcPr>
          <w:p w14:paraId="7D780D60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1 (0.2)</w:t>
            </w:r>
          </w:p>
        </w:tc>
        <w:tc>
          <w:tcPr>
            <w:tcW w:w="1024" w:type="pct"/>
            <w:tcBorders>
              <w:bottom w:val="single" w:sz="4" w:space="0" w:color="auto"/>
            </w:tcBorders>
          </w:tcPr>
          <w:p w14:paraId="01A615CA" w14:textId="77777777" w:rsidR="00060BF0" w:rsidRPr="003C4EB2" w:rsidRDefault="00060BF0" w:rsidP="005D064C">
            <w:pPr>
              <w:spacing w:before="60" w:after="60"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3C4EB2">
              <w:rPr>
                <w:rFonts w:ascii="Arial" w:hAnsi="Arial" w:cs="Arial"/>
                <w:lang w:val="en-US"/>
              </w:rPr>
              <w:t>0</w:t>
            </w:r>
          </w:p>
        </w:tc>
      </w:tr>
    </w:tbl>
    <w:bookmarkEnd w:id="1"/>
    <w:p w14:paraId="6BCF7DA1" w14:textId="77777777" w:rsidR="00060BF0" w:rsidRDefault="00060BF0" w:rsidP="00060BF0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3C4EB2">
        <w:rPr>
          <w:rFonts w:ascii="Arial" w:hAnsi="Arial" w:cs="Arial"/>
          <w:sz w:val="20"/>
          <w:szCs w:val="20"/>
          <w:lang w:val="en-US"/>
        </w:rPr>
        <w:t xml:space="preserve">Data are n (%) of subjects taking ≥1 such therapy at baseline. </w:t>
      </w:r>
      <w:r>
        <w:rPr>
          <w:rFonts w:ascii="Arial" w:hAnsi="Arial" w:cs="Arial"/>
          <w:sz w:val="20"/>
          <w:szCs w:val="20"/>
          <w:lang w:val="en-US"/>
        </w:rPr>
        <w:t xml:space="preserve">A patient could be counted in </w:t>
      </w:r>
      <w:r w:rsidRPr="003C4EB2">
        <w:rPr>
          <w:rFonts w:ascii="Arial" w:hAnsi="Arial" w:cs="Arial"/>
          <w:sz w:val="20"/>
          <w:szCs w:val="20"/>
          <w:lang w:val="en-US"/>
        </w:rPr>
        <w:t>≥1</w:t>
      </w:r>
      <w:r>
        <w:rPr>
          <w:rFonts w:ascii="Arial" w:hAnsi="Arial" w:cs="Arial"/>
          <w:sz w:val="20"/>
          <w:szCs w:val="20"/>
          <w:lang w:val="en-US"/>
        </w:rPr>
        <w:t xml:space="preserve"> category. </w:t>
      </w:r>
      <w:r w:rsidRPr="003C4EB2">
        <w:rPr>
          <w:rFonts w:ascii="Arial" w:hAnsi="Arial" w:cs="Arial"/>
          <w:sz w:val="20"/>
          <w:szCs w:val="20"/>
          <w:lang w:val="en-US"/>
        </w:rPr>
        <w:t>HRCT = high-resolution computed tomography; UIP = usual interstitial pneumonia.</w:t>
      </w:r>
      <w:r>
        <w:rPr>
          <w:rFonts w:ascii="Arial" w:hAnsi="Arial" w:cs="Arial"/>
          <w:sz w:val="20"/>
          <w:szCs w:val="20"/>
          <w:lang w:val="en-US"/>
        </w:rPr>
        <w:t xml:space="preserve">  *Deviation from the trial protocol. </w:t>
      </w:r>
    </w:p>
    <w:p w14:paraId="24C82960" w14:textId="77777777" w:rsidR="000C06AA" w:rsidRDefault="000C06AA">
      <w:bookmarkStart w:id="2" w:name="_GoBack"/>
      <w:bookmarkEnd w:id="2"/>
    </w:p>
    <w:sectPr w:rsidR="000C06AA" w:rsidSect="00060BF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BF0"/>
    <w:rsid w:val="00060BF0"/>
    <w:rsid w:val="000C06AA"/>
    <w:rsid w:val="0024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B5D4C"/>
  <w15:chartTrackingRefBased/>
  <w15:docId w15:val="{5BB56153-AD5B-4FCB-A3A2-283A895E9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Theme">
    <w:name w:val="Table Theme"/>
    <w:basedOn w:val="TableNormal"/>
    <w:uiPriority w:val="99"/>
    <w:rsid w:val="00060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Tove</dc:creator>
  <cp:keywords/>
  <dc:description/>
  <cp:lastModifiedBy>Anderson, Tove</cp:lastModifiedBy>
  <cp:revision>1</cp:revision>
  <dcterms:created xsi:type="dcterms:W3CDTF">2021-01-05T14:44:00Z</dcterms:created>
  <dcterms:modified xsi:type="dcterms:W3CDTF">2021-01-05T14:45:00Z</dcterms:modified>
</cp:coreProperties>
</file>