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E67E9" w14:textId="77777777" w:rsidR="0087637C" w:rsidRPr="0078701D" w:rsidRDefault="0087637C" w:rsidP="0087637C">
      <w:pPr>
        <w:spacing w:after="120" w:line="480" w:lineRule="auto"/>
        <w:rPr>
          <w:sz w:val="24"/>
          <w:szCs w:val="24"/>
          <w:lang w:val="en-US"/>
        </w:rPr>
      </w:pPr>
      <w:bookmarkStart w:id="0" w:name="_Hlk60748022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Supplemental </w:t>
      </w:r>
      <w:r w:rsidRPr="0078701D">
        <w:rPr>
          <w:rFonts w:ascii="Arial" w:hAnsi="Arial" w:cs="Arial"/>
          <w:b/>
          <w:bCs/>
          <w:sz w:val="24"/>
          <w:szCs w:val="24"/>
          <w:lang w:val="en-US"/>
        </w:rPr>
        <w:t>Table 2.</w:t>
      </w:r>
      <w:r w:rsidRPr="0078701D">
        <w:rPr>
          <w:rFonts w:ascii="Arial" w:hAnsi="Arial" w:cs="Arial"/>
          <w:sz w:val="24"/>
          <w:szCs w:val="24"/>
          <w:lang w:val="en-US"/>
        </w:rPr>
        <w:t xml:space="preserve"> Proportions of subjects</w:t>
      </w:r>
      <w:r w:rsidRPr="0078701D">
        <w:rPr>
          <w:sz w:val="24"/>
          <w:szCs w:val="24"/>
          <w:lang w:val="en-US"/>
        </w:rPr>
        <w:t xml:space="preserve"> </w:t>
      </w:r>
      <w:r w:rsidRPr="0078701D">
        <w:rPr>
          <w:rFonts w:ascii="Arial" w:hAnsi="Arial" w:cs="Arial"/>
          <w:sz w:val="24"/>
          <w:szCs w:val="24"/>
          <w:lang w:val="en-US"/>
        </w:rPr>
        <w:t>taking disease-modifying anti-rheumatic drugs (DMARDs) at baseline by WHO standardized drug grouping and preferred name in subgroups by ILD diagnosis.</w:t>
      </w:r>
    </w:p>
    <w:bookmarkEnd w:id="0"/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913"/>
        <w:gridCol w:w="1913"/>
        <w:gridCol w:w="1913"/>
        <w:gridCol w:w="1912"/>
        <w:gridCol w:w="1912"/>
      </w:tblGrid>
      <w:tr w:rsidR="0087637C" w:rsidRPr="003C4EB2" w14:paraId="663CFEEA" w14:textId="77777777" w:rsidTr="005D064C">
        <w:trPr>
          <w:trHeight w:val="573"/>
        </w:trPr>
        <w:tc>
          <w:tcPr>
            <w:tcW w:w="15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50D9D" w14:textId="77777777" w:rsidR="0087637C" w:rsidRPr="003C4EB2" w:rsidRDefault="0087637C" w:rsidP="005D064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8342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EB2">
              <w:rPr>
                <w:rFonts w:ascii="Arial" w:hAnsi="Arial" w:cs="Arial"/>
                <w:b/>
                <w:bCs/>
                <w:sz w:val="20"/>
                <w:szCs w:val="20"/>
              </w:rPr>
              <w:t>Hypersensitivity pneumonitis</w:t>
            </w:r>
          </w:p>
          <w:p w14:paraId="28866AA8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EB2">
              <w:rPr>
                <w:rFonts w:ascii="Arial" w:hAnsi="Arial" w:cs="Arial"/>
                <w:b/>
                <w:bCs/>
                <w:sz w:val="20"/>
                <w:szCs w:val="20"/>
              </w:rPr>
              <w:t>(n=173)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66D72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C4EB2">
              <w:rPr>
                <w:rFonts w:ascii="Arial" w:hAnsi="Arial" w:cs="Arial"/>
                <w:b/>
                <w:bCs/>
                <w:sz w:val="20"/>
                <w:szCs w:val="20"/>
              </w:rPr>
              <w:t>iNSIP</w:t>
            </w:r>
            <w:proofErr w:type="spellEnd"/>
          </w:p>
          <w:p w14:paraId="3C91940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EB2">
              <w:rPr>
                <w:rFonts w:ascii="Arial" w:hAnsi="Arial" w:cs="Arial"/>
                <w:b/>
                <w:bCs/>
                <w:sz w:val="20"/>
                <w:szCs w:val="20"/>
              </w:rPr>
              <w:t>(n=125)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842FB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EB2">
              <w:rPr>
                <w:rFonts w:ascii="Arial" w:hAnsi="Arial" w:cs="Arial"/>
                <w:b/>
                <w:bCs/>
                <w:sz w:val="20"/>
                <w:szCs w:val="20"/>
              </w:rPr>
              <w:t>Unclassifiable IIP (n=114)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E75BE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EB2">
              <w:rPr>
                <w:rFonts w:ascii="Arial" w:hAnsi="Arial" w:cs="Arial"/>
                <w:b/>
                <w:bCs/>
                <w:sz w:val="20"/>
                <w:szCs w:val="20"/>
              </w:rPr>
              <w:t>Autoimmune ILDs*</w:t>
            </w:r>
          </w:p>
          <w:p w14:paraId="16D7DCB5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EB2">
              <w:rPr>
                <w:rFonts w:ascii="Arial" w:hAnsi="Arial" w:cs="Arial"/>
                <w:b/>
                <w:bCs/>
                <w:sz w:val="20"/>
                <w:szCs w:val="20"/>
              </w:rPr>
              <w:t>(n=170)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3AC7B2" w14:textId="77777777" w:rsidR="0087637C" w:rsidRPr="00B4115D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4EB2">
              <w:rPr>
                <w:rFonts w:ascii="Arial" w:hAnsi="Arial" w:cs="Arial"/>
                <w:b/>
                <w:bCs/>
                <w:sz w:val="20"/>
                <w:szCs w:val="20"/>
              </w:rPr>
              <w:t>Other ILDs</w:t>
            </w:r>
            <w:r w:rsidRPr="003C4EB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†</w:t>
            </w:r>
          </w:p>
          <w:p w14:paraId="540BDD7E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115D">
              <w:rPr>
                <w:rFonts w:ascii="Arial" w:hAnsi="Arial" w:cs="Arial"/>
                <w:b/>
                <w:bCs/>
                <w:sz w:val="20"/>
                <w:szCs w:val="20"/>
              </w:rPr>
              <w:t>(n=81)</w:t>
            </w:r>
          </w:p>
        </w:tc>
      </w:tr>
      <w:tr w:rsidR="0087637C" w:rsidRPr="003C4EB2" w14:paraId="3C36AB21" w14:textId="77777777" w:rsidTr="005D064C">
        <w:trPr>
          <w:trHeight w:val="397"/>
        </w:trPr>
        <w:tc>
          <w:tcPr>
            <w:tcW w:w="1574" w:type="pct"/>
            <w:tcBorders>
              <w:top w:val="single" w:sz="4" w:space="0" w:color="auto"/>
            </w:tcBorders>
          </w:tcPr>
          <w:p w14:paraId="4D0C5689" w14:textId="77777777" w:rsidR="0087637C" w:rsidRPr="003C4EB2" w:rsidRDefault="0087637C" w:rsidP="005D064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Biologic DMARDs</w:t>
            </w:r>
          </w:p>
        </w:tc>
        <w:tc>
          <w:tcPr>
            <w:tcW w:w="685" w:type="pct"/>
            <w:tcBorders>
              <w:top w:val="single" w:sz="4" w:space="0" w:color="auto"/>
            </w:tcBorders>
          </w:tcPr>
          <w:p w14:paraId="6D60A573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7 (4.0)</w:t>
            </w:r>
          </w:p>
        </w:tc>
        <w:tc>
          <w:tcPr>
            <w:tcW w:w="685" w:type="pct"/>
            <w:tcBorders>
              <w:top w:val="single" w:sz="4" w:space="0" w:color="auto"/>
            </w:tcBorders>
          </w:tcPr>
          <w:p w14:paraId="2FB82B42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(0.8)</w:t>
            </w:r>
          </w:p>
        </w:tc>
        <w:tc>
          <w:tcPr>
            <w:tcW w:w="685" w:type="pct"/>
            <w:tcBorders>
              <w:top w:val="single" w:sz="4" w:space="0" w:color="auto"/>
            </w:tcBorders>
          </w:tcPr>
          <w:p w14:paraId="47604DD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(0.9)</w:t>
            </w:r>
          </w:p>
        </w:tc>
        <w:tc>
          <w:tcPr>
            <w:tcW w:w="685" w:type="pct"/>
            <w:tcBorders>
              <w:top w:val="single" w:sz="4" w:space="0" w:color="auto"/>
            </w:tcBorders>
          </w:tcPr>
          <w:p w14:paraId="5496A976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21 (12.4)</w:t>
            </w:r>
          </w:p>
        </w:tc>
        <w:tc>
          <w:tcPr>
            <w:tcW w:w="685" w:type="pct"/>
            <w:tcBorders>
              <w:top w:val="single" w:sz="4" w:space="0" w:color="auto"/>
            </w:tcBorders>
          </w:tcPr>
          <w:p w14:paraId="32EFFFD7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(1.2)</w:t>
            </w:r>
          </w:p>
        </w:tc>
      </w:tr>
      <w:tr w:rsidR="0087637C" w:rsidRPr="003C4EB2" w14:paraId="7E3E3654" w14:textId="77777777" w:rsidTr="005D064C">
        <w:trPr>
          <w:trHeight w:val="397"/>
        </w:trPr>
        <w:tc>
          <w:tcPr>
            <w:tcW w:w="1574" w:type="pct"/>
          </w:tcPr>
          <w:p w14:paraId="184FEA88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Denosumab</w:t>
            </w:r>
          </w:p>
        </w:tc>
        <w:tc>
          <w:tcPr>
            <w:tcW w:w="685" w:type="pct"/>
          </w:tcPr>
          <w:p w14:paraId="4CE5193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5 (2.9)</w:t>
            </w:r>
          </w:p>
        </w:tc>
        <w:tc>
          <w:tcPr>
            <w:tcW w:w="685" w:type="pct"/>
          </w:tcPr>
          <w:p w14:paraId="0C04C9C5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(0.8)</w:t>
            </w:r>
          </w:p>
        </w:tc>
        <w:tc>
          <w:tcPr>
            <w:tcW w:w="685" w:type="pct"/>
          </w:tcPr>
          <w:p w14:paraId="2EBD30EE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(0.9)</w:t>
            </w:r>
          </w:p>
        </w:tc>
        <w:tc>
          <w:tcPr>
            <w:tcW w:w="685" w:type="pct"/>
          </w:tcPr>
          <w:p w14:paraId="2B0AF44D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3 (1.8)</w:t>
            </w:r>
          </w:p>
        </w:tc>
        <w:tc>
          <w:tcPr>
            <w:tcW w:w="685" w:type="pct"/>
          </w:tcPr>
          <w:p w14:paraId="5E4AFFA5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(1.2)</w:t>
            </w:r>
          </w:p>
        </w:tc>
      </w:tr>
      <w:tr w:rsidR="0087637C" w:rsidRPr="003C4EB2" w14:paraId="11945647" w14:textId="77777777" w:rsidTr="005D064C">
        <w:trPr>
          <w:trHeight w:val="397"/>
        </w:trPr>
        <w:tc>
          <w:tcPr>
            <w:tcW w:w="1574" w:type="pct"/>
          </w:tcPr>
          <w:p w14:paraId="33B7291B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Abatacept</w:t>
            </w:r>
          </w:p>
        </w:tc>
        <w:tc>
          <w:tcPr>
            <w:tcW w:w="685" w:type="pct"/>
          </w:tcPr>
          <w:p w14:paraId="14B0BC90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5B3EAC4A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0E6473C5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3EB9FAB9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6 (3.5)</w:t>
            </w:r>
          </w:p>
        </w:tc>
        <w:tc>
          <w:tcPr>
            <w:tcW w:w="685" w:type="pct"/>
          </w:tcPr>
          <w:p w14:paraId="7FD460D9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3367DAED" w14:textId="77777777" w:rsidTr="005D064C">
        <w:trPr>
          <w:trHeight w:val="397"/>
        </w:trPr>
        <w:tc>
          <w:tcPr>
            <w:tcW w:w="1574" w:type="pct"/>
          </w:tcPr>
          <w:p w14:paraId="02BE9593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Etanercept</w:t>
            </w:r>
          </w:p>
        </w:tc>
        <w:tc>
          <w:tcPr>
            <w:tcW w:w="685" w:type="pct"/>
          </w:tcPr>
          <w:p w14:paraId="647CC938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2240589E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199465C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6D10C4CD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4 (2.4)</w:t>
            </w:r>
          </w:p>
        </w:tc>
        <w:tc>
          <w:tcPr>
            <w:tcW w:w="685" w:type="pct"/>
          </w:tcPr>
          <w:p w14:paraId="375AD9F2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3167D8B1" w14:textId="77777777" w:rsidTr="005D064C">
        <w:trPr>
          <w:trHeight w:val="397"/>
        </w:trPr>
        <w:tc>
          <w:tcPr>
            <w:tcW w:w="1574" w:type="pct"/>
          </w:tcPr>
          <w:p w14:paraId="324690E9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Tocilizumab</w:t>
            </w:r>
          </w:p>
        </w:tc>
        <w:tc>
          <w:tcPr>
            <w:tcW w:w="685" w:type="pct"/>
          </w:tcPr>
          <w:p w14:paraId="58321A2D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152320E5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7FB19DE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5C04516E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4 (2.4)</w:t>
            </w:r>
          </w:p>
        </w:tc>
        <w:tc>
          <w:tcPr>
            <w:tcW w:w="685" w:type="pct"/>
          </w:tcPr>
          <w:p w14:paraId="2CB4DBFA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199AEB5E" w14:textId="77777777" w:rsidTr="005D064C">
        <w:trPr>
          <w:trHeight w:val="397"/>
        </w:trPr>
        <w:tc>
          <w:tcPr>
            <w:tcW w:w="1574" w:type="pct"/>
          </w:tcPr>
          <w:p w14:paraId="77F0D417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Adalimumab</w:t>
            </w:r>
          </w:p>
        </w:tc>
        <w:tc>
          <w:tcPr>
            <w:tcW w:w="685" w:type="pct"/>
          </w:tcPr>
          <w:p w14:paraId="6D0575BB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05827F0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7A50A96D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0380B20A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3 (1.8)</w:t>
            </w:r>
          </w:p>
        </w:tc>
        <w:tc>
          <w:tcPr>
            <w:tcW w:w="685" w:type="pct"/>
          </w:tcPr>
          <w:p w14:paraId="7B3ACB6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5BE11B0E" w14:textId="77777777" w:rsidTr="005D064C">
        <w:trPr>
          <w:trHeight w:val="397"/>
        </w:trPr>
        <w:tc>
          <w:tcPr>
            <w:tcW w:w="1574" w:type="pct"/>
          </w:tcPr>
          <w:p w14:paraId="674435CF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Infliximab</w:t>
            </w:r>
          </w:p>
        </w:tc>
        <w:tc>
          <w:tcPr>
            <w:tcW w:w="685" w:type="pct"/>
          </w:tcPr>
          <w:p w14:paraId="3ED13D09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7C1F5F41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5A962A69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4DE5EA4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2 (1.2)</w:t>
            </w:r>
          </w:p>
        </w:tc>
        <w:tc>
          <w:tcPr>
            <w:tcW w:w="685" w:type="pct"/>
          </w:tcPr>
          <w:p w14:paraId="085910AB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3DE94EB9" w14:textId="77777777" w:rsidTr="005D064C">
        <w:trPr>
          <w:trHeight w:val="397"/>
        </w:trPr>
        <w:tc>
          <w:tcPr>
            <w:tcW w:w="1574" w:type="pct"/>
          </w:tcPr>
          <w:p w14:paraId="65D7C4FF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Rituximab</w:t>
            </w:r>
            <w:r w:rsidRPr="00590C7E">
              <w:rPr>
                <w:rFonts w:ascii="Arial" w:eastAsiaTheme="minorEastAsia" w:hAnsi="Arial" w:cs="Arial"/>
                <w:vertAlign w:val="superscript"/>
                <w:lang w:eastAsia="zh-CN" w:bidi="th-TH"/>
              </w:rPr>
              <w:t>‡</w:t>
            </w:r>
          </w:p>
        </w:tc>
        <w:tc>
          <w:tcPr>
            <w:tcW w:w="685" w:type="pct"/>
          </w:tcPr>
          <w:p w14:paraId="21AD4D78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1081BE7A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5C75058B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10627A51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</w:tcPr>
          <w:p w14:paraId="2CFB4095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667D0DD0" w14:textId="77777777" w:rsidTr="005D064C">
        <w:trPr>
          <w:trHeight w:val="397"/>
        </w:trPr>
        <w:tc>
          <w:tcPr>
            <w:tcW w:w="1574" w:type="pct"/>
          </w:tcPr>
          <w:p w14:paraId="3A7DEAB2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Ascorbic acid; collagen</w:t>
            </w:r>
          </w:p>
        </w:tc>
        <w:tc>
          <w:tcPr>
            <w:tcW w:w="685" w:type="pct"/>
          </w:tcPr>
          <w:p w14:paraId="0BA18031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</w:tcPr>
          <w:p w14:paraId="4DBF7CE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46270D4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6335E79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2603450F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75FCCCB2" w14:textId="77777777" w:rsidTr="005D064C">
        <w:trPr>
          <w:trHeight w:val="397"/>
        </w:trPr>
        <w:tc>
          <w:tcPr>
            <w:tcW w:w="1574" w:type="pct"/>
          </w:tcPr>
          <w:p w14:paraId="6687DBB2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Other</w:t>
            </w:r>
          </w:p>
        </w:tc>
        <w:tc>
          <w:tcPr>
            <w:tcW w:w="685" w:type="pct"/>
          </w:tcPr>
          <w:p w14:paraId="05043487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</w:tcPr>
          <w:p w14:paraId="0D5FD1FF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3007EAE5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3ACB2311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1E0D0EC8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313DF0A1" w14:textId="77777777" w:rsidTr="005D064C">
        <w:trPr>
          <w:trHeight w:val="397"/>
        </w:trPr>
        <w:tc>
          <w:tcPr>
            <w:tcW w:w="1574" w:type="pct"/>
          </w:tcPr>
          <w:p w14:paraId="7E45B1C9" w14:textId="77777777" w:rsidR="0087637C" w:rsidRPr="003C4EB2" w:rsidRDefault="0087637C" w:rsidP="005D064C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Non-biologic DMARDs</w:t>
            </w:r>
          </w:p>
        </w:tc>
        <w:tc>
          <w:tcPr>
            <w:tcW w:w="685" w:type="pct"/>
          </w:tcPr>
          <w:p w14:paraId="52C2663A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7 (4.0)</w:t>
            </w:r>
          </w:p>
        </w:tc>
        <w:tc>
          <w:tcPr>
            <w:tcW w:w="685" w:type="pct"/>
          </w:tcPr>
          <w:p w14:paraId="06D8A2CE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2 (1.6)</w:t>
            </w:r>
          </w:p>
        </w:tc>
        <w:tc>
          <w:tcPr>
            <w:tcW w:w="685" w:type="pct"/>
          </w:tcPr>
          <w:p w14:paraId="3FEA633F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2 (1.8)</w:t>
            </w:r>
          </w:p>
        </w:tc>
        <w:tc>
          <w:tcPr>
            <w:tcW w:w="685" w:type="pct"/>
          </w:tcPr>
          <w:p w14:paraId="1DEE3A63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61 (35.9)</w:t>
            </w:r>
          </w:p>
        </w:tc>
        <w:tc>
          <w:tcPr>
            <w:tcW w:w="685" w:type="pct"/>
          </w:tcPr>
          <w:p w14:paraId="57429AEA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5 (6.2)</w:t>
            </w:r>
          </w:p>
        </w:tc>
      </w:tr>
      <w:tr w:rsidR="0087637C" w:rsidRPr="003C4EB2" w14:paraId="10DA55A7" w14:textId="77777777" w:rsidTr="005D064C">
        <w:trPr>
          <w:trHeight w:val="397"/>
        </w:trPr>
        <w:tc>
          <w:tcPr>
            <w:tcW w:w="1574" w:type="pct"/>
          </w:tcPr>
          <w:p w14:paraId="3045205D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Hydroxychloroquine</w:t>
            </w:r>
          </w:p>
        </w:tc>
        <w:tc>
          <w:tcPr>
            <w:tcW w:w="685" w:type="pct"/>
          </w:tcPr>
          <w:p w14:paraId="66F75B63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3A79C95F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6D2F0445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(0.9)</w:t>
            </w:r>
          </w:p>
        </w:tc>
        <w:tc>
          <w:tcPr>
            <w:tcW w:w="685" w:type="pct"/>
          </w:tcPr>
          <w:p w14:paraId="3FC3C533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20 (11.8)</w:t>
            </w:r>
          </w:p>
        </w:tc>
        <w:tc>
          <w:tcPr>
            <w:tcW w:w="685" w:type="pct"/>
          </w:tcPr>
          <w:p w14:paraId="5471125D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(1.2)</w:t>
            </w:r>
          </w:p>
        </w:tc>
      </w:tr>
      <w:tr w:rsidR="0087637C" w:rsidRPr="003C4EB2" w14:paraId="79C11EC0" w14:textId="77777777" w:rsidTr="005D064C">
        <w:trPr>
          <w:trHeight w:val="397"/>
        </w:trPr>
        <w:tc>
          <w:tcPr>
            <w:tcW w:w="1574" w:type="pct"/>
          </w:tcPr>
          <w:p w14:paraId="23148F4F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Leflunomide</w:t>
            </w:r>
          </w:p>
        </w:tc>
        <w:tc>
          <w:tcPr>
            <w:tcW w:w="685" w:type="pct"/>
          </w:tcPr>
          <w:p w14:paraId="66CA808B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</w:tcPr>
          <w:p w14:paraId="01B2533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312EAB49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(0.9)</w:t>
            </w:r>
          </w:p>
        </w:tc>
        <w:tc>
          <w:tcPr>
            <w:tcW w:w="685" w:type="pct"/>
          </w:tcPr>
          <w:p w14:paraId="666DEE9B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15 (8.8)</w:t>
            </w:r>
          </w:p>
        </w:tc>
        <w:tc>
          <w:tcPr>
            <w:tcW w:w="685" w:type="pct"/>
          </w:tcPr>
          <w:p w14:paraId="22678E0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(1.2)</w:t>
            </w:r>
          </w:p>
        </w:tc>
      </w:tr>
      <w:tr w:rsidR="0087637C" w:rsidRPr="003C4EB2" w14:paraId="42D2759C" w14:textId="77777777" w:rsidTr="005D064C">
        <w:trPr>
          <w:trHeight w:val="397"/>
        </w:trPr>
        <w:tc>
          <w:tcPr>
            <w:tcW w:w="1574" w:type="pct"/>
          </w:tcPr>
          <w:p w14:paraId="00C59507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lastRenderedPageBreak/>
              <w:t xml:space="preserve">Methotrexate </w:t>
            </w:r>
          </w:p>
        </w:tc>
        <w:tc>
          <w:tcPr>
            <w:tcW w:w="685" w:type="pct"/>
          </w:tcPr>
          <w:p w14:paraId="36F2E8F6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</w:tcPr>
          <w:p w14:paraId="1FE000C8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(0.8)</w:t>
            </w:r>
          </w:p>
        </w:tc>
        <w:tc>
          <w:tcPr>
            <w:tcW w:w="685" w:type="pct"/>
          </w:tcPr>
          <w:p w14:paraId="6F8ACEA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3B278A68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11 (6.5)</w:t>
            </w:r>
          </w:p>
        </w:tc>
        <w:tc>
          <w:tcPr>
            <w:tcW w:w="685" w:type="pct"/>
          </w:tcPr>
          <w:p w14:paraId="76F57D3D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2 (2.5)</w:t>
            </w:r>
          </w:p>
        </w:tc>
      </w:tr>
      <w:tr w:rsidR="0087637C" w:rsidRPr="003C4EB2" w14:paraId="696228FF" w14:textId="77777777" w:rsidTr="005D064C">
        <w:trPr>
          <w:trHeight w:val="397"/>
        </w:trPr>
        <w:tc>
          <w:tcPr>
            <w:tcW w:w="1574" w:type="pct"/>
          </w:tcPr>
          <w:p w14:paraId="1EF6C39B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Sulfasalazine</w:t>
            </w:r>
          </w:p>
        </w:tc>
        <w:tc>
          <w:tcPr>
            <w:tcW w:w="685" w:type="pct"/>
          </w:tcPr>
          <w:p w14:paraId="7BBAD44B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496F29E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48A81322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72F2D55E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10 (5.9)</w:t>
            </w:r>
          </w:p>
        </w:tc>
        <w:tc>
          <w:tcPr>
            <w:tcW w:w="685" w:type="pct"/>
          </w:tcPr>
          <w:p w14:paraId="68F06511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4F6941CC" w14:textId="77777777" w:rsidTr="005D064C">
        <w:trPr>
          <w:trHeight w:val="397"/>
        </w:trPr>
        <w:tc>
          <w:tcPr>
            <w:tcW w:w="1574" w:type="pct"/>
          </w:tcPr>
          <w:p w14:paraId="75CBA715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Hydroxychloroquine sulfate</w:t>
            </w:r>
          </w:p>
        </w:tc>
        <w:tc>
          <w:tcPr>
            <w:tcW w:w="685" w:type="pct"/>
          </w:tcPr>
          <w:p w14:paraId="20D5D8C7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</w:tcPr>
          <w:p w14:paraId="46E9FF6B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(0.8)</w:t>
            </w:r>
          </w:p>
        </w:tc>
        <w:tc>
          <w:tcPr>
            <w:tcW w:w="685" w:type="pct"/>
          </w:tcPr>
          <w:p w14:paraId="19F87D65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6CEF572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6 (3.5)</w:t>
            </w:r>
          </w:p>
        </w:tc>
        <w:tc>
          <w:tcPr>
            <w:tcW w:w="685" w:type="pct"/>
          </w:tcPr>
          <w:p w14:paraId="34EEFCE9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7F69A6B9" w14:textId="77777777" w:rsidTr="005D064C">
        <w:trPr>
          <w:trHeight w:val="397"/>
        </w:trPr>
        <w:tc>
          <w:tcPr>
            <w:tcW w:w="1574" w:type="pct"/>
          </w:tcPr>
          <w:p w14:paraId="140E1012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Methotrexate sodium</w:t>
            </w:r>
          </w:p>
        </w:tc>
        <w:tc>
          <w:tcPr>
            <w:tcW w:w="685" w:type="pct"/>
          </w:tcPr>
          <w:p w14:paraId="7A8B37A9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49E34648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2F0C039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7AF34E23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4 (2.4)</w:t>
            </w:r>
          </w:p>
        </w:tc>
        <w:tc>
          <w:tcPr>
            <w:tcW w:w="685" w:type="pct"/>
          </w:tcPr>
          <w:p w14:paraId="6309861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7AA0B0A2" w14:textId="77777777" w:rsidTr="005D064C">
        <w:trPr>
          <w:trHeight w:val="397"/>
        </w:trPr>
        <w:tc>
          <w:tcPr>
            <w:tcW w:w="1574" w:type="pct"/>
          </w:tcPr>
          <w:p w14:paraId="132DF1E8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Mycophenolate mofetil</w:t>
            </w:r>
            <w:r w:rsidRPr="00590C7E">
              <w:rPr>
                <w:rFonts w:ascii="Arial" w:eastAsiaTheme="minorEastAsia" w:hAnsi="Arial" w:cs="Arial"/>
                <w:vertAlign w:val="superscript"/>
                <w:lang w:eastAsia="zh-CN" w:bidi="th-TH"/>
              </w:rPr>
              <w:t>‡</w:t>
            </w:r>
          </w:p>
        </w:tc>
        <w:tc>
          <w:tcPr>
            <w:tcW w:w="685" w:type="pct"/>
          </w:tcPr>
          <w:p w14:paraId="64A61DEE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</w:tcPr>
          <w:p w14:paraId="53D72CB2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00DA7E76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5932278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2 (1.2)</w:t>
            </w:r>
          </w:p>
        </w:tc>
        <w:tc>
          <w:tcPr>
            <w:tcW w:w="685" w:type="pct"/>
          </w:tcPr>
          <w:p w14:paraId="7422EB10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275BC9BD" w14:textId="77777777" w:rsidTr="005D064C">
        <w:trPr>
          <w:trHeight w:val="397"/>
        </w:trPr>
        <w:tc>
          <w:tcPr>
            <w:tcW w:w="1574" w:type="pct"/>
          </w:tcPr>
          <w:p w14:paraId="01A51F61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 xml:space="preserve">Chloroquine phosphate </w:t>
            </w:r>
          </w:p>
        </w:tc>
        <w:tc>
          <w:tcPr>
            <w:tcW w:w="685" w:type="pct"/>
          </w:tcPr>
          <w:p w14:paraId="36B18EB3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54BC474A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5607B427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009726F2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2 (1.2)</w:t>
            </w:r>
          </w:p>
        </w:tc>
        <w:tc>
          <w:tcPr>
            <w:tcW w:w="685" w:type="pct"/>
          </w:tcPr>
          <w:p w14:paraId="41BDBF2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49FC9EBA" w14:textId="77777777" w:rsidTr="005D064C">
        <w:trPr>
          <w:trHeight w:val="397"/>
        </w:trPr>
        <w:tc>
          <w:tcPr>
            <w:tcW w:w="1574" w:type="pct"/>
          </w:tcPr>
          <w:p w14:paraId="075712EF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Ciclosporin</w:t>
            </w:r>
            <w:r w:rsidRPr="00590C7E">
              <w:rPr>
                <w:rFonts w:ascii="Arial" w:eastAsiaTheme="minorEastAsia" w:hAnsi="Arial" w:cs="Arial"/>
                <w:vertAlign w:val="superscript"/>
                <w:lang w:eastAsia="zh-CN" w:bidi="th-TH"/>
              </w:rPr>
              <w:t>‡</w:t>
            </w:r>
          </w:p>
        </w:tc>
        <w:tc>
          <w:tcPr>
            <w:tcW w:w="685" w:type="pct"/>
          </w:tcPr>
          <w:p w14:paraId="327E01F0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</w:tcPr>
          <w:p w14:paraId="271D26F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246D6060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(0.9)</w:t>
            </w:r>
          </w:p>
        </w:tc>
        <w:tc>
          <w:tcPr>
            <w:tcW w:w="685" w:type="pct"/>
          </w:tcPr>
          <w:p w14:paraId="1316F9A7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737426AD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2E2043E6" w14:textId="77777777" w:rsidTr="005D064C">
        <w:trPr>
          <w:trHeight w:val="397"/>
        </w:trPr>
        <w:tc>
          <w:tcPr>
            <w:tcW w:w="1574" w:type="pct"/>
          </w:tcPr>
          <w:p w14:paraId="7B62245A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Doxycycline</w:t>
            </w:r>
          </w:p>
        </w:tc>
        <w:tc>
          <w:tcPr>
            <w:tcW w:w="685" w:type="pct"/>
          </w:tcPr>
          <w:p w14:paraId="7F198847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</w:tcPr>
          <w:p w14:paraId="118E081A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10D98E1D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052D98A6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4145CEED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(1.2)</w:t>
            </w:r>
          </w:p>
        </w:tc>
      </w:tr>
      <w:tr w:rsidR="0087637C" w:rsidRPr="003C4EB2" w14:paraId="6EA660B6" w14:textId="77777777" w:rsidTr="005D064C">
        <w:trPr>
          <w:trHeight w:val="397"/>
        </w:trPr>
        <w:tc>
          <w:tcPr>
            <w:tcW w:w="1574" w:type="pct"/>
          </w:tcPr>
          <w:p w14:paraId="26D99451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Penicillamine</w:t>
            </w:r>
          </w:p>
        </w:tc>
        <w:tc>
          <w:tcPr>
            <w:tcW w:w="685" w:type="pct"/>
          </w:tcPr>
          <w:p w14:paraId="041B9F07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32B07A7A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3757773B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3185F54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2 (1.2)</w:t>
            </w:r>
          </w:p>
        </w:tc>
        <w:tc>
          <w:tcPr>
            <w:tcW w:w="685" w:type="pct"/>
          </w:tcPr>
          <w:p w14:paraId="7B1EFB9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6B74D634" w14:textId="77777777" w:rsidTr="005D064C">
        <w:trPr>
          <w:trHeight w:val="397"/>
        </w:trPr>
        <w:tc>
          <w:tcPr>
            <w:tcW w:w="1574" w:type="pct"/>
          </w:tcPr>
          <w:p w14:paraId="7FD9215F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</w:pPr>
            <w:proofErr w:type="spellStart"/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Bucillamine</w:t>
            </w:r>
            <w:proofErr w:type="spellEnd"/>
          </w:p>
        </w:tc>
        <w:tc>
          <w:tcPr>
            <w:tcW w:w="685" w:type="pct"/>
          </w:tcPr>
          <w:p w14:paraId="47E23212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4BA7C06B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7D8DA79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3E62C962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</w:tcPr>
          <w:p w14:paraId="6ED48EBD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54D4E344" w14:textId="77777777" w:rsidTr="005D064C">
        <w:trPr>
          <w:trHeight w:val="397"/>
        </w:trPr>
        <w:tc>
          <w:tcPr>
            <w:tcW w:w="1574" w:type="pct"/>
          </w:tcPr>
          <w:p w14:paraId="7C4A784E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</w:pPr>
            <w:proofErr w:type="spellStart"/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Iguratimod</w:t>
            </w:r>
            <w:proofErr w:type="spellEnd"/>
          </w:p>
        </w:tc>
        <w:tc>
          <w:tcPr>
            <w:tcW w:w="685" w:type="pct"/>
          </w:tcPr>
          <w:p w14:paraId="4FF64C6F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36DF2128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2907C56A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2A2D2ABB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</w:tcPr>
          <w:p w14:paraId="21CD1CC1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5A82E9ED" w14:textId="77777777" w:rsidTr="005D064C">
        <w:trPr>
          <w:trHeight w:val="397"/>
        </w:trPr>
        <w:tc>
          <w:tcPr>
            <w:tcW w:w="1574" w:type="pct"/>
          </w:tcPr>
          <w:p w14:paraId="061F88AA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Minocycline hydrochloride</w:t>
            </w:r>
          </w:p>
        </w:tc>
        <w:tc>
          <w:tcPr>
            <w:tcW w:w="685" w:type="pct"/>
          </w:tcPr>
          <w:p w14:paraId="02CA96E3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</w:tcPr>
          <w:p w14:paraId="310B2DA0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14E21E95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41BC013C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</w:tcPr>
          <w:p w14:paraId="64884318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7637C" w:rsidRPr="003C4EB2" w14:paraId="02727D4A" w14:textId="77777777" w:rsidTr="005D064C">
        <w:trPr>
          <w:trHeight w:val="397"/>
        </w:trPr>
        <w:tc>
          <w:tcPr>
            <w:tcW w:w="1574" w:type="pct"/>
            <w:tcBorders>
              <w:bottom w:val="single" w:sz="4" w:space="0" w:color="auto"/>
            </w:tcBorders>
          </w:tcPr>
          <w:p w14:paraId="6B550CC0" w14:textId="77777777" w:rsidR="0087637C" w:rsidRPr="003C4EB2" w:rsidRDefault="0087637C" w:rsidP="005D064C">
            <w:pPr>
              <w:spacing w:line="480" w:lineRule="auto"/>
              <w:ind w:left="284"/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</w:pPr>
            <w:r w:rsidRPr="003C4EB2">
              <w:rPr>
                <w:rFonts w:ascii="Arial" w:eastAsiaTheme="minorEastAsia" w:hAnsi="Arial" w:cs="Arial"/>
                <w:sz w:val="20"/>
                <w:szCs w:val="20"/>
                <w:lang w:eastAsia="zh-CN" w:bidi="th-TH"/>
              </w:rPr>
              <w:t>Tacrolimus</w:t>
            </w:r>
            <w:r w:rsidRPr="00590C7E">
              <w:rPr>
                <w:rFonts w:ascii="Arial" w:eastAsiaTheme="minorEastAsia" w:hAnsi="Arial" w:cs="Arial"/>
                <w:vertAlign w:val="superscript"/>
                <w:lang w:eastAsia="zh-CN" w:bidi="th-TH"/>
              </w:rPr>
              <w:t>‡</w:t>
            </w:r>
          </w:p>
        </w:tc>
        <w:tc>
          <w:tcPr>
            <w:tcW w:w="685" w:type="pct"/>
            <w:tcBorders>
              <w:bottom w:val="single" w:sz="4" w:space="0" w:color="auto"/>
            </w:tcBorders>
          </w:tcPr>
          <w:p w14:paraId="38D711EB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685" w:type="pct"/>
            <w:tcBorders>
              <w:bottom w:val="single" w:sz="4" w:space="0" w:color="auto"/>
            </w:tcBorders>
          </w:tcPr>
          <w:p w14:paraId="2DD73B11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  <w:tcBorders>
              <w:bottom w:val="single" w:sz="4" w:space="0" w:color="auto"/>
            </w:tcBorders>
          </w:tcPr>
          <w:p w14:paraId="3501B4B9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  <w:tcBorders>
              <w:bottom w:val="single" w:sz="4" w:space="0" w:color="auto"/>
            </w:tcBorders>
          </w:tcPr>
          <w:p w14:paraId="1D7EE3DE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5" w:type="pct"/>
            <w:tcBorders>
              <w:bottom w:val="single" w:sz="4" w:space="0" w:color="auto"/>
            </w:tcBorders>
          </w:tcPr>
          <w:p w14:paraId="27F87A24" w14:textId="77777777" w:rsidR="0087637C" w:rsidRPr="003C4EB2" w:rsidRDefault="0087637C" w:rsidP="005D064C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4EB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14:paraId="7D3D3AEC" w14:textId="77777777" w:rsidR="0087637C" w:rsidRPr="003C4EB2" w:rsidRDefault="0087637C" w:rsidP="0087637C">
      <w:pPr>
        <w:spacing w:after="120" w:line="480" w:lineRule="auto"/>
        <w:rPr>
          <w:rFonts w:ascii="Arial" w:hAnsi="Arial" w:cs="Arial"/>
          <w:sz w:val="20"/>
          <w:szCs w:val="20"/>
          <w:lang w:val="en-US"/>
        </w:rPr>
      </w:pPr>
      <w:r w:rsidRPr="003C4EB2">
        <w:rPr>
          <w:rFonts w:ascii="Arial" w:hAnsi="Arial" w:cs="Arial"/>
          <w:sz w:val="20"/>
          <w:szCs w:val="20"/>
          <w:lang w:val="en-US"/>
        </w:rPr>
        <w:t>Data are n (%) of subjects taking ≥1 such therapy at baseline.</w:t>
      </w:r>
      <w:r>
        <w:rPr>
          <w:rFonts w:ascii="Arial" w:hAnsi="Arial" w:cs="Arial"/>
          <w:sz w:val="20"/>
          <w:szCs w:val="20"/>
          <w:lang w:val="en-US"/>
        </w:rPr>
        <w:t xml:space="preserve"> A patient could be counted in </w:t>
      </w:r>
      <w:r w:rsidRPr="003C4EB2">
        <w:rPr>
          <w:rFonts w:ascii="Arial" w:hAnsi="Arial" w:cs="Arial"/>
          <w:sz w:val="20"/>
          <w:szCs w:val="20"/>
          <w:lang w:val="en-US"/>
        </w:rPr>
        <w:t>≥1</w:t>
      </w:r>
      <w:r>
        <w:rPr>
          <w:rFonts w:ascii="Arial" w:hAnsi="Arial" w:cs="Arial"/>
          <w:sz w:val="20"/>
          <w:szCs w:val="20"/>
          <w:lang w:val="en-US"/>
        </w:rPr>
        <w:t xml:space="preserve"> category. </w:t>
      </w:r>
      <w:r w:rsidRPr="003C4EB2">
        <w:rPr>
          <w:rFonts w:ascii="Arial" w:hAnsi="Arial" w:cs="Arial"/>
          <w:sz w:val="20"/>
          <w:szCs w:val="20"/>
          <w:lang w:val="en-US"/>
        </w:rPr>
        <w:t xml:space="preserve"> *Included RA-ILD, </w:t>
      </w:r>
      <w:proofErr w:type="spellStart"/>
      <w:r w:rsidRPr="003C4EB2">
        <w:rPr>
          <w:rFonts w:ascii="Arial" w:hAnsi="Arial" w:cs="Arial"/>
          <w:sz w:val="20"/>
          <w:szCs w:val="20"/>
          <w:lang w:val="en-US"/>
        </w:rPr>
        <w:t>SSc</w:t>
      </w:r>
      <w:proofErr w:type="spellEnd"/>
      <w:r w:rsidRPr="003C4EB2">
        <w:rPr>
          <w:rFonts w:ascii="Arial" w:hAnsi="Arial" w:cs="Arial"/>
          <w:sz w:val="20"/>
          <w:szCs w:val="20"/>
          <w:lang w:val="en-US"/>
        </w:rPr>
        <w:t xml:space="preserve">-ILD, MCTD-ILD, plus autoimmune ILDs in “Other fibrosing ILDs” category of case report form. </w:t>
      </w:r>
      <w:r w:rsidRPr="003C4EB2">
        <w:rPr>
          <w:rFonts w:ascii="Arial" w:hAnsi="Arial" w:cs="Arial"/>
          <w:sz w:val="20"/>
          <w:szCs w:val="20"/>
          <w:vertAlign w:val="superscript"/>
          <w:lang w:val="en-US"/>
        </w:rPr>
        <w:t>†</w:t>
      </w:r>
      <w:r w:rsidRPr="003C4EB2">
        <w:rPr>
          <w:rFonts w:ascii="Arial" w:hAnsi="Arial" w:cs="Arial"/>
          <w:sz w:val="20"/>
          <w:szCs w:val="20"/>
          <w:lang w:val="en-US"/>
        </w:rPr>
        <w:t xml:space="preserve">Included sarcoidosis, </w:t>
      </w:r>
      <w:proofErr w:type="gramStart"/>
      <w:r w:rsidRPr="003C4EB2">
        <w:rPr>
          <w:rFonts w:ascii="Arial" w:hAnsi="Arial" w:cs="Arial"/>
          <w:sz w:val="20"/>
          <w:szCs w:val="20"/>
          <w:lang w:val="en-US"/>
        </w:rPr>
        <w:t>exposure-related</w:t>
      </w:r>
      <w:proofErr w:type="gramEnd"/>
      <w:r w:rsidRPr="003C4EB2">
        <w:rPr>
          <w:rFonts w:ascii="Arial" w:hAnsi="Arial" w:cs="Arial"/>
          <w:sz w:val="20"/>
          <w:szCs w:val="20"/>
          <w:lang w:val="en-US"/>
        </w:rPr>
        <w:t xml:space="preserve"> ILDs and selected other terms in the “Other fibrosing ILDs” category of the case report form.</w:t>
      </w:r>
      <w:r w:rsidRPr="003C4EB2">
        <w:rPr>
          <w:rFonts w:ascii="Arial" w:hAnsi="Arial" w:cs="Arial"/>
          <w:sz w:val="20"/>
          <w:lang w:val="en-US"/>
        </w:rPr>
        <w:t xml:space="preserve"> </w:t>
      </w:r>
      <w:r w:rsidRPr="003C4EB2">
        <w:rPr>
          <w:rFonts w:ascii="Arial" w:hAnsi="Arial" w:cs="Arial"/>
          <w:sz w:val="20"/>
          <w:szCs w:val="20"/>
          <w:lang w:val="en-US"/>
        </w:rPr>
        <w:t>IIP = idiopathic interstitial pneumonia; ILD = interstitial lung disease;</w:t>
      </w:r>
      <w:r w:rsidRPr="003C4EB2">
        <w:rPr>
          <w:lang w:val="en-US"/>
        </w:rPr>
        <w:t xml:space="preserve"> </w:t>
      </w:r>
      <w:proofErr w:type="spellStart"/>
      <w:r w:rsidRPr="003C4EB2">
        <w:rPr>
          <w:rFonts w:ascii="Arial" w:hAnsi="Arial" w:cs="Arial"/>
          <w:sz w:val="20"/>
          <w:szCs w:val="20"/>
          <w:lang w:val="en-US"/>
        </w:rPr>
        <w:t>iNSIP</w:t>
      </w:r>
      <w:proofErr w:type="spellEnd"/>
      <w:r w:rsidRPr="003C4EB2">
        <w:rPr>
          <w:rFonts w:ascii="Arial" w:hAnsi="Arial" w:cs="Arial"/>
          <w:sz w:val="20"/>
          <w:szCs w:val="20"/>
          <w:lang w:val="en-US"/>
        </w:rPr>
        <w:t xml:space="preserve"> = idiopathic non-specific interstitial pneumonia.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90C7E">
        <w:rPr>
          <w:rFonts w:ascii="Arial" w:eastAsiaTheme="minorEastAsia" w:hAnsi="Arial" w:cs="Arial"/>
          <w:vertAlign w:val="superscript"/>
          <w:lang w:eastAsia="zh-CN" w:bidi="th-TH"/>
        </w:rPr>
        <w:t>‡</w:t>
      </w:r>
      <w:r>
        <w:rPr>
          <w:rFonts w:ascii="Arial" w:hAnsi="Arial" w:cs="Arial"/>
          <w:sz w:val="20"/>
          <w:szCs w:val="20"/>
          <w:lang w:val="en-US"/>
        </w:rPr>
        <w:t>Deviation from the trial protocol.</w:t>
      </w:r>
    </w:p>
    <w:p w14:paraId="6855035D" w14:textId="77777777" w:rsidR="000C06AA" w:rsidRDefault="000C06AA">
      <w:bookmarkStart w:id="1" w:name="_GoBack"/>
      <w:bookmarkEnd w:id="1"/>
    </w:p>
    <w:sectPr w:rsidR="000C06AA" w:rsidSect="008763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37C"/>
    <w:rsid w:val="000C06AA"/>
    <w:rsid w:val="00244BAE"/>
    <w:rsid w:val="0087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2393"/>
  <w15:chartTrackingRefBased/>
  <w15:docId w15:val="{D9A161B6-E2CE-4D2A-B707-729F5BE0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37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Tove</dc:creator>
  <cp:keywords/>
  <dc:description/>
  <cp:lastModifiedBy>Anderson, Tove</cp:lastModifiedBy>
  <cp:revision>1</cp:revision>
  <dcterms:created xsi:type="dcterms:W3CDTF">2021-01-05T14:43:00Z</dcterms:created>
  <dcterms:modified xsi:type="dcterms:W3CDTF">2021-01-05T14:44:00Z</dcterms:modified>
</cp:coreProperties>
</file>