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F661C" w14:textId="77777777" w:rsidR="00725D46" w:rsidRPr="0078701D" w:rsidRDefault="00725D46" w:rsidP="00725D46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Supplemental </w:t>
      </w:r>
      <w:r w:rsidRPr="0078701D">
        <w:rPr>
          <w:rFonts w:ascii="Arial" w:hAnsi="Arial" w:cs="Arial"/>
          <w:b/>
          <w:bCs/>
          <w:sz w:val="24"/>
          <w:szCs w:val="24"/>
          <w:lang w:val="en-US"/>
        </w:rPr>
        <w:t>Table 4.</w:t>
      </w:r>
      <w:r w:rsidRPr="0078701D">
        <w:rPr>
          <w:rFonts w:ascii="Arial" w:hAnsi="Arial" w:cs="Arial"/>
          <w:sz w:val="24"/>
          <w:szCs w:val="24"/>
          <w:lang w:val="en-US"/>
        </w:rPr>
        <w:t xml:space="preserve"> Baseline characteristics of subjects with other fibrotic patterns on HRCT taking high-dose, low-dose, or no glucocorticoids at baseline.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3"/>
        <w:gridCol w:w="2205"/>
        <w:gridCol w:w="2204"/>
        <w:gridCol w:w="2204"/>
      </w:tblGrid>
      <w:tr w:rsidR="00725D46" w:rsidRPr="003C4EB2" w14:paraId="790074A2" w14:textId="77777777" w:rsidTr="005D064C">
        <w:trPr>
          <w:trHeight w:val="68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D1345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90267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 xml:space="preserve">High-dose </w:t>
            </w:r>
            <w:r w:rsidRPr="003C4EB2">
              <w:rPr>
                <w:rFonts w:ascii="Arial" w:hAnsi="Arial" w:cs="Arial"/>
                <w:b/>
                <w:bCs/>
              </w:rPr>
              <w:t>glucocorticoids</w:t>
            </w:r>
          </w:p>
          <w:p w14:paraId="1B4DF612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(n=5)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5E36A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Low-dose glucocorticoids</w:t>
            </w:r>
          </w:p>
          <w:p w14:paraId="465208F0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(n=136)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DB834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No glucocorticoids (n=110)</w:t>
            </w:r>
          </w:p>
        </w:tc>
      </w:tr>
      <w:tr w:rsidR="00725D46" w:rsidRPr="003C4EB2" w14:paraId="7BF728A2" w14:textId="77777777" w:rsidTr="005D064C">
        <w:trPr>
          <w:trHeight w:val="460"/>
        </w:trPr>
        <w:tc>
          <w:tcPr>
            <w:tcW w:w="1336" w:type="pct"/>
            <w:tcBorders>
              <w:top w:val="single" w:sz="4" w:space="0" w:color="auto"/>
            </w:tcBorders>
            <w:vAlign w:val="center"/>
            <w:hideMark/>
          </w:tcPr>
          <w:p w14:paraId="21877193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Male</w:t>
            </w:r>
          </w:p>
        </w:tc>
        <w:tc>
          <w:tcPr>
            <w:tcW w:w="1221" w:type="pct"/>
            <w:tcBorders>
              <w:top w:val="single" w:sz="4" w:space="0" w:color="auto"/>
            </w:tcBorders>
            <w:vAlign w:val="center"/>
          </w:tcPr>
          <w:p w14:paraId="641CDEA8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1 (20.0)</w:t>
            </w:r>
          </w:p>
        </w:tc>
        <w:tc>
          <w:tcPr>
            <w:tcW w:w="1221" w:type="pct"/>
            <w:tcBorders>
              <w:top w:val="single" w:sz="4" w:space="0" w:color="auto"/>
            </w:tcBorders>
            <w:vAlign w:val="center"/>
          </w:tcPr>
          <w:p w14:paraId="4296AD18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60 (44.1)</w:t>
            </w:r>
          </w:p>
        </w:tc>
        <w:tc>
          <w:tcPr>
            <w:tcW w:w="1221" w:type="pct"/>
            <w:tcBorders>
              <w:top w:val="single" w:sz="4" w:space="0" w:color="auto"/>
            </w:tcBorders>
            <w:vAlign w:val="center"/>
          </w:tcPr>
          <w:p w14:paraId="297B584C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48 (43.6)</w:t>
            </w:r>
          </w:p>
        </w:tc>
      </w:tr>
      <w:tr w:rsidR="00725D46" w:rsidRPr="003C4EB2" w14:paraId="5AA083AB" w14:textId="77777777" w:rsidTr="005D064C">
        <w:trPr>
          <w:trHeight w:val="460"/>
        </w:trPr>
        <w:tc>
          <w:tcPr>
            <w:tcW w:w="1336" w:type="pct"/>
            <w:vAlign w:val="center"/>
            <w:hideMark/>
          </w:tcPr>
          <w:p w14:paraId="53DEC490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 xml:space="preserve">Age, </w:t>
            </w:r>
            <w:proofErr w:type="spellStart"/>
            <w:r w:rsidRPr="003C4EB2">
              <w:rPr>
                <w:rFonts w:ascii="Arial" w:eastAsiaTheme="minorEastAsia" w:hAnsi="Arial" w:cs="Arial"/>
                <w:lang w:eastAsia="zh-CN" w:bidi="th-TH"/>
              </w:rPr>
              <w:t>yr</w:t>
            </w:r>
            <w:proofErr w:type="spellEnd"/>
          </w:p>
        </w:tc>
        <w:tc>
          <w:tcPr>
            <w:tcW w:w="1221" w:type="pct"/>
            <w:vAlign w:val="center"/>
          </w:tcPr>
          <w:p w14:paraId="2427AFF1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62.6 (4.2)</w:t>
            </w:r>
          </w:p>
        </w:tc>
        <w:tc>
          <w:tcPr>
            <w:tcW w:w="1221" w:type="pct"/>
            <w:vAlign w:val="center"/>
          </w:tcPr>
          <w:p w14:paraId="21956C0C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61.9 (10.9)</w:t>
            </w:r>
          </w:p>
        </w:tc>
        <w:tc>
          <w:tcPr>
            <w:tcW w:w="1221" w:type="pct"/>
            <w:vAlign w:val="center"/>
          </w:tcPr>
          <w:p w14:paraId="7C5EC460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62.3 (10.7)</w:t>
            </w:r>
          </w:p>
        </w:tc>
      </w:tr>
      <w:tr w:rsidR="00725D46" w:rsidRPr="003C4EB2" w14:paraId="371CD1C1" w14:textId="77777777" w:rsidTr="005D064C">
        <w:trPr>
          <w:trHeight w:val="460"/>
        </w:trPr>
        <w:tc>
          <w:tcPr>
            <w:tcW w:w="1336" w:type="pct"/>
            <w:vAlign w:val="center"/>
            <w:hideMark/>
          </w:tcPr>
          <w:p w14:paraId="5AE82D6E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Former or current smoker</w:t>
            </w:r>
          </w:p>
        </w:tc>
        <w:tc>
          <w:tcPr>
            <w:tcW w:w="1221" w:type="pct"/>
            <w:vAlign w:val="center"/>
          </w:tcPr>
          <w:p w14:paraId="1823CDE6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1 (20.0)</w:t>
            </w:r>
          </w:p>
        </w:tc>
        <w:tc>
          <w:tcPr>
            <w:tcW w:w="1221" w:type="pct"/>
            <w:vAlign w:val="center"/>
          </w:tcPr>
          <w:p w14:paraId="309EAA7A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53 (39.0)</w:t>
            </w:r>
          </w:p>
        </w:tc>
        <w:tc>
          <w:tcPr>
            <w:tcW w:w="1221" w:type="pct"/>
            <w:vAlign w:val="center"/>
          </w:tcPr>
          <w:p w14:paraId="51FECD75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48 (43.6)</w:t>
            </w:r>
          </w:p>
        </w:tc>
      </w:tr>
      <w:tr w:rsidR="00725D46" w:rsidRPr="003C4EB2" w14:paraId="4ED63173" w14:textId="77777777" w:rsidTr="005D064C">
        <w:trPr>
          <w:trHeight w:val="460"/>
        </w:trPr>
        <w:tc>
          <w:tcPr>
            <w:tcW w:w="1336" w:type="pct"/>
            <w:vAlign w:val="center"/>
            <w:hideMark/>
          </w:tcPr>
          <w:p w14:paraId="67A7A131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FVC, mL</w:t>
            </w:r>
          </w:p>
        </w:tc>
        <w:tc>
          <w:tcPr>
            <w:tcW w:w="1221" w:type="pct"/>
            <w:vAlign w:val="center"/>
          </w:tcPr>
          <w:p w14:paraId="24DFCAF7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1699 (585)</w:t>
            </w:r>
          </w:p>
        </w:tc>
        <w:tc>
          <w:tcPr>
            <w:tcW w:w="1221" w:type="pct"/>
            <w:vAlign w:val="center"/>
          </w:tcPr>
          <w:p w14:paraId="387A2A5E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2261 (734)</w:t>
            </w:r>
          </w:p>
        </w:tc>
        <w:tc>
          <w:tcPr>
            <w:tcW w:w="1221" w:type="pct"/>
            <w:vAlign w:val="center"/>
          </w:tcPr>
          <w:p w14:paraId="41B81A4F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2304 (699)</w:t>
            </w:r>
          </w:p>
        </w:tc>
      </w:tr>
      <w:tr w:rsidR="00725D46" w:rsidRPr="003C4EB2" w14:paraId="66416025" w14:textId="77777777" w:rsidTr="005D064C">
        <w:trPr>
          <w:trHeight w:val="460"/>
        </w:trPr>
        <w:tc>
          <w:tcPr>
            <w:tcW w:w="1336" w:type="pct"/>
            <w:vAlign w:val="center"/>
            <w:hideMark/>
          </w:tcPr>
          <w:p w14:paraId="0A33E013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FVC, % predicted</w:t>
            </w:r>
          </w:p>
        </w:tc>
        <w:tc>
          <w:tcPr>
            <w:tcW w:w="1221" w:type="pct"/>
            <w:vAlign w:val="center"/>
          </w:tcPr>
          <w:p w14:paraId="0327DD79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51.6 (7.2)</w:t>
            </w:r>
          </w:p>
        </w:tc>
        <w:tc>
          <w:tcPr>
            <w:tcW w:w="1221" w:type="pct"/>
            <w:vAlign w:val="center"/>
          </w:tcPr>
          <w:p w14:paraId="2B6810A6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65.0 (14.4)</w:t>
            </w:r>
          </w:p>
        </w:tc>
        <w:tc>
          <w:tcPr>
            <w:tcW w:w="1221" w:type="pct"/>
            <w:vAlign w:val="center"/>
          </w:tcPr>
          <w:p w14:paraId="525371CB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68.7 (15.1)</w:t>
            </w:r>
          </w:p>
        </w:tc>
      </w:tr>
      <w:tr w:rsidR="00725D46" w:rsidRPr="003C4EB2" w14:paraId="4549B3B8" w14:textId="77777777" w:rsidTr="005D064C">
        <w:trPr>
          <w:trHeight w:val="460"/>
        </w:trPr>
        <w:tc>
          <w:tcPr>
            <w:tcW w:w="1336" w:type="pct"/>
            <w:tcBorders>
              <w:bottom w:val="single" w:sz="4" w:space="0" w:color="auto"/>
            </w:tcBorders>
            <w:vAlign w:val="center"/>
            <w:hideMark/>
          </w:tcPr>
          <w:p w14:paraId="75125EC1" w14:textId="77777777" w:rsidR="00725D46" w:rsidRPr="003C4EB2" w:rsidRDefault="00725D46" w:rsidP="005D064C">
            <w:pPr>
              <w:spacing w:line="480" w:lineRule="auto"/>
              <w:rPr>
                <w:rFonts w:ascii="Arial" w:eastAsiaTheme="minorEastAsia" w:hAnsi="Arial" w:cs="Arial"/>
                <w:lang w:eastAsia="zh-CN" w:bidi="th-TH"/>
              </w:rPr>
            </w:pPr>
            <w:proofErr w:type="spellStart"/>
            <w:r w:rsidRPr="003C4EB2">
              <w:rPr>
                <w:rFonts w:ascii="Arial" w:eastAsiaTheme="minorEastAsia" w:hAnsi="Arial" w:cs="Arial"/>
                <w:lang w:eastAsia="zh-CN" w:bidi="th-TH"/>
              </w:rPr>
              <w:t>DLco</w:t>
            </w:r>
            <w:proofErr w:type="spellEnd"/>
            <w:r w:rsidRPr="003C4EB2">
              <w:rPr>
                <w:rFonts w:ascii="Arial" w:eastAsiaTheme="minorEastAsia" w:hAnsi="Arial" w:cs="Arial"/>
                <w:lang w:eastAsia="zh-CN" w:bidi="th-TH"/>
              </w:rPr>
              <w:t>, % predicted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vAlign w:val="center"/>
          </w:tcPr>
          <w:p w14:paraId="5CCA00DB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43.9 (11.0)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vAlign w:val="center"/>
          </w:tcPr>
          <w:p w14:paraId="4C8FBD61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45.1 (12.2)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vAlign w:val="center"/>
          </w:tcPr>
          <w:p w14:paraId="41611AB0" w14:textId="77777777" w:rsidR="00725D46" w:rsidRPr="003C4EB2" w:rsidRDefault="00725D46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lang w:eastAsia="zh-CN" w:bidi="th-TH"/>
              </w:rPr>
              <w:t>45.8 (12.9)</w:t>
            </w:r>
          </w:p>
        </w:tc>
      </w:tr>
    </w:tbl>
    <w:p w14:paraId="00AEDFA5" w14:textId="14910F0E" w:rsidR="000C06AA" w:rsidRDefault="00725D46" w:rsidP="00725D46">
      <w:pPr>
        <w:spacing w:line="480" w:lineRule="auto"/>
      </w:pPr>
      <w:r w:rsidRPr="003C4EB2">
        <w:rPr>
          <w:rFonts w:ascii="Arial" w:hAnsi="Arial" w:cs="Arial"/>
          <w:sz w:val="20"/>
          <w:szCs w:val="20"/>
          <w:lang w:val="en-US"/>
        </w:rPr>
        <w:t>Data are n (%) or mean (SD). Glucocorticoids with oral, intravenous, intravenous bolus, intravenous drip, or intramuscular route of administration. High-dose glucocorticoids</w:t>
      </w:r>
      <w:r w:rsidRPr="003C4EB2">
        <w:rPr>
          <w:rFonts w:ascii="Arial" w:eastAsiaTheme="minorEastAsia" w:hAnsi="Arial" w:cs="Arial"/>
          <w:sz w:val="20"/>
          <w:szCs w:val="20"/>
          <w:lang w:val="en-US" w:eastAsia="zh-CN" w:bidi="th-TH"/>
        </w:rPr>
        <w:t>:</w:t>
      </w:r>
      <w:r w:rsidRPr="003C4EB2">
        <w:rPr>
          <w:rFonts w:ascii="Arial" w:hAnsi="Arial" w:cs="Arial"/>
          <w:sz w:val="20"/>
          <w:szCs w:val="20"/>
          <w:lang w:val="en-US"/>
        </w:rPr>
        <w:t xml:space="preserve"> &gt;20 mg/day prednisone or equivalent. </w:t>
      </w:r>
      <w:proofErr w:type="spellStart"/>
      <w:r w:rsidRPr="003C4EB2">
        <w:rPr>
          <w:rFonts w:ascii="Arial" w:hAnsi="Arial" w:cs="Arial"/>
          <w:sz w:val="20"/>
          <w:szCs w:val="20"/>
          <w:lang w:val="en-US"/>
        </w:rPr>
        <w:t>DLco</w:t>
      </w:r>
      <w:proofErr w:type="spellEnd"/>
      <w:r w:rsidRPr="003C4EB2">
        <w:rPr>
          <w:rFonts w:ascii="Arial" w:hAnsi="Arial" w:cs="Arial"/>
          <w:sz w:val="20"/>
          <w:szCs w:val="20"/>
          <w:lang w:val="en-US"/>
        </w:rPr>
        <w:t xml:space="preserve"> = diffusing capacity of the lung for carbon monoxide, corrected for hemoglobin; FVC = forced vital capacity; HRCT = high-resolution computed tomography; UIP = usual interstitial pneumonia</w:t>
      </w:r>
      <w:r>
        <w:rPr>
          <w:rFonts w:ascii="Arial" w:hAnsi="Arial" w:cs="Arial"/>
          <w:sz w:val="20"/>
          <w:szCs w:val="20"/>
          <w:lang w:val="en-US"/>
        </w:rPr>
        <w:t>.</w:t>
      </w:r>
      <w:r>
        <w:t xml:space="preserve"> </w:t>
      </w:r>
      <w:bookmarkStart w:id="0" w:name="_GoBack"/>
      <w:bookmarkEnd w:id="0"/>
    </w:p>
    <w:sectPr w:rsidR="000C0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6"/>
    <w:rsid w:val="000C06AA"/>
    <w:rsid w:val="00244BAE"/>
    <w:rsid w:val="007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4834E"/>
  <w15:chartTrackingRefBased/>
  <w15:docId w15:val="{E7B2B6C6-012A-49F8-94EA-5FF5CE7E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D4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Tove</dc:creator>
  <cp:keywords/>
  <dc:description/>
  <cp:lastModifiedBy>Anderson, Tove</cp:lastModifiedBy>
  <cp:revision>1</cp:revision>
  <dcterms:created xsi:type="dcterms:W3CDTF">2021-01-05T14:41:00Z</dcterms:created>
  <dcterms:modified xsi:type="dcterms:W3CDTF">2021-01-05T14:42:00Z</dcterms:modified>
</cp:coreProperties>
</file>