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85D75" w14:textId="77777777" w:rsidR="00AD6B29" w:rsidRPr="000E2B30" w:rsidRDefault="00AD6B29" w:rsidP="00AD6B2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2B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Pr="000E2B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Methods</w:t>
      </w:r>
    </w:p>
    <w:p w14:paraId="1506378F" w14:textId="77777777" w:rsidR="00AD6B29" w:rsidRPr="000E2B30" w:rsidRDefault="00AD6B29" w:rsidP="00AD6B29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B3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LPA Stimulation of Small Airway Basal Cells</w:t>
      </w:r>
    </w:p>
    <w:p w14:paraId="2A8E2BB6" w14:textId="020C3643" w:rsidR="00AD6B29" w:rsidRPr="000E2B30" w:rsidRDefault="00AD6B29" w:rsidP="00AD6B29">
      <w:pPr>
        <w:spacing w:after="0" w:line="480" w:lineRule="auto"/>
        <w:ind w:firstLine="72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 study the dose dependent effect of lysophosphatidic acid (LPA) on basal cells (BC), BC were plated in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PneumaCult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complete medium (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StemCell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Technologies, Cambridge, MA). LPA was prepared as a 1 mM stock in distilled, deionized molecular grade water (Ambion, Austin, TX). After 24 h</w:t>
      </w:r>
      <w:r w:rsidR="00907B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BC were washed twice with PBS, once with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unsupplemented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medium, and incubated with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unsupplemented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medium in the absence (control) of pre</w:t>
      </w:r>
      <w:r w:rsidR="009C58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sence of LPA in a dose response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(0.1, 1.0, 10.0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FFFFF"/>
          </w:rPr>
          <m:t>µ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g/ml; Echelon Bioscience, Salt Lake City, UT) for 3 h</w:t>
      </w:r>
      <w:r w:rsidR="00907B2F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. After a 3 h</w:t>
      </w:r>
      <w:r w:rsidR="00907B2F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incubation, BC’s were harvested with </w:t>
      </w:r>
      <w:proofErr w:type="spellStart"/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Trizol</w:t>
      </w:r>
      <w:proofErr w:type="spellEnd"/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2D03A2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Invitrogen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) for RNA isolation.</w:t>
      </w:r>
    </w:p>
    <w:p w14:paraId="2B2FB8E3" w14:textId="77777777" w:rsidR="00AD6B29" w:rsidRPr="000E2B30" w:rsidRDefault="00AD6B29" w:rsidP="00AD6B29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B3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Evaluation of LPA Receptor Expression in Basal Cells</w:t>
      </w:r>
    </w:p>
    <w:p w14:paraId="60D4B926" w14:textId="366FA50D" w:rsidR="00AD6B29" w:rsidRPr="000E2B30" w:rsidRDefault="00AD6B29" w:rsidP="00AD6B2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level of expression of LPA receptor genes, including LPAR1, LPAR2 LPAR3, LPAR4, LPAR5, LPAR6 and sphingosine 1 phosphate receptors including S1PR1, S1PR2, S1PR3, S1PR4, S1PR5 were determined using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>qRT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-PCR as described in the main text. RNA was isolated from passage 3 basal cells during expansion in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complete medium. Probes for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>qRT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-PCR were purchased from </w:t>
      </w:r>
      <w:r w:rsidR="009D146A">
        <w:rPr>
          <w:rFonts w:ascii="Times New Roman" w:hAnsi="Times New Roman" w:cs="Times New Roman"/>
          <w:color w:val="000000" w:themeColor="text1"/>
          <w:sz w:val="24"/>
          <w:szCs w:val="24"/>
        </w:rPr>
        <w:t>Applied Biosystems</w:t>
      </w:r>
      <w:r w:rsidR="002D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(Foster City, CA)</w:t>
      </w:r>
      <w:r w:rsidR="009D14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included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</w:rPr>
        <w:t>: LPAR1 (Hs00173500_m1), LPAR2 (Hs01109356_m1), LPAR3 (Hs00173857_m1), LPAR4 (Hs00271072_s1), LPAR5 (Hs00252675_s1), LPAR6 (Hs00271758_s1), S1PR1(Hs01922614_s1), S1PR2(ARU64HX_m1)), S1PR3 (Hs00245464_s1), S1PR4 (Hs02330084_s1), S1PR5 (Hs00928195_s1).</w:t>
      </w:r>
    </w:p>
    <w:p w14:paraId="5BCFDB18" w14:textId="77777777" w:rsidR="00AD6B29" w:rsidRPr="000E2B30" w:rsidRDefault="00AD6B29" w:rsidP="00AD6B29">
      <w:pPr>
        <w:spacing w:after="0" w:line="48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B30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CREB Inhibition and Erk1/2 Inhibition (Dose Response) of LPA Stimulation of SAE BC</w:t>
      </w:r>
    </w:p>
    <w:p w14:paraId="5014FDF6" w14:textId="12D35F9A" w:rsidR="00AD6B29" w:rsidRPr="000E2B30" w:rsidRDefault="00AD6B29" w:rsidP="00AD6B29">
      <w:pPr>
        <w:spacing w:after="0" w:line="480" w:lineRule="auto"/>
        <w:ind w:firstLine="72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 study the dose dependent effect of CREB inhibition on BC stimulated with an optimal concentration of LPA (1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FFFFF"/>
          </w:rPr>
          <m:t>µ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g/ml, determined in the prior dose-response experiment),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BC were plated in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PneumaCult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complete medium. CREB inhibitor 666-15 (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Eschelon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Biosciences)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was prepared as a 10 mM stock solution in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dimethylsulfoxide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(DMSO; Sigma</w:t>
      </w:r>
      <w:r w:rsidR="002D03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St. Louis, MO). After 24 h</w:t>
      </w:r>
      <w:r w:rsidR="00907B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BC were washed twice with PBS, once with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unsupplemented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medium, and incubated with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unsupplemented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ExPlus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medium in the absence (control) or presence of LPA</w:t>
      </w:r>
      <w:r w:rsidR="009C58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FFFFF"/>
          </w:rPr>
          <m:t xml:space="preserve"> µ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g/ml) </w:t>
      </w: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shd w:val="clear" w:color="auto" w:fill="FFFFFF"/>
          </w:rPr>
          <m:t>±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CREB inhibitor 666-15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Eschelon</w:t>
      </w:r>
      <w:proofErr w:type="spellEnd"/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Biosciences) in a dose response for 3 h</w:t>
      </w:r>
      <w:r w:rsidR="00907B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(0.2, 1.0, or 2.0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FFFFF"/>
          </w:rPr>
          <m:t>µ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 in .005% DMSO, were used as controls for each CREB inhibitor concentration) </w:t>
      </w:r>
      <m:oMath>
        <m:r>
          <w:rPr>
            <w:rFonts w:ascii="Cambria Math" w:eastAsiaTheme="minorEastAsia" w:hAnsi="Cambria Math" w:cs="Times New Roman"/>
            <w:color w:val="000000" w:themeColor="text1"/>
            <w:sz w:val="24"/>
            <w:szCs w:val="24"/>
            <w:shd w:val="clear" w:color="auto" w:fill="FFFFFF"/>
          </w:rPr>
          <m:t>±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ERK1/2 inhibitor LY3214996 (Med Chem Express</w:t>
      </w:r>
      <w:r w:rsidR="002D03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Monmouth Junction, NJ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9C58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a dose response for 3 h</w:t>
      </w:r>
      <w:r w:rsidR="00907B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58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0.005, 0.05, 0.5, 1.0, 5.0 </w:t>
      </w:r>
      <w:r w:rsidRPr="000E2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or 10.0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  <w:shd w:val="clear" w:color="auto" w:fill="FFFFFF"/>
          </w:rPr>
          <m:t>µ</m:t>
        </m:r>
      </m:oMath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 in </w:t>
      </w:r>
      <w:r w:rsidR="009C5854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.01% DMSO, were used as controls for each CREB inhibitor concentration) After a 3 h</w:t>
      </w:r>
      <w:r w:rsidR="00907B2F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incubation, BC’s were harvested with Trizol for RNA isolation.</w:t>
      </w:r>
    </w:p>
    <w:p w14:paraId="505FA2D4" w14:textId="77777777" w:rsidR="00AD6B29" w:rsidRPr="000E2B30" w:rsidRDefault="00AD6B29" w:rsidP="00AD6B29">
      <w:pPr>
        <w:spacing w:after="0" w:line="48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B30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To</w:t>
      </w:r>
      <w:r w:rsidR="009C585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xicity Levels of Each Inhibitor</w:t>
      </w:r>
    </w:p>
    <w:p w14:paraId="7FF67E65" w14:textId="07307F03" w:rsidR="00AD6B29" w:rsidRPr="000E2B30" w:rsidRDefault="00AD6B29" w:rsidP="00AD6B29">
      <w:pPr>
        <w:spacing w:after="0" w:line="48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To study th</w:t>
      </w:r>
      <w:r w:rsidR="005F4608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e cytotoxic effects of CREB, ERK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1/2, and EGFR inhibition on BC, BC were plated, treated, and harvested for conditioned media as descri</w:t>
      </w:r>
      <w:r w:rsidR="005F4608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bed above. Conditioned media were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then analyzed for the presence of LDH levels using </w:t>
      </w:r>
      <w:r w:rsidR="005F4608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Roche 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LDH cytotoxic ass</w:t>
      </w:r>
      <w:r w:rsidR="005F4608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ay kit (Sigm</w:t>
      </w:r>
      <w:r w:rsidR="002D03A2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A8056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B30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according to the manufacturer’s instructions.</w:t>
      </w:r>
    </w:p>
    <w:p w14:paraId="2E5BF1A9" w14:textId="77777777" w:rsidR="000E2B30" w:rsidRDefault="000E2B30" w:rsidP="00AD6B2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0E2B30" w:rsidSect="00D43E7C">
          <w:headerReference w:type="default" r:id="rId7"/>
          <w:pgSz w:w="12240" w:h="15840"/>
          <w:pgMar w:top="1440" w:right="1440" w:bottom="1152" w:left="1440" w:header="720" w:footer="720" w:gutter="0"/>
          <w:cols w:space="720"/>
          <w:titlePg/>
          <w:docGrid w:linePitch="360"/>
        </w:sectPr>
      </w:pPr>
    </w:p>
    <w:p w14:paraId="1852BBBC" w14:textId="77777777" w:rsidR="00FA4CE7" w:rsidRPr="002754B4" w:rsidRDefault="00FA4CE7" w:rsidP="00AD6B29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2754B4">
        <w:rPr>
          <w:b/>
        </w:rPr>
        <w:lastRenderedPageBreak/>
        <w:t>Supplementa</w:t>
      </w:r>
      <w:r w:rsidR="00532233">
        <w:rPr>
          <w:b/>
        </w:rPr>
        <w:t>l</w:t>
      </w:r>
      <w:r w:rsidRPr="002754B4">
        <w:rPr>
          <w:b/>
        </w:rPr>
        <w:t xml:space="preserve"> Table I. Study subject demographics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160"/>
        <w:gridCol w:w="1440"/>
        <w:gridCol w:w="1620"/>
        <w:gridCol w:w="870"/>
        <w:gridCol w:w="870"/>
        <w:gridCol w:w="1320"/>
      </w:tblGrid>
      <w:tr w:rsidR="00FA4CE7" w:rsidRPr="002754B4" w14:paraId="2FC374A0" w14:textId="77777777" w:rsidTr="00A80569">
        <w:trPr>
          <w:trHeight w:val="237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F8DEE2" w14:textId="77777777" w:rsidR="00FA4CE7" w:rsidRPr="002754B4" w:rsidRDefault="00FA4CE7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>Sample</w:t>
            </w:r>
            <w:r w:rsidR="00E31BBE" w:rsidRPr="002754B4">
              <w:rPr>
                <w:b/>
                <w:vertAlign w:val="superscript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8B57CC" w14:textId="77777777" w:rsidR="00FA4CE7" w:rsidRPr="002754B4" w:rsidRDefault="00FA4CE7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>Status</w:t>
            </w:r>
            <w:r w:rsidR="00E31BBE" w:rsidRPr="002754B4">
              <w:rPr>
                <w:b/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402D5" w14:textId="77777777" w:rsidR="00FA4CE7" w:rsidRPr="002754B4" w:rsidRDefault="00E31BBE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 xml:space="preserve">Basal </w:t>
            </w:r>
            <w:r w:rsidR="00AD6B29" w:rsidRPr="002754B4">
              <w:rPr>
                <w:b/>
              </w:rPr>
              <w:t>c</w:t>
            </w:r>
            <w:r w:rsidRPr="002754B4">
              <w:rPr>
                <w:b/>
              </w:rPr>
              <w:t xml:space="preserve">ell </w:t>
            </w:r>
            <w:r w:rsidR="00AD6B29" w:rsidRPr="002754B4">
              <w:rPr>
                <w:b/>
              </w:rPr>
              <w:t>p</w:t>
            </w:r>
            <w:r w:rsidR="00FA4CE7" w:rsidRPr="002754B4">
              <w:rPr>
                <w:b/>
              </w:rPr>
              <w:t>assage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DD5110" w14:textId="77777777" w:rsidR="00FA4CE7" w:rsidRPr="002754B4" w:rsidRDefault="00FA4CE7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>Region</w:t>
            </w:r>
            <w:r w:rsidR="00E31BBE" w:rsidRPr="002754B4">
              <w:rPr>
                <w:b/>
                <w:vertAlign w:val="superscript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7BA8AF" w14:textId="77777777" w:rsidR="00FA4CE7" w:rsidRPr="002754B4" w:rsidRDefault="00FA4CE7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>Age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31232" w14:textId="77777777" w:rsidR="00FA4CE7" w:rsidRPr="002754B4" w:rsidRDefault="00FA4CE7" w:rsidP="00AD6B2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2754B4">
              <w:rPr>
                <w:b/>
              </w:rPr>
              <w:t>Sex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DDF315" w14:textId="77777777" w:rsidR="00FA4CE7" w:rsidRPr="002754B4" w:rsidRDefault="00A80569" w:rsidP="00A80569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Ethnicity</w:t>
            </w:r>
            <w:r w:rsidR="00E31BBE" w:rsidRPr="002754B4">
              <w:rPr>
                <w:b/>
                <w:vertAlign w:val="superscript"/>
              </w:rPr>
              <w:t>4</w:t>
            </w:r>
          </w:p>
        </w:tc>
      </w:tr>
      <w:tr w:rsidR="00FA4CE7" w:rsidRPr="002754B4" w14:paraId="2CB5C5DB" w14:textId="77777777" w:rsidTr="00A80569">
        <w:trPr>
          <w:trHeight w:val="507"/>
        </w:trPr>
        <w:tc>
          <w:tcPr>
            <w:tcW w:w="153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85DEBAC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</w:pPr>
            <w:r w:rsidRPr="002754B4">
              <w:t>DGM-13577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4627259D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</w:pPr>
            <w:r w:rsidRPr="002754B4">
              <w:t>Healthy n</w:t>
            </w:r>
            <w:r w:rsidR="00FA4CE7" w:rsidRPr="002754B4">
              <w:t>onsmoker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66DAC2E3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17369E9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DRLL/DLLL</w:t>
            </w:r>
          </w:p>
        </w:tc>
        <w:tc>
          <w:tcPr>
            <w:tcW w:w="87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3B2FB9D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41</w:t>
            </w:r>
          </w:p>
        </w:tc>
        <w:tc>
          <w:tcPr>
            <w:tcW w:w="87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346BAC7F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F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21C564B9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C</w:t>
            </w:r>
          </w:p>
        </w:tc>
      </w:tr>
      <w:tr w:rsidR="00FA4CE7" w:rsidRPr="002754B4" w14:paraId="25CD8A9C" w14:textId="77777777" w:rsidTr="00A80569">
        <w:trPr>
          <w:trHeight w:val="491"/>
        </w:trPr>
        <w:tc>
          <w:tcPr>
            <w:tcW w:w="1530" w:type="dxa"/>
            <w:tcMar>
              <w:top w:w="29" w:type="dxa"/>
              <w:left w:w="115" w:type="dxa"/>
              <w:right w:w="115" w:type="dxa"/>
            </w:tcMar>
          </w:tcPr>
          <w:p w14:paraId="54742252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</w:pPr>
            <w:r w:rsidRPr="002754B4">
              <w:t>DGM-01657</w:t>
            </w:r>
          </w:p>
        </w:tc>
        <w:tc>
          <w:tcPr>
            <w:tcW w:w="2160" w:type="dxa"/>
            <w:tcMar>
              <w:top w:w="29" w:type="dxa"/>
              <w:left w:w="115" w:type="dxa"/>
              <w:right w:w="115" w:type="dxa"/>
            </w:tcMar>
          </w:tcPr>
          <w:p w14:paraId="065593BC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</w:pPr>
            <w:r w:rsidRPr="002754B4">
              <w:t>Healthy nonsmoker</w:t>
            </w:r>
          </w:p>
        </w:tc>
        <w:tc>
          <w:tcPr>
            <w:tcW w:w="1440" w:type="dxa"/>
            <w:tcMar>
              <w:top w:w="29" w:type="dxa"/>
              <w:left w:w="115" w:type="dxa"/>
              <w:right w:w="115" w:type="dxa"/>
            </w:tcMar>
          </w:tcPr>
          <w:p w14:paraId="1C115503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3</w:t>
            </w:r>
          </w:p>
        </w:tc>
        <w:tc>
          <w:tcPr>
            <w:tcW w:w="1620" w:type="dxa"/>
            <w:tcMar>
              <w:top w:w="29" w:type="dxa"/>
              <w:left w:w="115" w:type="dxa"/>
              <w:right w:w="115" w:type="dxa"/>
            </w:tcMar>
          </w:tcPr>
          <w:p w14:paraId="5FF71307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DRLL/DLLL</w:t>
            </w:r>
          </w:p>
        </w:tc>
        <w:tc>
          <w:tcPr>
            <w:tcW w:w="870" w:type="dxa"/>
            <w:tcMar>
              <w:top w:w="29" w:type="dxa"/>
              <w:left w:w="115" w:type="dxa"/>
              <w:right w:w="115" w:type="dxa"/>
            </w:tcMar>
          </w:tcPr>
          <w:p w14:paraId="24A1E390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55</w:t>
            </w:r>
          </w:p>
        </w:tc>
        <w:tc>
          <w:tcPr>
            <w:tcW w:w="870" w:type="dxa"/>
            <w:tcMar>
              <w:top w:w="29" w:type="dxa"/>
              <w:left w:w="115" w:type="dxa"/>
              <w:right w:w="115" w:type="dxa"/>
            </w:tcMar>
          </w:tcPr>
          <w:p w14:paraId="71A3D3FE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M</w:t>
            </w:r>
          </w:p>
        </w:tc>
        <w:tc>
          <w:tcPr>
            <w:tcW w:w="1320" w:type="dxa"/>
            <w:tcMar>
              <w:top w:w="29" w:type="dxa"/>
              <w:left w:w="115" w:type="dxa"/>
              <w:right w:w="115" w:type="dxa"/>
            </w:tcMar>
          </w:tcPr>
          <w:p w14:paraId="35089875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C</w:t>
            </w:r>
          </w:p>
        </w:tc>
      </w:tr>
      <w:tr w:rsidR="00FA4CE7" w:rsidRPr="002754B4" w14:paraId="02F6943A" w14:textId="77777777" w:rsidTr="00A80569">
        <w:trPr>
          <w:trHeight w:val="491"/>
        </w:trPr>
        <w:tc>
          <w:tcPr>
            <w:tcW w:w="153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94B4ECC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</w:pPr>
            <w:r w:rsidRPr="002754B4">
              <w:t>DGM-13767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391AD6EE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</w:pPr>
            <w:r w:rsidRPr="002754B4">
              <w:t>Healthy nonsmoker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55B434BD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7D580D0D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DRLL/DLLL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35F9961F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55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4300FA67" w14:textId="77777777" w:rsidR="00FA4CE7" w:rsidRPr="002754B4" w:rsidRDefault="00FA4CE7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M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179324C7" w14:textId="77777777" w:rsidR="00FA4CE7" w:rsidRPr="002754B4" w:rsidRDefault="00E31BBE" w:rsidP="00E31BBE">
            <w:pPr>
              <w:pStyle w:val="NormalWeb"/>
              <w:spacing w:before="0" w:beforeAutospacing="0" w:after="0" w:afterAutospacing="0"/>
              <w:jc w:val="center"/>
            </w:pPr>
            <w:r w:rsidRPr="002754B4">
              <w:t>C</w:t>
            </w:r>
          </w:p>
        </w:tc>
      </w:tr>
    </w:tbl>
    <w:p w14:paraId="48A135CF" w14:textId="77777777" w:rsidR="00FA4CE7" w:rsidRPr="00AD6B29" w:rsidRDefault="00E31BBE" w:rsidP="00AD6B29">
      <w:pPr>
        <w:pStyle w:val="NormalWeb"/>
        <w:spacing w:before="0" w:beforeAutospacing="0" w:after="0" w:afterAutospacing="0"/>
        <w:ind w:left="180" w:hanging="180"/>
        <w:rPr>
          <w:sz w:val="22"/>
          <w:szCs w:val="22"/>
        </w:rPr>
      </w:pPr>
      <w:r w:rsidRPr="00AD6B29">
        <w:rPr>
          <w:sz w:val="22"/>
          <w:szCs w:val="22"/>
          <w:vertAlign w:val="superscript"/>
        </w:rPr>
        <w:t>1</w:t>
      </w:r>
      <w:r w:rsidR="00AD6B29">
        <w:rPr>
          <w:sz w:val="22"/>
          <w:szCs w:val="22"/>
          <w:vertAlign w:val="superscript"/>
        </w:rPr>
        <w:tab/>
      </w:r>
      <w:r w:rsidRPr="00AD6B29">
        <w:rPr>
          <w:sz w:val="22"/>
          <w:szCs w:val="22"/>
        </w:rPr>
        <w:t>De-identified sample number</w:t>
      </w:r>
    </w:p>
    <w:p w14:paraId="6B9A1DA4" w14:textId="77777777" w:rsidR="00AD6B29" w:rsidRDefault="00E31BBE" w:rsidP="00AD6B29">
      <w:pPr>
        <w:pStyle w:val="NormalWeb"/>
        <w:spacing w:before="0" w:beforeAutospacing="0" w:after="0" w:afterAutospacing="0"/>
        <w:ind w:left="180" w:hanging="180"/>
        <w:rPr>
          <w:sz w:val="22"/>
          <w:szCs w:val="22"/>
        </w:rPr>
      </w:pPr>
      <w:r w:rsidRPr="00AD6B29">
        <w:rPr>
          <w:sz w:val="22"/>
          <w:szCs w:val="22"/>
          <w:vertAlign w:val="superscript"/>
        </w:rPr>
        <w:t>2</w:t>
      </w:r>
      <w:r w:rsidR="00AD6B29">
        <w:rPr>
          <w:sz w:val="22"/>
          <w:szCs w:val="22"/>
          <w:vertAlign w:val="superscript"/>
        </w:rPr>
        <w:tab/>
      </w:r>
      <w:r w:rsidRPr="00AD6B29">
        <w:rPr>
          <w:sz w:val="22"/>
          <w:szCs w:val="22"/>
        </w:rPr>
        <w:t>Smoking status confirmed by analysis of smoking metabolites; undetectable levels of urine nicotine, urine cotinine; pulmonary function tests within the normal range</w:t>
      </w:r>
    </w:p>
    <w:p w14:paraId="12700C73" w14:textId="77777777" w:rsidR="00E31BBE" w:rsidRPr="00AD6B29" w:rsidRDefault="00E31BBE" w:rsidP="00AD6B29">
      <w:pPr>
        <w:pStyle w:val="NormalWeb"/>
        <w:spacing w:before="0" w:beforeAutospacing="0" w:after="0" w:afterAutospacing="0"/>
        <w:ind w:left="180" w:hanging="180"/>
        <w:rPr>
          <w:sz w:val="22"/>
          <w:szCs w:val="22"/>
        </w:rPr>
      </w:pPr>
      <w:r w:rsidRPr="00AD6B29">
        <w:rPr>
          <w:sz w:val="22"/>
          <w:szCs w:val="22"/>
          <w:vertAlign w:val="superscript"/>
        </w:rPr>
        <w:t>3</w:t>
      </w:r>
      <w:r w:rsidR="00AD6B29">
        <w:rPr>
          <w:sz w:val="22"/>
          <w:szCs w:val="22"/>
        </w:rPr>
        <w:tab/>
      </w:r>
      <w:r w:rsidR="000235F4" w:rsidRPr="00AD6B29">
        <w:rPr>
          <w:sz w:val="22"/>
          <w:szCs w:val="22"/>
        </w:rPr>
        <w:t>Distal right lower lobe (DRLL) or distal left lower lobe (DLLL)</w:t>
      </w:r>
    </w:p>
    <w:p w14:paraId="6F9A5298" w14:textId="77777777" w:rsidR="000235F4" w:rsidRPr="00AD6B29" w:rsidRDefault="000235F4" w:rsidP="00AD6B29">
      <w:pPr>
        <w:pStyle w:val="NormalWeb"/>
        <w:spacing w:before="0" w:beforeAutospacing="0" w:after="0" w:afterAutospacing="0"/>
        <w:ind w:left="180" w:hanging="180"/>
        <w:rPr>
          <w:sz w:val="22"/>
          <w:szCs w:val="22"/>
        </w:rPr>
      </w:pPr>
      <w:r w:rsidRPr="00AD6B29">
        <w:rPr>
          <w:sz w:val="22"/>
          <w:szCs w:val="22"/>
          <w:vertAlign w:val="superscript"/>
        </w:rPr>
        <w:t>4</w:t>
      </w:r>
      <w:r w:rsidR="00AD6B29">
        <w:rPr>
          <w:sz w:val="22"/>
          <w:szCs w:val="22"/>
          <w:vertAlign w:val="superscript"/>
        </w:rPr>
        <w:tab/>
      </w:r>
      <w:r w:rsidRPr="00AD6B29">
        <w:rPr>
          <w:sz w:val="22"/>
          <w:szCs w:val="22"/>
        </w:rPr>
        <w:t>Caucasian (C)</w:t>
      </w:r>
    </w:p>
    <w:p w14:paraId="0E5F819D" w14:textId="77777777" w:rsidR="00FA4CE7" w:rsidRPr="00794F76" w:rsidRDefault="00FA4CE7" w:rsidP="00FA4CE7">
      <w:pPr>
        <w:spacing w:after="0" w:line="480" w:lineRule="auto"/>
        <w:rPr>
          <w:rFonts w:ascii="Times New Roman" w:hAnsi="Times New Roman" w:cs="Times New Roman"/>
        </w:rPr>
      </w:pPr>
    </w:p>
    <w:p w14:paraId="00FC2933" w14:textId="77777777" w:rsidR="00A26951" w:rsidRDefault="00A26951">
      <w:pPr>
        <w:rPr>
          <w:rFonts w:ascii="Times New Roman" w:hAnsi="Times New Roman" w:cs="Times New Roman"/>
          <w:b/>
          <w:sz w:val="24"/>
          <w:szCs w:val="24"/>
        </w:rPr>
      </w:pPr>
    </w:p>
    <w:p w14:paraId="64C52FBD" w14:textId="77777777" w:rsidR="00AD6B29" w:rsidRDefault="00AD6B29" w:rsidP="00A26951">
      <w:pPr>
        <w:widowControl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D6B29" w:rsidSect="00D43E7C">
          <w:pgSz w:w="12240" w:h="15840"/>
          <w:pgMar w:top="1440" w:right="1440" w:bottom="1152" w:left="1440" w:header="720" w:footer="720" w:gutter="0"/>
          <w:cols w:space="720"/>
          <w:titlePg/>
          <w:docGrid w:linePitch="360"/>
        </w:sectPr>
      </w:pPr>
    </w:p>
    <w:p w14:paraId="60BE03A1" w14:textId="012A0212" w:rsidR="00614251" w:rsidRDefault="003B1B47" w:rsidP="003B1B47">
      <w:pPr>
        <w:widowControl w:val="0"/>
        <w:spacing w:after="0"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3B1B4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8CBED61" wp14:editId="5EB281CA">
            <wp:extent cx="4846320" cy="6115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" r="15000" b="8005"/>
                    <a:stretch/>
                  </pic:blipFill>
                  <pic:spPr bwMode="auto">
                    <a:xfrm>
                      <a:off x="0" y="0"/>
                      <a:ext cx="484632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B0479" w14:textId="61ADB9CE" w:rsidR="00A26951" w:rsidRPr="00A26951" w:rsidRDefault="00A26951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951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 Figure 1.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 xml:space="preserve">Evaluation of growth factor expression in basal cells in the context of a range of LPA </w:t>
      </w:r>
      <w:r w:rsidR="009C5854">
        <w:rPr>
          <w:rFonts w:ascii="Times New Roman" w:hAnsi="Times New Roman" w:cs="Times New Roman"/>
          <w:sz w:val="24"/>
          <w:szCs w:val="24"/>
        </w:rPr>
        <w:t>levels</w:t>
      </w:r>
      <w:r w:rsidRPr="0066787A">
        <w:rPr>
          <w:rFonts w:ascii="Times New Roman" w:hAnsi="Times New Roman" w:cs="Times New Roman"/>
          <w:sz w:val="24"/>
          <w:szCs w:val="24"/>
        </w:rPr>
        <w:t xml:space="preserve">. </w:t>
      </w:r>
      <w:r w:rsidRPr="00A26951">
        <w:rPr>
          <w:rFonts w:ascii="Times New Roman" w:hAnsi="Times New Roman" w:cs="Times New Roman"/>
          <w:sz w:val="24"/>
          <w:szCs w:val="24"/>
        </w:rPr>
        <w:t>Primary small airway basal cells (passage 3) were obtained from each of three healthy, non-smoking donors and plated in triplicate in the presence or absence of 0.1,</w:t>
      </w:r>
      <w:r w:rsidR="009C5854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>1.0,</w:t>
      </w:r>
      <w:r w:rsidR="009C5854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 xml:space="preserve">or 10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 xml:space="preserve">/ml LPA. Cells were evaluated for </w:t>
      </w:r>
      <w:r w:rsidR="00900451">
        <w:rPr>
          <w:rFonts w:ascii="Times New Roman" w:hAnsi="Times New Roman" w:cs="Times New Roman"/>
          <w:sz w:val="24"/>
          <w:szCs w:val="24"/>
        </w:rPr>
        <w:t xml:space="preserve">expression of </w:t>
      </w:r>
      <w:r w:rsidRPr="00900451">
        <w:rPr>
          <w:rFonts w:ascii="Times New Roman" w:hAnsi="Times New Roman" w:cs="Times New Roman"/>
          <w:i/>
          <w:sz w:val="24"/>
          <w:szCs w:val="24"/>
        </w:rPr>
        <w:t>CTGF</w:t>
      </w:r>
      <w:r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Pr="00900451">
        <w:rPr>
          <w:rFonts w:ascii="Times New Roman" w:hAnsi="Times New Roman" w:cs="Times New Roman"/>
          <w:i/>
          <w:sz w:val="24"/>
          <w:szCs w:val="24"/>
        </w:rPr>
        <w:t>EDN1</w:t>
      </w:r>
      <w:r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Pr="00900451">
        <w:rPr>
          <w:rFonts w:ascii="Times New Roman" w:hAnsi="Times New Roman" w:cs="Times New Roman"/>
          <w:i/>
          <w:sz w:val="24"/>
          <w:szCs w:val="24"/>
        </w:rPr>
        <w:t>TGFβ1</w:t>
      </w:r>
      <w:r w:rsidRPr="00A26951">
        <w:rPr>
          <w:rFonts w:ascii="Times New Roman" w:hAnsi="Times New Roman" w:cs="Times New Roman"/>
          <w:sz w:val="24"/>
          <w:szCs w:val="24"/>
        </w:rPr>
        <w:t xml:space="preserve">, and </w:t>
      </w:r>
      <w:r w:rsidRPr="00900451">
        <w:rPr>
          <w:rFonts w:ascii="Times New Roman" w:hAnsi="Times New Roman" w:cs="Times New Roman"/>
          <w:i/>
          <w:sz w:val="24"/>
          <w:szCs w:val="24"/>
        </w:rPr>
        <w:t>PDGFA</w:t>
      </w:r>
      <w:r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Pr="00900451">
        <w:rPr>
          <w:rFonts w:ascii="Times New Roman" w:hAnsi="Times New Roman" w:cs="Times New Roman"/>
          <w:i/>
          <w:sz w:val="24"/>
          <w:szCs w:val="24"/>
        </w:rPr>
        <w:t>PDGFB</w:t>
      </w:r>
      <w:r w:rsidRPr="00A26951">
        <w:rPr>
          <w:rFonts w:ascii="Times New Roman" w:hAnsi="Times New Roman" w:cs="Times New Roman"/>
          <w:sz w:val="24"/>
          <w:szCs w:val="24"/>
        </w:rPr>
        <w:t xml:space="preserve">, and </w:t>
      </w:r>
      <w:r w:rsidRPr="00900451">
        <w:rPr>
          <w:rFonts w:ascii="Times New Roman" w:hAnsi="Times New Roman" w:cs="Times New Roman"/>
          <w:i/>
          <w:sz w:val="24"/>
          <w:szCs w:val="24"/>
        </w:rPr>
        <w:t>PDGFC</w:t>
      </w:r>
      <w:r w:rsidRPr="00A26951">
        <w:rPr>
          <w:rFonts w:ascii="Times New Roman" w:hAnsi="Times New Roman" w:cs="Times New Roman"/>
          <w:sz w:val="24"/>
          <w:szCs w:val="24"/>
        </w:rPr>
        <w:t>. After a 3 h</w:t>
      </w:r>
      <w:r w:rsidR="00907B2F">
        <w:rPr>
          <w:rFonts w:ascii="Times New Roman" w:hAnsi="Times New Roman" w:cs="Times New Roman"/>
          <w:sz w:val="24"/>
          <w:szCs w:val="24"/>
        </w:rPr>
        <w:t>r</w:t>
      </w:r>
      <w:r w:rsidRPr="00A26951">
        <w:rPr>
          <w:rFonts w:ascii="Times New Roman" w:hAnsi="Times New Roman" w:cs="Times New Roman"/>
          <w:sz w:val="24"/>
          <w:szCs w:val="24"/>
        </w:rPr>
        <w:t xml:space="preserve"> of LPA exposure, RNA was harvested and evaluated by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>-PCR using 18S RNA to normalize the results. Data are expressed as th</w:t>
      </w:r>
      <w:r w:rsidR="00907B2F">
        <w:rPr>
          <w:rFonts w:ascii="Times New Roman" w:hAnsi="Times New Roman" w:cs="Times New Roman"/>
          <w:sz w:val="24"/>
          <w:szCs w:val="24"/>
        </w:rPr>
        <w:t>e mean value of the 3 donors ± SE</w:t>
      </w:r>
      <w:r w:rsidRPr="00A26951">
        <w:rPr>
          <w:rFonts w:ascii="Times New Roman" w:hAnsi="Times New Roman" w:cs="Times New Roman"/>
          <w:sz w:val="24"/>
          <w:szCs w:val="24"/>
        </w:rPr>
        <w:t>.</w:t>
      </w:r>
      <w:r w:rsidR="00A80569">
        <w:rPr>
          <w:rFonts w:ascii="Times New Roman" w:hAnsi="Times New Roman" w:cs="Times New Roman"/>
          <w:sz w:val="24"/>
          <w:szCs w:val="24"/>
        </w:rPr>
        <w:t xml:space="preserve"> </w:t>
      </w:r>
      <w:r w:rsidR="005F4608" w:rsidRPr="005F4608">
        <w:rPr>
          <w:rFonts w:ascii="Times New Roman" w:hAnsi="Times New Roman" w:cs="Times New Roman"/>
          <w:sz w:val="24"/>
          <w:szCs w:val="24"/>
        </w:rPr>
        <w:t>*p&lt;0.05, **p&lt;0.01, ***p&lt;0.001.</w:t>
      </w:r>
    </w:p>
    <w:p w14:paraId="68AA0C70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7B4B4A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4251">
        <w:rPr>
          <w:noProof/>
        </w:rPr>
        <w:lastRenderedPageBreak/>
        <w:drawing>
          <wp:inline distT="0" distB="0" distL="0" distR="0" wp14:anchorId="576F0348" wp14:editId="1DB4E34C">
            <wp:extent cx="5715000" cy="32232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C1A25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778D04" w14:textId="65040CCE" w:rsidR="00A26951" w:rsidRPr="00A26951" w:rsidRDefault="00A26951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951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 Figure 2</w:t>
      </w:r>
      <w:r w:rsidRPr="00A26951">
        <w:rPr>
          <w:rFonts w:ascii="Times New Roman" w:hAnsi="Times New Roman" w:cs="Times New Roman"/>
          <w:sz w:val="24"/>
          <w:szCs w:val="24"/>
        </w:rPr>
        <w:t>. Expression of LPA receptors in healthy non-smoker BC.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 xml:space="preserve">Primary small airway basal cells (passage 3) were plated in triplicate and evaluated for expression of lysophosphatidic receptor family members: LPAR1, LPAR2, LPAR3, LPAR4, LPAR5, LPAR6 and sphingosine-1-phosphophate receptor family members: S1PR1, S1PR2, S1PR3, S1PR4, S1PR5. RNA was harvested and evaluated by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 xml:space="preserve">-PCR using 18S RNA to normalize the results. Data are expressed as the mean value of the 3 donors ± </w:t>
      </w:r>
      <w:r w:rsidR="00907B2F">
        <w:rPr>
          <w:rFonts w:ascii="Times New Roman" w:hAnsi="Times New Roman" w:cs="Times New Roman"/>
          <w:sz w:val="24"/>
          <w:szCs w:val="24"/>
        </w:rPr>
        <w:t>SE.</w:t>
      </w:r>
    </w:p>
    <w:p w14:paraId="61AA7ABC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118CDD7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4251">
        <w:rPr>
          <w:noProof/>
        </w:rPr>
        <w:lastRenderedPageBreak/>
        <w:drawing>
          <wp:inline distT="0" distB="0" distL="0" distR="0" wp14:anchorId="4A559F17" wp14:editId="4838E214">
            <wp:extent cx="5943600" cy="27724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DD77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9C458" w14:textId="6F9D9A14" w:rsidR="00A26951" w:rsidRPr="00A26951" w:rsidRDefault="00A26951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951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 Figure 3.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>Human phospho-kinase array coordinates</w:t>
      </w:r>
      <w:r w:rsidRPr="0066787A">
        <w:rPr>
          <w:rFonts w:ascii="Times New Roman" w:hAnsi="Times New Roman" w:cs="Times New Roman"/>
          <w:sz w:val="24"/>
          <w:szCs w:val="24"/>
        </w:rPr>
        <w:t xml:space="preserve">. </w:t>
      </w:r>
      <w:r w:rsidRPr="00A26951">
        <w:rPr>
          <w:rFonts w:ascii="Times New Roman" w:hAnsi="Times New Roman" w:cs="Times New Roman"/>
          <w:sz w:val="24"/>
          <w:szCs w:val="24"/>
        </w:rPr>
        <w:t xml:space="preserve">Reference spots for the R&amp;D Systems Proteome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Profilier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 xml:space="preserve"> Human Phospho-kinase Array including kinases that did not respond significantly to LPA treatment.</w:t>
      </w:r>
    </w:p>
    <w:p w14:paraId="151BB3BA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77E8EA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4251">
        <w:rPr>
          <w:noProof/>
        </w:rPr>
        <w:lastRenderedPageBreak/>
        <w:drawing>
          <wp:inline distT="0" distB="0" distL="0" distR="0" wp14:anchorId="7FD047A9" wp14:editId="19D541EF">
            <wp:extent cx="3691890" cy="2617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910F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9E4168" w14:textId="3A2F2942" w:rsidR="00A26951" w:rsidRPr="00A26951" w:rsidRDefault="00A26951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951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 Figure 4.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="009C5854" w:rsidRPr="009C5854">
        <w:rPr>
          <w:rFonts w:ascii="Times New Roman" w:hAnsi="Times New Roman" w:cs="Times New Roman"/>
          <w:sz w:val="24"/>
          <w:szCs w:val="24"/>
        </w:rPr>
        <w:t xml:space="preserve">Assessment of </w:t>
      </w:r>
      <w:r w:rsidR="00900451" w:rsidRPr="009C5854">
        <w:rPr>
          <w:rFonts w:ascii="Times New Roman" w:hAnsi="Times New Roman" w:cs="Times New Roman"/>
          <w:sz w:val="24"/>
          <w:szCs w:val="24"/>
        </w:rPr>
        <w:t>S</w:t>
      </w:r>
      <w:r w:rsidR="00900451" w:rsidRPr="00900451">
        <w:rPr>
          <w:rFonts w:ascii="Times New Roman" w:hAnsi="Times New Roman" w:cs="Times New Roman"/>
          <w:sz w:val="24"/>
          <w:szCs w:val="24"/>
        </w:rPr>
        <w:t xml:space="preserve">AE </w:t>
      </w:r>
      <w:r w:rsidRPr="00A26951">
        <w:rPr>
          <w:rFonts w:ascii="Times New Roman" w:hAnsi="Times New Roman" w:cs="Times New Roman"/>
          <w:sz w:val="24"/>
          <w:szCs w:val="24"/>
        </w:rPr>
        <w:t>BC toxicity following exposure to kinase inhibitors.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 xml:space="preserve">Basal cell LDH release was assessed </w:t>
      </w:r>
      <w:r w:rsidR="00900451">
        <w:rPr>
          <w:rFonts w:ascii="Times New Roman" w:hAnsi="Times New Roman" w:cs="Times New Roman"/>
          <w:sz w:val="24"/>
          <w:szCs w:val="24"/>
        </w:rPr>
        <w:t xml:space="preserve">using </w:t>
      </w:r>
      <w:r w:rsidRPr="00A26951">
        <w:rPr>
          <w:rFonts w:ascii="Times New Roman" w:hAnsi="Times New Roman" w:cs="Times New Roman"/>
          <w:sz w:val="24"/>
          <w:szCs w:val="24"/>
        </w:rPr>
        <w:t>an LDH enzyme activity assay in cell culture medium 24 h</w:t>
      </w:r>
      <w:r w:rsidR="00907B2F">
        <w:rPr>
          <w:rFonts w:ascii="Times New Roman" w:hAnsi="Times New Roman" w:cs="Times New Roman"/>
          <w:sz w:val="24"/>
          <w:szCs w:val="24"/>
        </w:rPr>
        <w:t>r</w:t>
      </w:r>
      <w:r w:rsidRPr="00A26951">
        <w:rPr>
          <w:rFonts w:ascii="Times New Roman" w:hAnsi="Times New Roman" w:cs="Times New Roman"/>
          <w:sz w:val="24"/>
          <w:szCs w:val="24"/>
        </w:rPr>
        <w:t xml:space="preserve"> after a 4 h</w:t>
      </w:r>
      <w:r w:rsidR="00907B2F">
        <w:rPr>
          <w:rFonts w:ascii="Times New Roman" w:hAnsi="Times New Roman" w:cs="Times New Roman"/>
          <w:sz w:val="24"/>
          <w:szCs w:val="24"/>
        </w:rPr>
        <w:t>r</w:t>
      </w:r>
      <w:r w:rsidRPr="00A26951">
        <w:rPr>
          <w:rFonts w:ascii="Times New Roman" w:hAnsi="Times New Roman" w:cs="Times New Roman"/>
          <w:sz w:val="24"/>
          <w:szCs w:val="24"/>
        </w:rPr>
        <w:t xml:space="preserve"> exposure to kinase inhibitors. Data are normalized to cell culture volume tested. </w:t>
      </w:r>
      <w:r w:rsidR="009C5854">
        <w:rPr>
          <w:rFonts w:ascii="Times New Roman" w:hAnsi="Times New Roman" w:cs="Times New Roman"/>
          <w:sz w:val="24"/>
          <w:szCs w:val="24"/>
        </w:rPr>
        <w:t>There was no toxicity observed at the levels of inhibitors used (</w:t>
      </w:r>
      <w:r w:rsidR="005F4608">
        <w:rPr>
          <w:rFonts w:ascii="Times New Roman" w:hAnsi="Times New Roman" w:cs="Times New Roman"/>
          <w:sz w:val="24"/>
          <w:szCs w:val="24"/>
        </w:rPr>
        <w:t xml:space="preserve">“NS” – not significant; </w:t>
      </w:r>
      <w:r w:rsidR="009C5854" w:rsidRPr="00FF3928">
        <w:rPr>
          <w:rFonts w:ascii="Times New Roman" w:hAnsi="Times New Roman" w:cs="Times New Roman"/>
          <w:sz w:val="24"/>
          <w:szCs w:val="24"/>
        </w:rPr>
        <w:t>p</w:t>
      </w:r>
      <w:r w:rsidR="00FF3928">
        <w:rPr>
          <w:rFonts w:ascii="Times New Roman" w:hAnsi="Times New Roman" w:cs="Times New Roman"/>
          <w:sz w:val="24"/>
          <w:szCs w:val="24"/>
        </w:rPr>
        <w:t xml:space="preserve"> &gt; 0.2 c</w:t>
      </w:r>
      <w:r w:rsidR="009C5854" w:rsidRPr="00532233">
        <w:rPr>
          <w:rFonts w:ascii="Times New Roman" w:hAnsi="Times New Roman" w:cs="Times New Roman"/>
          <w:sz w:val="24"/>
          <w:szCs w:val="24"/>
        </w:rPr>
        <w:t xml:space="preserve">ompared to </w:t>
      </w:r>
      <w:r w:rsidR="009C5854">
        <w:rPr>
          <w:rFonts w:ascii="Times New Roman" w:hAnsi="Times New Roman" w:cs="Times New Roman"/>
          <w:sz w:val="24"/>
          <w:szCs w:val="24"/>
        </w:rPr>
        <w:t>naive)</w:t>
      </w:r>
      <w:r w:rsidR="0066787A">
        <w:rPr>
          <w:rFonts w:ascii="Times New Roman" w:hAnsi="Times New Roman" w:cs="Times New Roman"/>
          <w:sz w:val="24"/>
          <w:szCs w:val="24"/>
        </w:rPr>
        <w:t>.</w:t>
      </w:r>
      <w:r w:rsidR="00A805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5A7E2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33184CE" w14:textId="4FD73D33" w:rsidR="00614251" w:rsidRDefault="003B1B47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1B4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56FFDC0" wp14:editId="05833B17">
            <wp:extent cx="5875020" cy="54013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"/>
                    <a:stretch/>
                  </pic:blipFill>
                  <pic:spPr bwMode="auto">
                    <a:xfrm>
                      <a:off x="0" y="0"/>
                      <a:ext cx="5875020" cy="540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C0ABB9" w14:textId="77777777" w:rsidR="00614251" w:rsidRDefault="00614251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3FF9AA" w14:textId="4DC0C7E0" w:rsidR="00A26951" w:rsidRPr="00A26951" w:rsidRDefault="00A26951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951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 Figure 5.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sz w:val="24"/>
          <w:szCs w:val="24"/>
        </w:rPr>
        <w:t>Effect of ERK1/2, and EGFR inhibitors on fibroblast response to basal cell conditioned medium.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bCs/>
          <w:sz w:val="24"/>
          <w:szCs w:val="24"/>
        </w:rPr>
        <w:t xml:space="preserve">Primary </w:t>
      </w:r>
      <w:r w:rsidRPr="00A26951">
        <w:rPr>
          <w:rFonts w:ascii="Times New Roman" w:hAnsi="Times New Roman" w:cs="Times New Roman"/>
          <w:sz w:val="24"/>
          <w:szCs w:val="24"/>
        </w:rPr>
        <w:t xml:space="preserve">normal human lung fibroblasts (NHLF, passage 5) were treated with BC-conditioned media from each of three non-smoking donors obtained in the presence or absence of 1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 xml:space="preserve">/ml LPA. Conditioned medium was collected from cultures that were naive or treated with 5µM ERK1/2 </w:t>
      </w:r>
      <w:r w:rsidR="00D05BD2">
        <w:rPr>
          <w:rFonts w:ascii="Times New Roman" w:hAnsi="Times New Roman" w:cs="Times New Roman"/>
          <w:sz w:val="24"/>
          <w:szCs w:val="24"/>
        </w:rPr>
        <w:t xml:space="preserve">inhibitor (LY32149966), or </w:t>
      </w:r>
      <w:r w:rsidR="00D05BD2" w:rsidRPr="00D05BD2">
        <w:rPr>
          <w:rFonts w:ascii="Times New Roman" w:hAnsi="Times New Roman" w:cs="Times New Roman"/>
          <w:sz w:val="24"/>
          <w:szCs w:val="24"/>
        </w:rPr>
        <w:t>EGFR</w:t>
      </w:r>
      <w:r w:rsidRPr="00D05BD2">
        <w:rPr>
          <w:rFonts w:ascii="Times New Roman" w:hAnsi="Times New Roman" w:cs="Times New Roman"/>
          <w:sz w:val="24"/>
          <w:szCs w:val="24"/>
        </w:rPr>
        <w:t xml:space="preserve"> inhibitor (</w:t>
      </w:r>
      <w:r w:rsidRPr="00D05BD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AG1478</w:t>
      </w:r>
      <w:r w:rsidRPr="00D05BD2">
        <w:rPr>
          <w:rFonts w:ascii="Times New Roman" w:hAnsi="Times New Roman" w:cs="Times New Roman"/>
          <w:sz w:val="24"/>
          <w:szCs w:val="24"/>
        </w:rPr>
        <w:t>).</w:t>
      </w:r>
      <w:r w:rsidRPr="00A26951">
        <w:rPr>
          <w:rFonts w:ascii="Times New Roman" w:hAnsi="Times New Roman" w:cs="Times New Roman"/>
          <w:sz w:val="24"/>
          <w:szCs w:val="24"/>
        </w:rPr>
        <w:t xml:space="preserve"> Conditioned medium was then transferred to na</w:t>
      </w:r>
      <w:r w:rsidR="00532233">
        <w:rPr>
          <w:rFonts w:ascii="Times New Roman" w:hAnsi="Times New Roman" w:cs="Times New Roman"/>
          <w:sz w:val="24"/>
          <w:szCs w:val="24"/>
        </w:rPr>
        <w:t>i</w:t>
      </w:r>
      <w:r w:rsidRPr="00A26951">
        <w:rPr>
          <w:rFonts w:ascii="Times New Roman" w:hAnsi="Times New Roman" w:cs="Times New Roman"/>
          <w:sz w:val="24"/>
          <w:szCs w:val="24"/>
        </w:rPr>
        <w:t>ve NHLF. After 24 hr, expression of collagen type 1 (COL1A1) and smooth muscle actin (ACTA2) in fibroblasts was assessed after 24 h</w:t>
      </w:r>
      <w:r w:rsidR="00907B2F">
        <w:rPr>
          <w:rFonts w:ascii="Times New Roman" w:hAnsi="Times New Roman" w:cs="Times New Roman"/>
          <w:sz w:val="24"/>
          <w:szCs w:val="24"/>
        </w:rPr>
        <w:t>r</w:t>
      </w:r>
      <w:r w:rsidRPr="00A26951">
        <w:rPr>
          <w:rFonts w:ascii="Times New Roman" w:hAnsi="Times New Roman" w:cs="Times New Roman"/>
          <w:sz w:val="24"/>
          <w:szCs w:val="24"/>
        </w:rPr>
        <w:t xml:space="preserve"> in conditioned medium. RNA was harvested and evaluated by </w:t>
      </w:r>
      <w:proofErr w:type="spellStart"/>
      <w:r w:rsidRPr="00A2695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A26951">
        <w:rPr>
          <w:rFonts w:ascii="Times New Roman" w:hAnsi="Times New Roman" w:cs="Times New Roman"/>
          <w:sz w:val="24"/>
          <w:szCs w:val="24"/>
        </w:rPr>
        <w:t>-PCR using 18S RNA to normalize the samples.</w:t>
      </w:r>
      <w:r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Pr="00A26951">
        <w:rPr>
          <w:rFonts w:ascii="Times New Roman" w:hAnsi="Times New Roman" w:cs="Times New Roman"/>
          <w:b/>
          <w:sz w:val="24"/>
          <w:szCs w:val="24"/>
        </w:rPr>
        <w:t>A</w:t>
      </w:r>
      <w:r w:rsidRPr="0066787A">
        <w:rPr>
          <w:rFonts w:ascii="Times New Roman" w:hAnsi="Times New Roman" w:cs="Times New Roman"/>
          <w:b/>
          <w:sz w:val="24"/>
          <w:szCs w:val="24"/>
        </w:rPr>
        <w:t>.</w:t>
      </w:r>
      <w:r w:rsidRPr="00A26951">
        <w:rPr>
          <w:rFonts w:ascii="Times New Roman" w:hAnsi="Times New Roman" w:cs="Times New Roman"/>
          <w:sz w:val="24"/>
          <w:szCs w:val="24"/>
        </w:rPr>
        <w:t xml:space="preserve"> Medium collected following treatment with ERK1/2 inhibitor. </w:t>
      </w:r>
      <w:r w:rsidRPr="00A2695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A26951">
        <w:rPr>
          <w:rFonts w:ascii="Times New Roman" w:hAnsi="Times New Roman" w:cs="Times New Roman"/>
          <w:sz w:val="24"/>
          <w:szCs w:val="24"/>
        </w:rPr>
        <w:t xml:space="preserve">Medium collected following treatment with P70 S6 kinase inhibitor. </w:t>
      </w:r>
      <w:r w:rsidRPr="00A26951">
        <w:rPr>
          <w:rFonts w:ascii="Times New Roman" w:hAnsi="Times New Roman" w:cs="Times New Roman"/>
          <w:b/>
          <w:sz w:val="24"/>
          <w:szCs w:val="24"/>
        </w:rPr>
        <w:t>C.</w:t>
      </w:r>
      <w:r w:rsidRPr="00A26951">
        <w:rPr>
          <w:rFonts w:ascii="Times New Roman" w:hAnsi="Times New Roman" w:cs="Times New Roman"/>
          <w:sz w:val="24"/>
          <w:szCs w:val="24"/>
        </w:rPr>
        <w:t xml:space="preserve"> Medium collected following treatment with EGFR inhibitor. Data are expressed as the mean value of the 3 donors </w:t>
      </w:r>
      <w:r w:rsidR="00D43E7C">
        <w:rPr>
          <w:rFonts w:ascii="Times New Roman" w:hAnsi="Times New Roman" w:cs="Times New Roman"/>
          <w:sz w:val="24"/>
          <w:szCs w:val="24"/>
        </w:rPr>
        <w:t>±</w:t>
      </w:r>
      <w:r w:rsidR="00907B2F">
        <w:rPr>
          <w:rFonts w:ascii="Times New Roman" w:hAnsi="Times New Roman" w:cs="Times New Roman"/>
          <w:sz w:val="24"/>
          <w:szCs w:val="24"/>
        </w:rPr>
        <w:t xml:space="preserve"> SE</w:t>
      </w:r>
      <w:r w:rsidRPr="00A26951">
        <w:rPr>
          <w:rFonts w:ascii="Times New Roman" w:hAnsi="Times New Roman" w:cs="Times New Roman"/>
          <w:sz w:val="24"/>
          <w:szCs w:val="24"/>
        </w:rPr>
        <w:t>.</w:t>
      </w:r>
      <w:r w:rsidR="00A80569">
        <w:rPr>
          <w:rFonts w:ascii="Times New Roman" w:hAnsi="Times New Roman" w:cs="Times New Roman"/>
          <w:sz w:val="24"/>
          <w:szCs w:val="24"/>
        </w:rPr>
        <w:t xml:space="preserve"> </w:t>
      </w:r>
      <w:r w:rsidR="005F4608" w:rsidRPr="005F4608">
        <w:rPr>
          <w:rFonts w:ascii="Times New Roman" w:hAnsi="Times New Roman" w:cs="Times New Roman"/>
          <w:sz w:val="24"/>
          <w:szCs w:val="24"/>
        </w:rPr>
        <w:t>*p&lt;0.05, **p&lt;0.01, ***p&lt;0.001.</w:t>
      </w:r>
    </w:p>
    <w:p w14:paraId="5A315083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59C228" w14:textId="1F2BF399" w:rsidR="00A26951" w:rsidRPr="00A26951" w:rsidRDefault="003B1B47" w:rsidP="0061425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B4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1E39B09" wp14:editId="4314C2A2">
            <wp:simplePos x="0" y="0"/>
            <wp:positionH relativeFrom="column">
              <wp:posOffset>588645</wp:posOffset>
            </wp:positionH>
            <wp:positionV relativeFrom="paragraph">
              <wp:posOffset>0</wp:posOffset>
            </wp:positionV>
            <wp:extent cx="4723130" cy="6572250"/>
            <wp:effectExtent l="0" t="0" r="127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13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87A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="0066787A">
        <w:rPr>
          <w:rFonts w:ascii="Times New Roman" w:hAnsi="Times New Roman" w:cs="Times New Roman"/>
          <w:b/>
          <w:sz w:val="24"/>
          <w:szCs w:val="24"/>
        </w:rPr>
        <w:t xml:space="preserve"> Figure 6.</w:t>
      </w:r>
      <w:r w:rsidR="0066787A"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Evaluation of growth factor expression in basal cells in the context of the presence or absence of 1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/ml LPA and a range of CREB inhibitor (666-15) concentrations</w:t>
      </w:r>
      <w:r w:rsidR="00A26951" w:rsidRPr="0066787A">
        <w:rPr>
          <w:rFonts w:ascii="Times New Roman" w:hAnsi="Times New Roman" w:cs="Times New Roman"/>
          <w:sz w:val="24"/>
          <w:szCs w:val="24"/>
        </w:rPr>
        <w:t>.</w:t>
      </w:r>
      <w:r w:rsidR="00A26951" w:rsidRPr="00A26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6951" w:rsidRPr="00A26951">
        <w:rPr>
          <w:rFonts w:ascii="Times New Roman" w:hAnsi="Times New Roman" w:cs="Times New Roman"/>
          <w:sz w:val="24"/>
          <w:szCs w:val="24"/>
        </w:rPr>
        <w:t>Primary small airway basal cells (passage 3) were obtained from each of three healthy, non-smoking donors and plated in triplicate presence or absence of 1μg/ml LPA, and a combination of LPA and 200</w:t>
      </w:r>
      <w:r w:rsidR="00532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, 1</w:t>
      </w:r>
      <w:r w:rsidR="00532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 or 2</w:t>
      </w:r>
      <w:r w:rsidR="00532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 CREB inhibitor (666-15). Cells were evaluated for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CTGF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EDN1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TGFβ1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and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PDGFB</w:t>
      </w:r>
      <w:r w:rsidR="00A26951" w:rsidRPr="00A26951">
        <w:rPr>
          <w:rFonts w:ascii="Times New Roman" w:hAnsi="Times New Roman" w:cs="Times New Roman"/>
          <w:sz w:val="24"/>
          <w:szCs w:val="24"/>
        </w:rPr>
        <w:t>. After a 3 h</w:t>
      </w:r>
      <w:r w:rsidR="00907B2F">
        <w:rPr>
          <w:rFonts w:ascii="Times New Roman" w:hAnsi="Times New Roman" w:cs="Times New Roman"/>
          <w:sz w:val="24"/>
          <w:szCs w:val="24"/>
        </w:rPr>
        <w:t>r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 of LPA exposure, RNA was harvested and evaluated by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-PCR using 18S RNA to normalize the results. Data are expressed as the mean value of the 3 donors ± </w:t>
      </w:r>
      <w:r w:rsidR="00907B2F">
        <w:rPr>
          <w:rFonts w:ascii="Times New Roman" w:hAnsi="Times New Roman" w:cs="Times New Roman"/>
          <w:sz w:val="24"/>
          <w:szCs w:val="24"/>
        </w:rPr>
        <w:t>SE</w:t>
      </w:r>
      <w:r w:rsidR="00A26951" w:rsidRPr="00A26951">
        <w:rPr>
          <w:rFonts w:ascii="Times New Roman" w:hAnsi="Times New Roman" w:cs="Times New Roman"/>
          <w:sz w:val="24"/>
          <w:szCs w:val="24"/>
        </w:rPr>
        <w:t>.</w:t>
      </w:r>
      <w:r w:rsidR="00A80569">
        <w:rPr>
          <w:rFonts w:ascii="Times New Roman" w:hAnsi="Times New Roman" w:cs="Times New Roman"/>
          <w:sz w:val="24"/>
          <w:szCs w:val="24"/>
        </w:rPr>
        <w:t xml:space="preserve"> </w:t>
      </w:r>
      <w:r w:rsidR="005F4608" w:rsidRPr="005F4608">
        <w:rPr>
          <w:rFonts w:ascii="Times New Roman" w:hAnsi="Times New Roman" w:cs="Times New Roman"/>
          <w:sz w:val="24"/>
          <w:szCs w:val="24"/>
        </w:rPr>
        <w:t>*p&lt;0.05, **p&lt;0.01, ***p&lt;0.001.</w:t>
      </w:r>
    </w:p>
    <w:p w14:paraId="0E6C6600" w14:textId="77777777" w:rsidR="00614251" w:rsidRDefault="00614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D7A3261" w14:textId="4AD7D952" w:rsidR="00365ACF" w:rsidRPr="00365ACF" w:rsidRDefault="003B1B47" w:rsidP="0061425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1B47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D0CF25B" wp14:editId="0D1F10FF">
            <wp:simplePos x="0" y="0"/>
            <wp:positionH relativeFrom="column">
              <wp:posOffset>972185</wp:posOffset>
            </wp:positionH>
            <wp:positionV relativeFrom="paragraph">
              <wp:posOffset>0</wp:posOffset>
            </wp:positionV>
            <wp:extent cx="3690620" cy="6549390"/>
            <wp:effectExtent l="0" t="0" r="508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654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87A">
        <w:rPr>
          <w:rFonts w:ascii="Times New Roman" w:hAnsi="Times New Roman" w:cs="Times New Roman"/>
          <w:b/>
          <w:sz w:val="24"/>
          <w:szCs w:val="24"/>
        </w:rPr>
        <w:t>Supplementa</w:t>
      </w:r>
      <w:r w:rsidR="00532233">
        <w:rPr>
          <w:rFonts w:ascii="Times New Roman" w:hAnsi="Times New Roman" w:cs="Times New Roman"/>
          <w:b/>
          <w:sz w:val="24"/>
          <w:szCs w:val="24"/>
        </w:rPr>
        <w:t>l</w:t>
      </w:r>
      <w:r w:rsidR="0066787A">
        <w:rPr>
          <w:rFonts w:ascii="Times New Roman" w:hAnsi="Times New Roman" w:cs="Times New Roman"/>
          <w:b/>
          <w:sz w:val="24"/>
          <w:szCs w:val="24"/>
        </w:rPr>
        <w:t xml:space="preserve"> Figure 7.</w:t>
      </w:r>
      <w:r w:rsidR="0066787A"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Evaluation of growth factor expression in basal cells in the context of the presence or absence of 1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/ml LPA and a range of ERK inhibitor (LY32149966) concentrations.</w:t>
      </w:r>
      <w:r w:rsidR="00A26951" w:rsidRPr="0066787A">
        <w:rPr>
          <w:rFonts w:ascii="Times New Roman" w:hAnsi="Times New Roman" w:cs="Times New Roman"/>
          <w:sz w:val="24"/>
          <w:szCs w:val="24"/>
        </w:rPr>
        <w:t xml:space="preserve"> </w:t>
      </w:r>
      <w:r w:rsidR="00A26951" w:rsidRPr="00A26951">
        <w:rPr>
          <w:rFonts w:ascii="Times New Roman" w:hAnsi="Times New Roman" w:cs="Times New Roman"/>
          <w:sz w:val="24"/>
          <w:szCs w:val="24"/>
        </w:rPr>
        <w:t>Primary small airway basal cells (passage 3) were obtained from each of three healthy, non-smoking donors and plated in triplicate presence or absence of 1</w:t>
      </w:r>
      <w:r w:rsidR="00532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/ml LPA, and a combination of LPA and 5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, 50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, 500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, 1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>, 5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 or 10</w:t>
      </w:r>
      <w:r w:rsidR="00667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 ERK1/2 inhibitor (LY32149966). Cells were evaluated for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CTGF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EDN1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TGFβ1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, and </w:t>
      </w:r>
      <w:r w:rsidR="00A26951" w:rsidRPr="00D05BD2">
        <w:rPr>
          <w:rFonts w:ascii="Times New Roman" w:hAnsi="Times New Roman" w:cs="Times New Roman"/>
          <w:i/>
          <w:sz w:val="24"/>
          <w:szCs w:val="24"/>
        </w:rPr>
        <w:t>PDGFB</w:t>
      </w:r>
      <w:r w:rsidR="00A26951" w:rsidRPr="00A26951">
        <w:rPr>
          <w:rFonts w:ascii="Times New Roman" w:hAnsi="Times New Roman" w:cs="Times New Roman"/>
          <w:sz w:val="24"/>
          <w:szCs w:val="24"/>
        </w:rPr>
        <w:t>. After a 3 h</w:t>
      </w:r>
      <w:r w:rsidR="00D43E7C">
        <w:rPr>
          <w:rFonts w:ascii="Times New Roman" w:hAnsi="Times New Roman" w:cs="Times New Roman"/>
          <w:sz w:val="24"/>
          <w:szCs w:val="24"/>
        </w:rPr>
        <w:t>r</w:t>
      </w:r>
      <w:r w:rsidR="00A26951" w:rsidRPr="00A26951">
        <w:rPr>
          <w:rFonts w:ascii="Times New Roman" w:hAnsi="Times New Roman" w:cs="Times New Roman"/>
          <w:sz w:val="24"/>
          <w:szCs w:val="24"/>
        </w:rPr>
        <w:t xml:space="preserve"> of LPA exposure, RNA was harvested and evaluated by </w:t>
      </w:r>
      <w:proofErr w:type="spellStart"/>
      <w:r w:rsidR="00A26951" w:rsidRPr="00A26951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A26951" w:rsidRPr="00A26951">
        <w:rPr>
          <w:rFonts w:ascii="Times New Roman" w:hAnsi="Times New Roman" w:cs="Times New Roman"/>
          <w:sz w:val="24"/>
          <w:szCs w:val="24"/>
        </w:rPr>
        <w:t xml:space="preserve">-PCR using 18S RNA to normalize the results. Data are expressed as the mean value of the 3 donors ± </w:t>
      </w:r>
      <w:r w:rsidR="00907B2F">
        <w:rPr>
          <w:rFonts w:ascii="Times New Roman" w:hAnsi="Times New Roman" w:cs="Times New Roman"/>
          <w:sz w:val="24"/>
          <w:szCs w:val="24"/>
        </w:rPr>
        <w:t>SE</w:t>
      </w:r>
      <w:r w:rsidR="0066787A">
        <w:rPr>
          <w:rFonts w:ascii="Times New Roman" w:hAnsi="Times New Roman" w:cs="Times New Roman"/>
          <w:sz w:val="24"/>
          <w:szCs w:val="24"/>
        </w:rPr>
        <w:t>.</w:t>
      </w:r>
      <w:r w:rsidR="00A80569">
        <w:rPr>
          <w:rFonts w:ascii="Times New Roman" w:hAnsi="Times New Roman" w:cs="Times New Roman"/>
          <w:sz w:val="24"/>
          <w:szCs w:val="24"/>
        </w:rPr>
        <w:t xml:space="preserve"> </w:t>
      </w:r>
      <w:r w:rsidR="005F4608" w:rsidRPr="005F4608">
        <w:rPr>
          <w:rFonts w:ascii="Times New Roman" w:hAnsi="Times New Roman" w:cs="Times New Roman"/>
          <w:sz w:val="24"/>
          <w:szCs w:val="24"/>
        </w:rPr>
        <w:t>*p&lt;0.05, **p&lt;0.01, ***p&lt;0.001.</w:t>
      </w:r>
    </w:p>
    <w:sectPr w:rsidR="00365ACF" w:rsidRPr="00365ACF" w:rsidSect="00AD6B29">
      <w:headerReference w:type="defaul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861E9" w14:textId="77777777" w:rsidR="00837768" w:rsidRDefault="00837768" w:rsidP="00D43E7C">
      <w:pPr>
        <w:spacing w:after="0" w:line="240" w:lineRule="auto"/>
      </w:pPr>
      <w:r>
        <w:separator/>
      </w:r>
    </w:p>
  </w:endnote>
  <w:endnote w:type="continuationSeparator" w:id="0">
    <w:p w14:paraId="6B314A54" w14:textId="77777777" w:rsidR="00837768" w:rsidRDefault="00837768" w:rsidP="00D4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B6F68" w14:textId="77777777" w:rsidR="00837768" w:rsidRDefault="00837768" w:rsidP="00D43E7C">
      <w:pPr>
        <w:spacing w:after="0" w:line="240" w:lineRule="auto"/>
      </w:pPr>
      <w:r>
        <w:separator/>
      </w:r>
    </w:p>
  </w:footnote>
  <w:footnote w:type="continuationSeparator" w:id="0">
    <w:p w14:paraId="01EE48E1" w14:textId="77777777" w:rsidR="00837768" w:rsidRDefault="00837768" w:rsidP="00D4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C1464" w14:textId="77777777" w:rsidR="00D43E7C" w:rsidRPr="00D43E7C" w:rsidRDefault="00D43E7C" w:rsidP="00D43E7C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- </w:t>
    </w:r>
    <w:r w:rsidRPr="00D43E7C">
      <w:rPr>
        <w:rFonts w:ascii="Times New Roman" w:hAnsi="Times New Roman" w:cs="Times New Roman"/>
      </w:rPr>
      <w:fldChar w:fldCharType="begin"/>
    </w:r>
    <w:r w:rsidRPr="00D43E7C">
      <w:rPr>
        <w:rFonts w:ascii="Times New Roman" w:hAnsi="Times New Roman" w:cs="Times New Roman"/>
      </w:rPr>
      <w:instrText xml:space="preserve"> PAGE   \* MERGEFORMAT </w:instrText>
    </w:r>
    <w:r w:rsidRPr="00D43E7C">
      <w:rPr>
        <w:rFonts w:ascii="Times New Roman" w:hAnsi="Times New Roman" w:cs="Times New Roman"/>
      </w:rPr>
      <w:fldChar w:fldCharType="separate"/>
    </w:r>
    <w:r w:rsidR="00621156">
      <w:rPr>
        <w:rFonts w:ascii="Times New Roman" w:hAnsi="Times New Roman" w:cs="Times New Roman"/>
        <w:noProof/>
      </w:rPr>
      <w:t>2</w:t>
    </w:r>
    <w:r w:rsidRPr="00D43E7C">
      <w:rPr>
        <w:rFonts w:ascii="Times New Roman" w:hAnsi="Times New Roman" w:cs="Times New Roman"/>
        <w:noProof/>
      </w:rPr>
      <w:fldChar w:fldCharType="end"/>
    </w:r>
    <w:r>
      <w:rPr>
        <w:rFonts w:ascii="Times New Roman" w:hAnsi="Times New Roman" w:cs="Times New Roman"/>
        <w:noProof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51BC6" w14:textId="77777777" w:rsidR="000E2B30" w:rsidRPr="000E2B30" w:rsidRDefault="000E2B30" w:rsidP="000E2B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E7"/>
    <w:rsid w:val="000235F4"/>
    <w:rsid w:val="000E2B30"/>
    <w:rsid w:val="002754B4"/>
    <w:rsid w:val="00295105"/>
    <w:rsid w:val="002D03A2"/>
    <w:rsid w:val="00313DB3"/>
    <w:rsid w:val="00365ACF"/>
    <w:rsid w:val="003B1B47"/>
    <w:rsid w:val="00495248"/>
    <w:rsid w:val="004A632E"/>
    <w:rsid w:val="00532233"/>
    <w:rsid w:val="005F4608"/>
    <w:rsid w:val="00614251"/>
    <w:rsid w:val="00621156"/>
    <w:rsid w:val="00646D3F"/>
    <w:rsid w:val="0066787A"/>
    <w:rsid w:val="00837768"/>
    <w:rsid w:val="00900451"/>
    <w:rsid w:val="00907B2F"/>
    <w:rsid w:val="009C5854"/>
    <w:rsid w:val="009D146A"/>
    <w:rsid w:val="00A26951"/>
    <w:rsid w:val="00A80569"/>
    <w:rsid w:val="00AD6B29"/>
    <w:rsid w:val="00CF7263"/>
    <w:rsid w:val="00D05BD2"/>
    <w:rsid w:val="00D43E7C"/>
    <w:rsid w:val="00D64CC2"/>
    <w:rsid w:val="00E31BBE"/>
    <w:rsid w:val="00FA4CE7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841D4"/>
  <w15:chartTrackingRefBased/>
  <w15:docId w15:val="{1EA4D877-C26E-4A69-9BFB-45AC8D23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A4CE7"/>
    <w:pPr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3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E7C"/>
  </w:style>
  <w:style w:type="paragraph" w:styleId="Footer">
    <w:name w:val="footer"/>
    <w:basedOn w:val="Normal"/>
    <w:link w:val="FooterChar"/>
    <w:uiPriority w:val="99"/>
    <w:unhideWhenUsed/>
    <w:rsid w:val="00D43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E7C"/>
  </w:style>
  <w:style w:type="character" w:styleId="PlaceholderText">
    <w:name w:val="Placeholder Text"/>
    <w:basedOn w:val="DefaultParagraphFont"/>
    <w:uiPriority w:val="99"/>
    <w:semiHidden/>
    <w:rsid w:val="009C58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BFA91-8ACD-4C4F-83DA-43A848CDD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Weill Cornell Medicine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L. Leopold</dc:creator>
  <cp:keywords/>
  <dc:description/>
  <cp:lastModifiedBy>Philip L. Leopold</cp:lastModifiedBy>
  <cp:revision>2</cp:revision>
  <dcterms:created xsi:type="dcterms:W3CDTF">2021-02-23T03:56:00Z</dcterms:created>
  <dcterms:modified xsi:type="dcterms:W3CDTF">2021-02-23T03:56:00Z</dcterms:modified>
</cp:coreProperties>
</file>