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85397" w14:textId="52D1CC94" w:rsidR="00CF39A2" w:rsidRPr="00D72093" w:rsidRDefault="00CF39A2">
      <w:pPr>
        <w:rPr>
          <w:rFonts w:ascii="Calibri" w:hAnsi="Calibri" w:cs="Calibri"/>
          <w:b/>
          <w:bCs/>
        </w:rPr>
      </w:pPr>
      <w:r w:rsidRPr="00D72093">
        <w:rPr>
          <w:rFonts w:ascii="Calibri" w:hAnsi="Calibri" w:cs="Calibri"/>
          <w:b/>
          <w:bCs/>
        </w:rPr>
        <w:t>Supplementary Methods</w:t>
      </w:r>
    </w:p>
    <w:p w14:paraId="3A04C79B" w14:textId="54F1B598" w:rsidR="00CF39A2" w:rsidRDefault="00CF39A2">
      <w:pPr>
        <w:rPr>
          <w:rFonts w:ascii="Calibri" w:hAnsi="Calibri" w:cs="Calibri"/>
        </w:rPr>
      </w:pPr>
    </w:p>
    <w:p w14:paraId="70B62676" w14:textId="77777777" w:rsidR="004D6296" w:rsidRPr="00B104FA" w:rsidRDefault="004D6296" w:rsidP="004D6296">
      <w:pPr>
        <w:rPr>
          <w:rFonts w:ascii="Calibri" w:hAnsi="Calibri" w:cs="Calibri"/>
          <w:u w:val="single"/>
        </w:rPr>
      </w:pPr>
      <w:r w:rsidRPr="00B104FA">
        <w:rPr>
          <w:rFonts w:ascii="Calibri" w:hAnsi="Calibri" w:cs="Calibri"/>
          <w:u w:val="single"/>
        </w:rPr>
        <w:t xml:space="preserve">Quantification of Iron </w:t>
      </w:r>
    </w:p>
    <w:p w14:paraId="16EE81B8" w14:textId="77777777" w:rsidR="004D6296" w:rsidRPr="00B104FA" w:rsidRDefault="004D6296" w:rsidP="004D6296">
      <w:pPr>
        <w:rPr>
          <w:rFonts w:ascii="Calibri" w:hAnsi="Calibri" w:cs="Calibri"/>
        </w:rPr>
      </w:pPr>
      <w:r w:rsidRPr="00B104FA">
        <w:rPr>
          <w:rFonts w:ascii="Calibri" w:hAnsi="Calibri" w:cs="Calibri"/>
        </w:rPr>
        <w:t>Iron concentrations were analyzed on an Agilent 8800 triple quadrupole inductively-coupled mass spectrometer (ICP-MS)</w:t>
      </w:r>
      <w:r w:rsidRPr="00B104FA">
        <w:rPr>
          <w:rFonts w:ascii="Calibri" w:hAnsi="Calibri" w:cs="Calibri"/>
        </w:rPr>
        <w:sym w:font="Symbol" w:char="F0E4"/>
      </w:r>
      <w:r w:rsidRPr="00B104FA">
        <w:rPr>
          <w:rFonts w:ascii="Calibri" w:hAnsi="Calibri" w:cs="Calibri"/>
        </w:rPr>
        <w:t xml:space="preserve"> (Santa Clara, CA) connected to an autosampler with subsequent data analysis in </w:t>
      </w:r>
      <w:proofErr w:type="spellStart"/>
      <w:r w:rsidRPr="00B104FA">
        <w:rPr>
          <w:rFonts w:ascii="Calibri" w:hAnsi="Calibri" w:cs="Calibri"/>
        </w:rPr>
        <w:t>Masshunter</w:t>
      </w:r>
      <w:proofErr w:type="spellEnd"/>
      <w:r w:rsidRPr="00B104FA">
        <w:rPr>
          <w:rFonts w:ascii="Calibri" w:hAnsi="Calibri" w:cs="Calibri"/>
        </w:rPr>
        <w:t xml:space="preserve"> software. Optimization of the ICP-MS was performed using an Agilent supplied autotuning solution which contained: Li, Y, Ce, TI, and Co at 10 PPM in a matrix of 2% HNO</w:t>
      </w:r>
      <w:r w:rsidRPr="00B104FA">
        <w:rPr>
          <w:rFonts w:ascii="Calibri" w:hAnsi="Calibri" w:cs="Calibri"/>
          <w:vertAlign w:val="subscript"/>
        </w:rPr>
        <w:t>3</w:t>
      </w:r>
      <w:r w:rsidRPr="00B104FA">
        <w:rPr>
          <w:rFonts w:ascii="Calibri" w:hAnsi="Calibri" w:cs="Calibri"/>
        </w:rPr>
        <w:t>. Concentrations were determined against a 13-point standard curve ranging from 0.002 µM to 4 µM.  Germanium and indium were both used as internal standards and acceptable recovery rates were set at 80-120%. Iron was analyzed using kinetic energy discrimination using high purity helium as the discriminatory gas with corresponding iron measurements at m/z 56 </w:t>
      </w:r>
      <w:r w:rsidRPr="00B104FA">
        <w:rPr>
          <w:rFonts w:ascii="Calibri" w:hAnsi="Calibri" w:cs="Calibri"/>
        </w:rPr>
        <w:sym w:font="Wingdings" w:char="F0E0"/>
      </w:r>
      <w:r w:rsidRPr="00B104FA">
        <w:rPr>
          <w:rFonts w:ascii="Calibri" w:hAnsi="Calibri" w:cs="Calibri"/>
        </w:rPr>
        <w:t xml:space="preserve"> 56 at both Q 1 and 3, respectively. The dwell time was set at 0.1 seconds with 25 sweeps/replicates for 3 replicates. All samples were diluted 25 or 50-fold prior to analysis into 0.1% ICP-MS grade nitric acid, 0.05 % triton X-100, 0.1% EDTA and 1% isopropanol prior to measurement. The diluent also contained the internal standards at a concentration of 10 ug/L.</w:t>
      </w:r>
    </w:p>
    <w:p w14:paraId="56F32544" w14:textId="77777777" w:rsidR="004D6296" w:rsidRPr="00B104FA" w:rsidRDefault="004D6296" w:rsidP="004D6296">
      <w:pPr>
        <w:ind w:firstLine="720"/>
        <w:rPr>
          <w:rFonts w:ascii="Calibri" w:hAnsi="Calibri" w:cs="Calibri"/>
        </w:rPr>
      </w:pPr>
      <w:r w:rsidRPr="00B104FA">
        <w:rPr>
          <w:rFonts w:ascii="Calibri" w:hAnsi="Calibri" w:cs="Calibri"/>
        </w:rPr>
        <w:t xml:space="preserve">Protein estimation (Protein Assay Kit II, </w:t>
      </w:r>
      <w:proofErr w:type="spellStart"/>
      <w:r w:rsidRPr="00B104FA">
        <w:rPr>
          <w:rFonts w:ascii="Calibri" w:hAnsi="Calibri" w:cs="Calibri"/>
        </w:rPr>
        <w:t>Bio-rad</w:t>
      </w:r>
      <w:proofErr w:type="spellEnd"/>
      <w:r w:rsidRPr="00B104FA">
        <w:rPr>
          <w:rFonts w:ascii="Calibri" w:hAnsi="Calibri" w:cs="Calibri"/>
        </w:rPr>
        <w:sym w:font="Symbol" w:char="F0E4"/>
      </w:r>
      <w:r w:rsidRPr="00B104FA">
        <w:rPr>
          <w:rFonts w:ascii="Calibri" w:hAnsi="Calibri" w:cs="Calibri"/>
        </w:rPr>
        <w:t>, Hercules, CA) was used to standardize the ICP-MS protocol for cell pellets after lysis with RIPA buffer (Sigma-Aldrich</w:t>
      </w:r>
      <w:r w:rsidRPr="00B104FA">
        <w:rPr>
          <w:rFonts w:ascii="Calibri" w:hAnsi="Calibri" w:cs="Calibri"/>
        </w:rPr>
        <w:sym w:font="Symbol" w:char="F0E4"/>
      </w:r>
      <w:r w:rsidRPr="00B104FA">
        <w:rPr>
          <w:rFonts w:ascii="Calibri" w:hAnsi="Calibri" w:cs="Calibri"/>
        </w:rPr>
        <w:t xml:space="preserve">, St. Louis, MO). Iron content was also measured semi-quantitatively with the macrophage hemosiderin index. It is determined by calculating the proportion of positively-staining macrophages with Perl’s Prussian Blue stain from a representative sampling of 100 macrophages under light microscopy as previously described </w:t>
      </w:r>
      <w:r w:rsidRPr="00B104FA">
        <w:rPr>
          <w:rFonts w:ascii="Calibri" w:hAnsi="Calibri" w:cs="Calibri"/>
          <w:lang w:val="en-US"/>
        </w:rPr>
        <w:fldChar w:fldCharType="begin"/>
      </w:r>
      <w:r>
        <w:rPr>
          <w:rFonts w:ascii="Calibri" w:hAnsi="Calibri" w:cs="Calibri"/>
          <w:lang w:val="en-US"/>
        </w:rPr>
        <w:instrText xml:space="preserve"> ADDIN PAPERS2_CITATIONS &lt;citation&gt;&lt;priority&gt;17&lt;/priority&gt;&lt;uuid&gt;61EAA13E-2F4C-48DC-94B6-90E00CD5FF2B&lt;/uuid&gt;&lt;publications&gt;&lt;publication&gt;&lt;subtype&gt;400&lt;/subtype&gt;&lt;title&gt;Diagnosis of left-ventricular dysfunction from induced sputum examination&lt;/title&gt;&lt;url&gt;http://linkinghub.elsevier.com/retrieve/pii/S014067369980018X&lt;/url&gt;&lt;volume&gt;354&lt;/volume&gt;&lt;publication_date&gt;99199909001200000000220000&lt;/publication_date&gt;&lt;uuid&gt;9410E119-264F-4F5D-848E-C38C309C708C&lt;/uuid&gt;&lt;type&gt;400&lt;/type&gt;&lt;number&gt;9181&lt;/number&gt;&lt;citekey&gt;Leigh:1999fy&lt;/citekey&gt;&lt;doi&gt;10.1016/S0140-6736(99)80018-X&lt;/doi&gt;&lt;startpage&gt;833&lt;/startpage&gt;&lt;endpage&gt;834&lt;/endpage&gt;&lt;bundle&gt;&lt;publication&gt;&lt;title&gt;The Lancet&lt;/title&gt;&lt;uuid&gt;67467318-6568-46D6-B22F-8499B2AEBDBE&lt;/uuid&gt;&lt;subtype&gt;-100&lt;/subtype&gt;&lt;publisher&gt;Elsevier Ltd&lt;/publisher&gt;&lt;type&gt;-100&lt;/type&gt;&lt;/publication&gt;&lt;/bundle&gt;&lt;authors&gt;&lt;author&gt;&lt;lastName&gt;Leigh&lt;/lastName&gt;&lt;firstName&gt;Richard&lt;/firstName&gt;&lt;/author&gt;&lt;author&gt;&lt;lastName&gt;Sharon&lt;/lastName&gt;&lt;firstName&gt;Rafael&lt;/firstName&gt;&lt;middleNames&gt;F&lt;/middleNames&gt;&lt;/author&gt;&lt;author&gt;&lt;lastName&gt;Efthimiadis&lt;/lastName&gt;&lt;firstName&gt;Ann&lt;/firstName&gt;&lt;middleNames&gt;E&lt;/middleNames&gt;&lt;/author&gt;&lt;author&gt;&lt;lastName&gt;Hargreave&lt;/lastName&gt;&lt;firstName&gt;Frederick&lt;/firstName&gt;&lt;middleNames&gt;E&lt;/middleNames&gt;&lt;/author&gt;&lt;author&gt;&lt;lastName&gt;Kitching&lt;/lastName&gt;&lt;firstName&gt;Allan&lt;/firstName&gt;&lt;middleNames&gt;D&lt;/middleNames&gt;&lt;/author&gt;&lt;/authors&gt;&lt;/publication&gt;&lt;/publications&gt;&lt;cites&gt;&lt;/cites&gt;&lt;/citation&gt;</w:instrText>
      </w:r>
      <w:r w:rsidRPr="00B104FA">
        <w:rPr>
          <w:rFonts w:ascii="Calibri" w:hAnsi="Calibri" w:cs="Calibri"/>
          <w:lang w:val="en-US"/>
        </w:rPr>
        <w:fldChar w:fldCharType="separate"/>
      </w:r>
      <w:r>
        <w:rPr>
          <w:rFonts w:ascii="Helvetica" w:hAnsi="Helvetica" w:cs="Helvetica"/>
          <w:lang w:val="en-US"/>
        </w:rPr>
        <w:t>{Leigh:1999fy}</w:t>
      </w:r>
      <w:r w:rsidRPr="00B104FA">
        <w:rPr>
          <w:rFonts w:ascii="Calibri" w:hAnsi="Calibri" w:cs="Calibri"/>
          <w:lang w:val="en-US"/>
        </w:rPr>
        <w:fldChar w:fldCharType="end"/>
      </w:r>
      <w:r w:rsidRPr="00B104FA">
        <w:rPr>
          <w:rFonts w:ascii="Calibri" w:hAnsi="Calibri" w:cs="Calibri"/>
        </w:rPr>
        <w:t>.</w:t>
      </w:r>
    </w:p>
    <w:p w14:paraId="57D064C1" w14:textId="77777777" w:rsidR="004D6296" w:rsidRPr="008E66AD" w:rsidRDefault="004D6296">
      <w:pPr>
        <w:rPr>
          <w:rFonts w:ascii="Calibri" w:hAnsi="Calibri" w:cs="Calibri"/>
        </w:rPr>
      </w:pPr>
    </w:p>
    <w:p w14:paraId="7447BFE2" w14:textId="6DF92965" w:rsidR="008E66AD" w:rsidRPr="008E66AD" w:rsidRDefault="008E66AD">
      <w:pPr>
        <w:rPr>
          <w:rFonts w:ascii="Calibri" w:hAnsi="Calibri" w:cs="Calibri"/>
          <w:u w:val="single"/>
        </w:rPr>
      </w:pPr>
      <w:r w:rsidRPr="008E66AD">
        <w:rPr>
          <w:rFonts w:ascii="Calibri" w:hAnsi="Calibri" w:cs="Calibri"/>
          <w:u w:val="single"/>
        </w:rPr>
        <w:t>RNA Extraction and RT-qPCR</w:t>
      </w:r>
    </w:p>
    <w:p w14:paraId="635ED65A" w14:textId="4852355A" w:rsidR="00CF39A2" w:rsidRDefault="00CF39A2">
      <w:pPr>
        <w:rPr>
          <w:rFonts w:ascii="Calibri" w:hAnsi="Calibri" w:cs="Calibri"/>
        </w:rPr>
      </w:pPr>
      <w:r w:rsidRPr="00CF39A2">
        <w:rPr>
          <w:rFonts w:ascii="Calibri" w:hAnsi="Calibri" w:cs="Calibri"/>
        </w:rPr>
        <w:t xml:space="preserve">The primer sequences were as follows: human hepcidin: CTGCTGCGGCTGCTGTCATCGATCAAAGTGTGGGATGTGCTGCAAGACGTAGAACCTACCTGCCCTGCCCCCGTCCCCTCCCTTCCTTATTTATTCCTGCTGCCCCAGAACATAGGTCT; human </w:t>
      </w:r>
      <w:proofErr w:type="spellStart"/>
      <w:r w:rsidRPr="00CF39A2">
        <w:rPr>
          <w:rFonts w:ascii="Calibri" w:hAnsi="Calibri" w:cs="Calibri"/>
        </w:rPr>
        <w:t>ferroportin</w:t>
      </w:r>
      <w:proofErr w:type="spellEnd"/>
      <w:r w:rsidRPr="00CF39A2">
        <w:rPr>
          <w:rFonts w:ascii="Calibri" w:hAnsi="Calibri" w:cs="Calibri"/>
        </w:rPr>
        <w:t xml:space="preserve">: GTAGGAGACCCATCCATCTCGGAAGGTACGGAAGGGCTCAGC CATCTGGGAGGCACAAGTAGGCTCTTGCTCATGTTCAAGCTCATGGATGTTAGAGTCTTTCACACCCATTAG; human TMPRSS6: CCAAAGGAATAGACGGAGCTGGAGTTGTA GTAAGTTCCCAGGCGGGTGCTGGTGATGAGCTCCTTGAGCATCTTCTGGGCTTTGGCGGTTTCACTGCGGAAGGCACTAGATTCCCGGCGGGTAAGATCCTGGGAGAAGTGGCGATTGAGTACACGCAGACTGCCTGAGTACACCTGG; and human GAPDH: GTATGACAA CGAATTTGGCTACAGCAACAGGGTGGTGGACCTCATGGCCCACATGGCCTCCAAGGAGTAAGACCCCTGGACCACCAGCCCCAGCAAGAGCACAAGAGGAAGAGAGAGACCCTCACTGCTGGGGAGTCCCTGCCACAC. Synthetic templates for the genes of interest were used as positive controls. All primers and synthetic templates were purchased from </w:t>
      </w:r>
      <w:proofErr w:type="spellStart"/>
      <w:r w:rsidRPr="00CF39A2">
        <w:rPr>
          <w:rFonts w:ascii="Calibri" w:hAnsi="Calibri" w:cs="Calibri"/>
        </w:rPr>
        <w:t>Bio-rad</w:t>
      </w:r>
      <w:proofErr w:type="spellEnd"/>
      <w:r w:rsidRPr="00CF39A2">
        <w:rPr>
          <w:rFonts w:ascii="Calibri" w:hAnsi="Calibri" w:cs="Calibri"/>
        </w:rPr>
        <w:t>™ (Hercules, CA).</w:t>
      </w:r>
    </w:p>
    <w:p w14:paraId="5FEDC52F" w14:textId="71B2F689" w:rsidR="00CF39A2" w:rsidRDefault="00CF39A2">
      <w:pPr>
        <w:rPr>
          <w:rFonts w:ascii="Calibri" w:hAnsi="Calibri" w:cs="Calibri"/>
        </w:rPr>
      </w:pPr>
    </w:p>
    <w:p w14:paraId="4C2527EC" w14:textId="040E5DF3" w:rsidR="00C13ABE" w:rsidRDefault="00C13ABE">
      <w:pPr>
        <w:rPr>
          <w:rFonts w:ascii="Calibri" w:hAnsi="Calibri" w:cs="Calibri"/>
        </w:rPr>
      </w:pPr>
      <w:r w:rsidRPr="00C13ABE">
        <w:rPr>
          <w:rFonts w:ascii="Calibri" w:hAnsi="Calibri" w:cs="Calibri"/>
        </w:rPr>
        <w:t>A QuantStudio3™ (</w:t>
      </w:r>
      <w:proofErr w:type="spellStart"/>
      <w:r w:rsidRPr="00C13ABE">
        <w:rPr>
          <w:rFonts w:ascii="Calibri" w:hAnsi="Calibri" w:cs="Calibri"/>
        </w:rPr>
        <w:t>ThermoFisher</w:t>
      </w:r>
      <w:proofErr w:type="spellEnd"/>
      <w:r w:rsidRPr="00C13ABE">
        <w:rPr>
          <w:rFonts w:ascii="Calibri" w:hAnsi="Calibri" w:cs="Calibri"/>
        </w:rPr>
        <w:t xml:space="preserve"> Scientific™, Waltham, MA) machine and its corresponding software were used to complete the reactions as per the suggested protocol (as per kit instructions) and analyse the results. Each sample was plated in triplicate. Briefly, in each well (of a 96-well plate), 3</w:t>
      </w:r>
      <w:r w:rsidRPr="00C13ABE">
        <w:rPr>
          <w:rFonts w:ascii="Calibri" w:hAnsi="Calibri" w:cs="Calibri"/>
        </w:rPr>
        <w:sym w:font="Symbol" w:char="F06D"/>
      </w:r>
      <w:r w:rsidRPr="00C13ABE">
        <w:rPr>
          <w:rFonts w:ascii="Calibri" w:hAnsi="Calibri" w:cs="Calibri"/>
        </w:rPr>
        <w:t>L of sample cDNA was added to 1</w:t>
      </w:r>
      <w:r w:rsidRPr="00C13ABE">
        <w:rPr>
          <w:rFonts w:ascii="Calibri" w:hAnsi="Calibri" w:cs="Calibri"/>
        </w:rPr>
        <w:sym w:font="Symbol" w:char="F06D"/>
      </w:r>
      <w:r w:rsidRPr="00C13ABE">
        <w:rPr>
          <w:rFonts w:ascii="Calibri" w:hAnsi="Calibri" w:cs="Calibri"/>
        </w:rPr>
        <w:t>L of primer, 10</w:t>
      </w:r>
      <w:r w:rsidRPr="00C13ABE">
        <w:rPr>
          <w:rFonts w:ascii="Calibri" w:hAnsi="Calibri" w:cs="Calibri"/>
        </w:rPr>
        <w:sym w:font="Symbol" w:char="F06D"/>
      </w:r>
      <w:r w:rsidRPr="00C13ABE">
        <w:rPr>
          <w:rFonts w:ascii="Calibri" w:hAnsi="Calibri" w:cs="Calibri"/>
        </w:rPr>
        <w:t xml:space="preserve">L of SYBR green </w:t>
      </w:r>
      <w:proofErr w:type="spellStart"/>
      <w:r w:rsidRPr="00C13ABE">
        <w:rPr>
          <w:rFonts w:ascii="Calibri" w:hAnsi="Calibri" w:cs="Calibri"/>
        </w:rPr>
        <w:t>supermix</w:t>
      </w:r>
      <w:proofErr w:type="spellEnd"/>
      <w:r w:rsidRPr="00C13ABE">
        <w:rPr>
          <w:rFonts w:ascii="Calibri" w:hAnsi="Calibri" w:cs="Calibri"/>
        </w:rPr>
        <w:t xml:space="preserve"> (</w:t>
      </w:r>
      <w:proofErr w:type="spellStart"/>
      <w:r w:rsidRPr="00C13ABE">
        <w:rPr>
          <w:rFonts w:ascii="Calibri" w:hAnsi="Calibri" w:cs="Calibri"/>
        </w:rPr>
        <w:t>Bio-rad</w:t>
      </w:r>
      <w:proofErr w:type="spellEnd"/>
      <w:r w:rsidRPr="00C13ABE">
        <w:rPr>
          <w:rFonts w:ascii="Calibri" w:hAnsi="Calibri" w:cs="Calibri"/>
        </w:rPr>
        <w:t>™, Hercules, CA), and 6</w:t>
      </w:r>
      <w:r w:rsidRPr="00C13ABE">
        <w:rPr>
          <w:rFonts w:ascii="Calibri" w:hAnsi="Calibri" w:cs="Calibri"/>
        </w:rPr>
        <w:sym w:font="Symbol" w:char="F06D"/>
      </w:r>
      <w:r w:rsidRPr="00C13ABE">
        <w:rPr>
          <w:rFonts w:ascii="Calibri" w:hAnsi="Calibri" w:cs="Calibri"/>
        </w:rPr>
        <w:t>L of nuclease-free water. The cycling protocol involved an activation step (95ºC for 2 minutes) and then forty cycles of denaturation</w:t>
      </w:r>
    </w:p>
    <w:p w14:paraId="50B50368" w14:textId="4B509F6C" w:rsidR="00065D4A" w:rsidRDefault="00065D4A">
      <w:pPr>
        <w:rPr>
          <w:rFonts w:ascii="Calibri" w:hAnsi="Calibri" w:cs="Calibri"/>
        </w:rPr>
      </w:pPr>
    </w:p>
    <w:p w14:paraId="67F1E696" w14:textId="77777777" w:rsidR="008E66AD" w:rsidRPr="00B104FA" w:rsidRDefault="008E66AD" w:rsidP="008E66AD">
      <w:pPr>
        <w:rPr>
          <w:rFonts w:ascii="Calibri" w:hAnsi="Calibri" w:cs="Calibri"/>
          <w:u w:val="single"/>
        </w:rPr>
      </w:pPr>
      <w:r w:rsidRPr="00B104FA">
        <w:rPr>
          <w:rFonts w:ascii="Calibri" w:hAnsi="Calibri" w:cs="Calibri"/>
          <w:u w:val="single"/>
        </w:rPr>
        <w:t>Cell Culture</w:t>
      </w:r>
    </w:p>
    <w:p w14:paraId="4627E87A" w14:textId="77777777" w:rsidR="008E66AD" w:rsidRPr="00B104FA" w:rsidRDefault="008E66AD" w:rsidP="008E66AD">
      <w:pPr>
        <w:rPr>
          <w:rFonts w:ascii="Calibri" w:hAnsi="Calibri" w:cs="Calibri"/>
        </w:rPr>
      </w:pPr>
      <w:r w:rsidRPr="00B104FA">
        <w:rPr>
          <w:rFonts w:ascii="Calibri" w:hAnsi="Calibri" w:cs="Calibri"/>
        </w:rPr>
        <w:t>THP-1 cells were maintained in RPMI 1640 (Gibco</w:t>
      </w:r>
      <w:r w:rsidRPr="00B104FA">
        <w:rPr>
          <w:rFonts w:ascii="Calibri" w:hAnsi="Calibri" w:cs="Calibri"/>
        </w:rPr>
        <w:sym w:font="Symbol" w:char="F0E4"/>
      </w:r>
      <w:r w:rsidRPr="00B104FA">
        <w:rPr>
          <w:rFonts w:ascii="Calibri" w:hAnsi="Calibri" w:cs="Calibri"/>
        </w:rPr>
        <w:t>, Gaithersburg, MD) supplemented with L-glutamine (2mM) with 10% fetal calf serum and incubated at 37°C with 5% CO</w:t>
      </w:r>
      <w:r w:rsidRPr="00B104FA">
        <w:rPr>
          <w:rFonts w:ascii="Calibri" w:hAnsi="Calibri" w:cs="Calibri"/>
          <w:vertAlign w:val="subscript"/>
        </w:rPr>
        <w:t>2</w:t>
      </w:r>
      <w:r w:rsidRPr="00B104FA">
        <w:rPr>
          <w:rFonts w:ascii="Calibri" w:hAnsi="Calibri" w:cs="Calibri"/>
        </w:rPr>
        <w:t>. They were passaged weekly to keep the cellular concentration &lt;1x10</w:t>
      </w:r>
      <w:r w:rsidRPr="00B104FA">
        <w:rPr>
          <w:rFonts w:ascii="Calibri" w:hAnsi="Calibri" w:cs="Calibri"/>
          <w:vertAlign w:val="superscript"/>
        </w:rPr>
        <w:t>6</w:t>
      </w:r>
      <w:r w:rsidRPr="00B104FA">
        <w:rPr>
          <w:rFonts w:ascii="Calibri" w:hAnsi="Calibri" w:cs="Calibri"/>
        </w:rPr>
        <w:t xml:space="preserve"> cells/</w:t>
      </w:r>
      <w:proofErr w:type="spellStart"/>
      <w:r w:rsidRPr="00B104FA">
        <w:rPr>
          <w:rFonts w:ascii="Calibri" w:hAnsi="Calibri" w:cs="Calibri"/>
        </w:rPr>
        <w:t>mL.</w:t>
      </w:r>
      <w:proofErr w:type="spellEnd"/>
      <w:r w:rsidRPr="00B104FA">
        <w:rPr>
          <w:rFonts w:ascii="Calibri" w:hAnsi="Calibri" w:cs="Calibri"/>
        </w:rPr>
        <w:t xml:space="preserve"> Cells were differentiated into THP-1-derived macrophages (TDM) at a concentration of 2x10</w:t>
      </w:r>
      <w:r w:rsidRPr="00B104FA">
        <w:rPr>
          <w:rFonts w:ascii="Calibri" w:hAnsi="Calibri" w:cs="Calibri"/>
          <w:vertAlign w:val="superscript"/>
        </w:rPr>
        <w:t>5</w:t>
      </w:r>
      <w:r w:rsidRPr="00B104FA">
        <w:rPr>
          <w:rFonts w:ascii="Calibri" w:hAnsi="Calibri" w:cs="Calibri"/>
        </w:rPr>
        <w:t xml:space="preserve"> cells/mL by culturing with the above media with 100nM Phorbol 12-myristate-13-acetate for 48 hours.</w:t>
      </w:r>
    </w:p>
    <w:p w14:paraId="4CBA112B" w14:textId="1931758A" w:rsidR="00065D4A" w:rsidRDefault="00065D4A">
      <w:pPr>
        <w:rPr>
          <w:rFonts w:ascii="Calibri" w:hAnsi="Calibri" w:cs="Calibri"/>
        </w:rPr>
      </w:pPr>
    </w:p>
    <w:p w14:paraId="029B6EAF" w14:textId="77777777" w:rsidR="000A51C3" w:rsidRPr="00B63D2D" w:rsidRDefault="000A51C3" w:rsidP="000A51C3">
      <w:pPr>
        <w:rPr>
          <w:rFonts w:ascii="Calibri" w:hAnsi="Calibri" w:cs="Calibri"/>
          <w:u w:val="single"/>
        </w:rPr>
      </w:pPr>
      <w:r w:rsidRPr="00B63D2D">
        <w:rPr>
          <w:rFonts w:ascii="Calibri" w:hAnsi="Calibri" w:cs="Calibri"/>
          <w:u w:val="single"/>
        </w:rPr>
        <w:t>Validation of Iron Sequestration by Iron-Enriched Media</w:t>
      </w:r>
    </w:p>
    <w:p w14:paraId="1FF1DA10" w14:textId="77777777" w:rsidR="000A51C3" w:rsidRDefault="000A51C3" w:rsidP="000A51C3">
      <w:pPr>
        <w:rPr>
          <w:rFonts w:ascii="Calibri" w:hAnsi="Calibri" w:cs="Calibri"/>
        </w:rPr>
      </w:pPr>
      <w:r w:rsidRPr="000E1596">
        <w:rPr>
          <w:rFonts w:ascii="Calibri" w:hAnsi="Calibri" w:cs="Calibri"/>
        </w:rPr>
        <w:t>Loading of macrophages was accomplished by subculturing with media containing FeSO</w:t>
      </w:r>
      <w:r>
        <w:rPr>
          <w:rFonts w:ascii="Calibri" w:hAnsi="Calibri" w:cs="Calibri"/>
          <w:vertAlign w:val="subscript"/>
        </w:rPr>
        <w:t xml:space="preserve">4 </w:t>
      </w:r>
      <w:r>
        <w:rPr>
          <w:rFonts w:ascii="Calibri" w:hAnsi="Calibri" w:cs="Calibri"/>
        </w:rPr>
        <w:t>(</w:t>
      </w:r>
      <w:proofErr w:type="spellStart"/>
      <w:r w:rsidRPr="000E1596">
        <w:rPr>
          <w:rFonts w:ascii="Calibri" w:hAnsi="Calibri" w:cs="Calibri"/>
        </w:rPr>
        <w:t>ThermoFisher</w:t>
      </w:r>
      <w:proofErr w:type="spellEnd"/>
      <w:r w:rsidRPr="000E1596">
        <w:rPr>
          <w:rFonts w:ascii="Calibri" w:hAnsi="Calibri" w:cs="Calibri"/>
        </w:rPr>
        <w:t xml:space="preserve"> Scientific™, Waltham, MA) for 24-hours at concentrations of </w:t>
      </w:r>
      <w:r>
        <w:rPr>
          <w:rFonts w:ascii="Calibri" w:hAnsi="Calibri" w:cs="Calibri"/>
        </w:rPr>
        <w:t xml:space="preserve">0, </w:t>
      </w:r>
      <w:r w:rsidRPr="000E1596">
        <w:rPr>
          <w:rFonts w:ascii="Calibri" w:hAnsi="Calibri" w:cs="Calibri"/>
        </w:rPr>
        <w:t>100, 250 or 500µM. The iron-loading protocol was validated in TDM with both inductively-coupled plasma mass spectrometry of the cell pellet</w:t>
      </w:r>
      <w:r>
        <w:rPr>
          <w:rFonts w:ascii="Calibri" w:hAnsi="Calibri" w:cs="Calibri"/>
        </w:rPr>
        <w:t xml:space="preserve"> (Figure A) and t</w:t>
      </w:r>
      <w:r w:rsidRPr="000E1596">
        <w:rPr>
          <w:rFonts w:ascii="Calibri" w:hAnsi="Calibri" w:cs="Calibri"/>
        </w:rPr>
        <w:t>he hemosiderin index</w:t>
      </w:r>
      <w:r>
        <w:rPr>
          <w:rFonts w:ascii="Calibri" w:hAnsi="Calibri" w:cs="Calibri"/>
        </w:rPr>
        <w:t xml:space="preserve"> (Figure B).</w:t>
      </w:r>
    </w:p>
    <w:p w14:paraId="1C474AEB" w14:textId="77777777" w:rsidR="000A51C3" w:rsidRDefault="000A51C3" w:rsidP="000A51C3">
      <w:pPr>
        <w:rPr>
          <w:rFonts w:ascii="Calibri" w:hAnsi="Calibri" w:cs="Calibri"/>
        </w:rPr>
      </w:pPr>
    </w:p>
    <w:p w14:paraId="7611DF34" w14:textId="6963B32B" w:rsidR="000A51C3" w:rsidRPr="00437314" w:rsidRDefault="007C461C" w:rsidP="000A51C3">
      <w:pPr>
        <w:keepNext/>
        <w:jc w:val="center"/>
        <w:rPr>
          <w:rFonts w:ascii="Corbel" w:hAnsi="Corbel"/>
        </w:rPr>
      </w:pPr>
      <w:r w:rsidRPr="007C461C">
        <w:rPr>
          <w:rFonts w:ascii="Corbel" w:hAnsi="Corbel" w:cs="Times New Roman"/>
          <w:noProof/>
        </w:rPr>
        <w:drawing>
          <wp:inline distT="0" distB="0" distL="0" distR="0" wp14:anchorId="1E392B8C" wp14:editId="124850C9">
            <wp:extent cx="5232400" cy="2667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32400" cy="2667000"/>
                    </a:xfrm>
                    <a:prstGeom prst="rect">
                      <a:avLst/>
                    </a:prstGeom>
                  </pic:spPr>
                </pic:pic>
              </a:graphicData>
            </a:graphic>
          </wp:inline>
        </w:drawing>
      </w:r>
    </w:p>
    <w:p w14:paraId="26ACB2D2" w14:textId="77777777" w:rsidR="000A51C3" w:rsidRPr="009A423D" w:rsidRDefault="000A51C3" w:rsidP="000A51C3">
      <w:pPr>
        <w:pStyle w:val="Caption"/>
        <w:rPr>
          <w:rFonts w:ascii="Corbel" w:hAnsi="Corbel" w:cs="Times New Roman"/>
          <w:sz w:val="24"/>
          <w:szCs w:val="24"/>
          <w:lang w:val="en-CA"/>
        </w:rPr>
      </w:pPr>
      <w:r w:rsidRPr="009A423D">
        <w:rPr>
          <w:rFonts w:ascii="Corbel" w:hAnsi="Corbel"/>
          <w:sz w:val="24"/>
          <w:szCs w:val="24"/>
        </w:rPr>
        <w:t xml:space="preserve">Figure </w:t>
      </w:r>
      <w:r>
        <w:rPr>
          <w:rFonts w:ascii="Corbel" w:hAnsi="Corbel"/>
          <w:sz w:val="24"/>
          <w:szCs w:val="24"/>
        </w:rPr>
        <w:t>A</w:t>
      </w:r>
      <w:r w:rsidRPr="009A423D">
        <w:rPr>
          <w:rFonts w:ascii="Corbel" w:hAnsi="Corbel"/>
          <w:noProof/>
          <w:sz w:val="24"/>
          <w:szCs w:val="24"/>
        </w:rPr>
        <w:t>: Cell-line-derived macrophage hemosiderin index after incubation with iron-supplemented cell-culture media. Experiments performed in duplicate (n=3).</w:t>
      </w:r>
    </w:p>
    <w:p w14:paraId="4A54EF8A" w14:textId="77777777" w:rsidR="000A51C3" w:rsidRPr="00437314" w:rsidRDefault="000A51C3" w:rsidP="000A51C3">
      <w:pPr>
        <w:keepNext/>
        <w:jc w:val="center"/>
        <w:rPr>
          <w:rFonts w:ascii="Corbel" w:hAnsi="Corbel"/>
        </w:rPr>
      </w:pPr>
      <w:r w:rsidRPr="00437314">
        <w:rPr>
          <w:rFonts w:ascii="Corbel" w:hAnsi="Corbel" w:cs="Times New Roman"/>
          <w:noProof/>
        </w:rPr>
        <w:lastRenderedPageBreak/>
        <w:drawing>
          <wp:inline distT="0" distB="0" distL="0" distR="0" wp14:anchorId="404249D2" wp14:editId="4A16CB70">
            <wp:extent cx="3873500" cy="2603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73500" cy="2603500"/>
                    </a:xfrm>
                    <a:prstGeom prst="rect">
                      <a:avLst/>
                    </a:prstGeom>
                  </pic:spPr>
                </pic:pic>
              </a:graphicData>
            </a:graphic>
          </wp:inline>
        </w:drawing>
      </w:r>
    </w:p>
    <w:p w14:paraId="37766563" w14:textId="77777777" w:rsidR="000A51C3" w:rsidRPr="009A423D" w:rsidRDefault="000A51C3" w:rsidP="000A51C3">
      <w:pPr>
        <w:pStyle w:val="Caption"/>
        <w:rPr>
          <w:rFonts w:ascii="Corbel" w:hAnsi="Corbel" w:cs="Times New Roman"/>
          <w:sz w:val="24"/>
          <w:szCs w:val="24"/>
          <w:lang w:val="en-CA"/>
        </w:rPr>
      </w:pPr>
      <w:r w:rsidRPr="009A423D">
        <w:rPr>
          <w:rFonts w:ascii="Corbel" w:hAnsi="Corbel"/>
          <w:sz w:val="24"/>
          <w:szCs w:val="24"/>
        </w:rPr>
        <w:t>Figure</w:t>
      </w:r>
      <w:r>
        <w:rPr>
          <w:rFonts w:ascii="Corbel" w:hAnsi="Corbel"/>
          <w:sz w:val="24"/>
          <w:szCs w:val="24"/>
        </w:rPr>
        <w:t xml:space="preserve"> B</w:t>
      </w:r>
      <w:r w:rsidRPr="009A423D">
        <w:rPr>
          <w:rFonts w:ascii="Corbel" w:hAnsi="Corbel"/>
          <w:noProof/>
          <w:sz w:val="24"/>
          <w:szCs w:val="24"/>
        </w:rPr>
        <w:t xml:space="preserve">: Iron concentration in cell-line-derived macrophages by mass </w:t>
      </w:r>
      <w:r>
        <w:rPr>
          <w:rFonts w:ascii="Corbel" w:hAnsi="Corbel"/>
          <w:noProof/>
          <w:sz w:val="24"/>
          <w:szCs w:val="24"/>
        </w:rPr>
        <w:t>spectrometry</w:t>
      </w:r>
      <w:r w:rsidRPr="009A423D">
        <w:rPr>
          <w:rFonts w:ascii="Corbel" w:hAnsi="Corbel"/>
          <w:noProof/>
          <w:sz w:val="24"/>
          <w:szCs w:val="24"/>
        </w:rPr>
        <w:t xml:space="preserve"> after 24-hour incubation with iron-supplemented cell-culture media. Experiments performed in duplicate (n=3).</w:t>
      </w:r>
    </w:p>
    <w:p w14:paraId="541C6227" w14:textId="77777777" w:rsidR="000A51C3" w:rsidRDefault="000A51C3" w:rsidP="000A51C3">
      <w:pPr>
        <w:rPr>
          <w:rFonts w:ascii="Calibri" w:hAnsi="Calibri" w:cs="Calibri"/>
        </w:rPr>
      </w:pPr>
    </w:p>
    <w:p w14:paraId="5FEE4E2E" w14:textId="77777777" w:rsidR="000A51C3" w:rsidRDefault="000A51C3" w:rsidP="000A51C3">
      <w:pPr>
        <w:rPr>
          <w:rFonts w:ascii="Calibri" w:hAnsi="Calibri" w:cs="Calibri"/>
        </w:rPr>
      </w:pPr>
    </w:p>
    <w:p w14:paraId="543A16A6" w14:textId="77777777" w:rsidR="000A51C3" w:rsidRDefault="000A51C3" w:rsidP="000A51C3">
      <w:pPr>
        <w:rPr>
          <w:rFonts w:ascii="Calibri" w:hAnsi="Calibri" w:cs="Calibri"/>
        </w:rPr>
      </w:pPr>
    </w:p>
    <w:p w14:paraId="5383B346" w14:textId="77777777" w:rsidR="000A51C3" w:rsidRDefault="000A51C3" w:rsidP="000A51C3">
      <w:pPr>
        <w:rPr>
          <w:rFonts w:ascii="Calibri" w:hAnsi="Calibri" w:cs="Calibri"/>
        </w:rPr>
      </w:pPr>
    </w:p>
    <w:p w14:paraId="7E815D84" w14:textId="77777777" w:rsidR="000A51C3" w:rsidRDefault="000A51C3" w:rsidP="000A51C3">
      <w:pPr>
        <w:rPr>
          <w:rFonts w:ascii="Calibri" w:hAnsi="Calibri" w:cs="Calibri"/>
        </w:rPr>
      </w:pPr>
    </w:p>
    <w:p w14:paraId="43ED9008" w14:textId="77777777" w:rsidR="000A51C3" w:rsidRDefault="000A51C3" w:rsidP="000A51C3">
      <w:pPr>
        <w:rPr>
          <w:rFonts w:ascii="Calibri" w:hAnsi="Calibri" w:cs="Calibri"/>
        </w:rPr>
      </w:pPr>
    </w:p>
    <w:p w14:paraId="0BBB5F26" w14:textId="77777777" w:rsidR="000A51C3" w:rsidRDefault="000A51C3" w:rsidP="000A51C3">
      <w:pPr>
        <w:rPr>
          <w:rFonts w:ascii="Calibri" w:hAnsi="Calibri" w:cs="Calibri"/>
        </w:rPr>
      </w:pPr>
    </w:p>
    <w:p w14:paraId="05C659DE" w14:textId="77777777" w:rsidR="00B63D2D" w:rsidRDefault="00B63D2D" w:rsidP="00E47954">
      <w:pPr>
        <w:rPr>
          <w:rFonts w:ascii="Calibri" w:hAnsi="Calibri" w:cs="Calibri"/>
        </w:rPr>
      </w:pPr>
    </w:p>
    <w:p w14:paraId="537B69DE" w14:textId="40995266" w:rsidR="002F6757" w:rsidRDefault="002F6757" w:rsidP="00E47954">
      <w:pPr>
        <w:rPr>
          <w:rFonts w:ascii="Calibri" w:hAnsi="Calibri" w:cs="Calibri"/>
        </w:rPr>
      </w:pPr>
    </w:p>
    <w:p w14:paraId="54FAEA58" w14:textId="38FD2343" w:rsidR="002F6757" w:rsidRDefault="002F6757" w:rsidP="00E47954">
      <w:pPr>
        <w:rPr>
          <w:rFonts w:ascii="Calibri" w:hAnsi="Calibri" w:cs="Calibri"/>
        </w:rPr>
      </w:pPr>
    </w:p>
    <w:p w14:paraId="623E8D64" w14:textId="14C31D2F" w:rsidR="002F6757" w:rsidRDefault="002F6757" w:rsidP="00E47954">
      <w:pPr>
        <w:rPr>
          <w:rFonts w:ascii="Calibri" w:hAnsi="Calibri" w:cs="Calibri"/>
        </w:rPr>
      </w:pPr>
    </w:p>
    <w:p w14:paraId="1C433E1D" w14:textId="5AB28E30" w:rsidR="002F6757" w:rsidRDefault="002F6757" w:rsidP="00E47954">
      <w:pPr>
        <w:rPr>
          <w:rFonts w:ascii="Calibri" w:hAnsi="Calibri" w:cs="Calibri"/>
        </w:rPr>
      </w:pPr>
    </w:p>
    <w:p w14:paraId="0F05B55C" w14:textId="690B4FCE" w:rsidR="002F6757" w:rsidRDefault="002F6757" w:rsidP="00E47954">
      <w:pPr>
        <w:rPr>
          <w:rFonts w:ascii="Calibri" w:hAnsi="Calibri" w:cs="Calibri"/>
        </w:rPr>
      </w:pPr>
    </w:p>
    <w:p w14:paraId="72017351" w14:textId="3CB1D054" w:rsidR="002F6757" w:rsidRDefault="002F6757" w:rsidP="00E47954">
      <w:pPr>
        <w:rPr>
          <w:rFonts w:ascii="Calibri" w:hAnsi="Calibri" w:cs="Calibri"/>
        </w:rPr>
      </w:pPr>
    </w:p>
    <w:p w14:paraId="0C92018F" w14:textId="585272A9" w:rsidR="002F6757" w:rsidRDefault="002F6757" w:rsidP="00E47954">
      <w:pPr>
        <w:rPr>
          <w:rFonts w:ascii="Calibri" w:hAnsi="Calibri" w:cs="Calibri"/>
        </w:rPr>
      </w:pPr>
    </w:p>
    <w:p w14:paraId="6E05A192" w14:textId="6914589F" w:rsidR="002F6757" w:rsidRDefault="002F6757" w:rsidP="00E47954">
      <w:pPr>
        <w:rPr>
          <w:rFonts w:ascii="Calibri" w:hAnsi="Calibri" w:cs="Calibri"/>
        </w:rPr>
      </w:pPr>
    </w:p>
    <w:p w14:paraId="4C98ABE5" w14:textId="18074BC2" w:rsidR="002F6757" w:rsidRDefault="002F6757" w:rsidP="00E47954">
      <w:pPr>
        <w:rPr>
          <w:rFonts w:ascii="Calibri" w:hAnsi="Calibri" w:cs="Calibri"/>
        </w:rPr>
      </w:pPr>
    </w:p>
    <w:p w14:paraId="6AF2039A" w14:textId="618118A3" w:rsidR="002F6757" w:rsidRDefault="002F6757" w:rsidP="00E47954">
      <w:pPr>
        <w:rPr>
          <w:rFonts w:ascii="Calibri" w:hAnsi="Calibri" w:cs="Calibri"/>
        </w:rPr>
      </w:pPr>
    </w:p>
    <w:p w14:paraId="309B226C" w14:textId="4A8450B7" w:rsidR="002F6757" w:rsidRDefault="002F6757" w:rsidP="00E47954">
      <w:pPr>
        <w:rPr>
          <w:rFonts w:ascii="Calibri" w:hAnsi="Calibri" w:cs="Calibri"/>
        </w:rPr>
      </w:pPr>
    </w:p>
    <w:p w14:paraId="51196142" w14:textId="55B50694" w:rsidR="002F6757" w:rsidRDefault="002F6757" w:rsidP="00E47954">
      <w:pPr>
        <w:rPr>
          <w:rFonts w:ascii="Calibri" w:hAnsi="Calibri" w:cs="Calibri"/>
        </w:rPr>
      </w:pPr>
    </w:p>
    <w:p w14:paraId="1CCA414C" w14:textId="1637B8CF" w:rsidR="002F6757" w:rsidRDefault="002F6757" w:rsidP="00E47954">
      <w:pPr>
        <w:rPr>
          <w:rFonts w:ascii="Calibri" w:hAnsi="Calibri" w:cs="Calibri"/>
        </w:rPr>
      </w:pPr>
    </w:p>
    <w:p w14:paraId="72B99984" w14:textId="55433F42" w:rsidR="002F6757" w:rsidRDefault="002F6757" w:rsidP="00E47954">
      <w:pPr>
        <w:rPr>
          <w:rFonts w:ascii="Calibri" w:hAnsi="Calibri" w:cs="Calibri"/>
        </w:rPr>
      </w:pPr>
    </w:p>
    <w:p w14:paraId="0FDEACCF" w14:textId="6C982EE7" w:rsidR="002F6757" w:rsidRDefault="002F6757" w:rsidP="00E47954">
      <w:pPr>
        <w:rPr>
          <w:rFonts w:ascii="Calibri" w:hAnsi="Calibri" w:cs="Calibri"/>
        </w:rPr>
      </w:pPr>
    </w:p>
    <w:p w14:paraId="254C4C7B" w14:textId="7B1EC832" w:rsidR="002F6757" w:rsidRDefault="002F6757" w:rsidP="00E47954">
      <w:pPr>
        <w:rPr>
          <w:rFonts w:ascii="Calibri" w:hAnsi="Calibri" w:cs="Calibri"/>
        </w:rPr>
      </w:pPr>
    </w:p>
    <w:p w14:paraId="66F32B3C" w14:textId="77777777" w:rsidR="002F6757" w:rsidRDefault="002F6757" w:rsidP="00E47954">
      <w:pPr>
        <w:rPr>
          <w:rFonts w:ascii="Calibri" w:hAnsi="Calibri" w:cs="Calibri"/>
        </w:rPr>
      </w:pPr>
    </w:p>
    <w:p w14:paraId="50ED30FE" w14:textId="78B0E034" w:rsidR="0045062F" w:rsidRPr="00787929" w:rsidRDefault="0045062F" w:rsidP="00AC16EE">
      <w:pPr>
        <w:pStyle w:val="Caption"/>
        <w:rPr>
          <w:rFonts w:ascii="Calibri" w:hAnsi="Calibri" w:cs="Calibri"/>
          <w:sz w:val="24"/>
          <w:szCs w:val="24"/>
        </w:rPr>
      </w:pPr>
    </w:p>
    <w:sectPr w:rsidR="0045062F" w:rsidRPr="00787929" w:rsidSect="00D0036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AFE"/>
    <w:rsid w:val="00065D4A"/>
    <w:rsid w:val="000A51C3"/>
    <w:rsid w:val="00294FCD"/>
    <w:rsid w:val="002D2071"/>
    <w:rsid w:val="002F06B4"/>
    <w:rsid w:val="002F6757"/>
    <w:rsid w:val="00370728"/>
    <w:rsid w:val="003B38DC"/>
    <w:rsid w:val="0045062F"/>
    <w:rsid w:val="004D6296"/>
    <w:rsid w:val="00595E6D"/>
    <w:rsid w:val="005E32CE"/>
    <w:rsid w:val="006041E3"/>
    <w:rsid w:val="00787929"/>
    <w:rsid w:val="007C44D3"/>
    <w:rsid w:val="007C461C"/>
    <w:rsid w:val="008E66AD"/>
    <w:rsid w:val="00AC16EE"/>
    <w:rsid w:val="00AC5B09"/>
    <w:rsid w:val="00B42AFE"/>
    <w:rsid w:val="00B63D2D"/>
    <w:rsid w:val="00C13ABE"/>
    <w:rsid w:val="00CF39A2"/>
    <w:rsid w:val="00D00362"/>
    <w:rsid w:val="00D557E5"/>
    <w:rsid w:val="00D72093"/>
    <w:rsid w:val="00D74441"/>
    <w:rsid w:val="00E479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C796CC7"/>
  <w15:chartTrackingRefBased/>
  <w15:docId w15:val="{C8FC8ABD-67D7-2B42-B137-E73883A0D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5062F"/>
    <w:pPr>
      <w:spacing w:after="200"/>
    </w:pPr>
    <w:rPr>
      <w:i/>
      <w:iCs/>
      <w:color w:val="44546A" w:themeColor="text2"/>
      <w:sz w:val="18"/>
      <w:szCs w:val="18"/>
      <w:lang w:val="en-US"/>
    </w:rPr>
  </w:style>
  <w:style w:type="table" w:styleId="TableGrid">
    <w:name w:val="Table Grid"/>
    <w:basedOn w:val="TableNormal"/>
    <w:uiPriority w:val="39"/>
    <w:rsid w:val="00AC1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5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4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843</Words>
  <Characters>4807</Characters>
  <Application>Microsoft Office Word</Application>
  <DocSecurity>0</DocSecurity>
  <Lines>40</Lines>
  <Paragraphs>11</Paragraphs>
  <ScaleCrop>false</ScaleCrop>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 Terence</dc:creator>
  <cp:keywords/>
  <dc:description/>
  <cp:lastModifiedBy>Ho, Terence</cp:lastModifiedBy>
  <cp:revision>2</cp:revision>
  <dcterms:created xsi:type="dcterms:W3CDTF">2021-12-23T02:27:00Z</dcterms:created>
  <dcterms:modified xsi:type="dcterms:W3CDTF">2021-12-23T02:27:00Z</dcterms:modified>
</cp:coreProperties>
</file>