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1767" w14:textId="77777777" w:rsidR="004A455E" w:rsidRDefault="004A455E" w:rsidP="004A455E">
      <w:pPr>
        <w:rPr>
          <w:rFonts w:ascii="Calibri" w:hAnsi="Calibri" w:cs="Calibri"/>
          <w:b/>
          <w:bCs/>
          <w:lang w:val="en-US"/>
        </w:rPr>
      </w:pPr>
      <w:r w:rsidRPr="00AC16EE">
        <w:rPr>
          <w:rFonts w:ascii="Calibri" w:hAnsi="Calibri" w:cs="Calibri"/>
          <w:b/>
          <w:bCs/>
          <w:lang w:val="en-US"/>
        </w:rPr>
        <w:t>Table S1: Systemic iron and echocardiographic parameters of COPD clinical cohort.</w:t>
      </w:r>
    </w:p>
    <w:p w14:paraId="6E909C76" w14:textId="77777777" w:rsidR="004A455E" w:rsidRPr="00787929" w:rsidRDefault="004A455E" w:rsidP="004A455E">
      <w:pPr>
        <w:rPr>
          <w:rFonts w:ascii="Calibri" w:hAnsi="Calibri" w:cs="Calibri"/>
          <w:lang w:val="en-US"/>
        </w:rPr>
      </w:pPr>
    </w:p>
    <w:tbl>
      <w:tblPr>
        <w:tblStyle w:val="TableGrid"/>
        <w:tblW w:w="5920" w:type="dxa"/>
        <w:tblLook w:val="0420" w:firstRow="1" w:lastRow="0" w:firstColumn="0" w:lastColumn="0" w:noHBand="0" w:noVBand="1"/>
      </w:tblPr>
      <w:tblGrid>
        <w:gridCol w:w="4600"/>
        <w:gridCol w:w="1320"/>
      </w:tblGrid>
      <w:tr w:rsidR="004A455E" w:rsidRPr="00787929" w14:paraId="22BF2B8C" w14:textId="77777777" w:rsidTr="00DE2036">
        <w:trPr>
          <w:trHeight w:val="312"/>
        </w:trPr>
        <w:tc>
          <w:tcPr>
            <w:tcW w:w="4600" w:type="dxa"/>
            <w:hideMark/>
          </w:tcPr>
          <w:p w14:paraId="3CCF5719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b/>
                <w:bCs/>
                <w:lang w:val="en-US"/>
              </w:rPr>
              <w:t>Iron Parameters</w:t>
            </w:r>
          </w:p>
        </w:tc>
        <w:tc>
          <w:tcPr>
            <w:tcW w:w="1320" w:type="dxa"/>
            <w:hideMark/>
          </w:tcPr>
          <w:p w14:paraId="794D3A36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b/>
                <w:bCs/>
                <w:lang w:val="en-US"/>
              </w:rPr>
              <w:t>Value</w:t>
            </w:r>
          </w:p>
        </w:tc>
      </w:tr>
      <w:tr w:rsidR="004A455E" w:rsidRPr="00787929" w14:paraId="55132525" w14:textId="77777777" w:rsidTr="00DE2036">
        <w:trPr>
          <w:trHeight w:val="312"/>
        </w:trPr>
        <w:tc>
          <w:tcPr>
            <w:tcW w:w="4600" w:type="dxa"/>
            <w:hideMark/>
          </w:tcPr>
          <w:p w14:paraId="1AF64C24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Hemoglobin (g/L)</w:t>
            </w:r>
          </w:p>
        </w:tc>
        <w:tc>
          <w:tcPr>
            <w:tcW w:w="1320" w:type="dxa"/>
            <w:hideMark/>
          </w:tcPr>
          <w:p w14:paraId="75D3AFFB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131 ± 16.4</w:t>
            </w:r>
          </w:p>
        </w:tc>
      </w:tr>
      <w:tr w:rsidR="004A455E" w:rsidRPr="00787929" w14:paraId="0282F103" w14:textId="77777777" w:rsidTr="00DE2036">
        <w:trPr>
          <w:trHeight w:val="312"/>
        </w:trPr>
        <w:tc>
          <w:tcPr>
            <w:tcW w:w="4600" w:type="dxa"/>
            <w:hideMark/>
          </w:tcPr>
          <w:p w14:paraId="5A84EB1C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Mean cell volume (</w:t>
            </w:r>
            <w:proofErr w:type="spellStart"/>
            <w:r w:rsidRPr="00787929">
              <w:rPr>
                <w:rFonts w:ascii="Calibri" w:hAnsi="Calibri" w:cs="Calibri"/>
                <w:lang w:val="en-US"/>
              </w:rPr>
              <w:t>fL</w:t>
            </w:r>
            <w:proofErr w:type="spellEnd"/>
            <w:r w:rsidRPr="00787929"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1320" w:type="dxa"/>
            <w:hideMark/>
          </w:tcPr>
          <w:p w14:paraId="383C75E0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89.0 ± 10.5</w:t>
            </w:r>
          </w:p>
        </w:tc>
      </w:tr>
      <w:tr w:rsidR="004A455E" w:rsidRPr="00787929" w14:paraId="43AFF4A8" w14:textId="77777777" w:rsidTr="00DE2036">
        <w:trPr>
          <w:trHeight w:val="312"/>
        </w:trPr>
        <w:tc>
          <w:tcPr>
            <w:tcW w:w="4600" w:type="dxa"/>
            <w:hideMark/>
          </w:tcPr>
          <w:p w14:paraId="7464C35F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Ferritin (</w:t>
            </w:r>
            <w:r w:rsidRPr="00787929">
              <w:rPr>
                <w:rFonts w:ascii="Cambria Math" w:hAnsi="Cambria Math" w:cs="Cambria Math"/>
                <w:lang w:val="en-US"/>
              </w:rPr>
              <w:t>𝜇</w:t>
            </w:r>
            <w:r w:rsidRPr="00787929">
              <w:rPr>
                <w:rFonts w:ascii="Calibri" w:hAnsi="Calibri" w:cs="Calibri"/>
                <w:lang w:val="en-US"/>
              </w:rPr>
              <w:t>g/L)</w:t>
            </w:r>
          </w:p>
        </w:tc>
        <w:tc>
          <w:tcPr>
            <w:tcW w:w="1320" w:type="dxa"/>
            <w:hideMark/>
          </w:tcPr>
          <w:p w14:paraId="58A81810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112 (31.0, 186)</w:t>
            </w:r>
          </w:p>
        </w:tc>
      </w:tr>
      <w:tr w:rsidR="004A455E" w:rsidRPr="00787929" w14:paraId="10D001C1" w14:textId="77777777" w:rsidTr="00DE2036">
        <w:trPr>
          <w:trHeight w:val="312"/>
        </w:trPr>
        <w:tc>
          <w:tcPr>
            <w:tcW w:w="4600" w:type="dxa"/>
            <w:hideMark/>
          </w:tcPr>
          <w:p w14:paraId="50499883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Iron (</w:t>
            </w:r>
            <w:r w:rsidRPr="00787929">
              <w:rPr>
                <w:rFonts w:ascii="Cambria Math" w:hAnsi="Cambria Math" w:cs="Cambria Math"/>
                <w:lang w:val="en-US"/>
              </w:rPr>
              <w:t>𝜇</w:t>
            </w:r>
            <w:r w:rsidRPr="00787929">
              <w:rPr>
                <w:rFonts w:ascii="Calibri" w:hAnsi="Calibri" w:cs="Calibri"/>
                <w:lang w:val="en-US"/>
              </w:rPr>
              <w:t>mol/L)</w:t>
            </w:r>
          </w:p>
        </w:tc>
        <w:tc>
          <w:tcPr>
            <w:tcW w:w="1320" w:type="dxa"/>
            <w:hideMark/>
          </w:tcPr>
          <w:p w14:paraId="326CBE5F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12.0 (9.00, 15.0)</w:t>
            </w:r>
          </w:p>
        </w:tc>
      </w:tr>
      <w:tr w:rsidR="004A455E" w:rsidRPr="00787929" w14:paraId="43BEE160" w14:textId="77777777" w:rsidTr="00DE2036">
        <w:trPr>
          <w:trHeight w:val="312"/>
        </w:trPr>
        <w:tc>
          <w:tcPr>
            <w:tcW w:w="4600" w:type="dxa"/>
            <w:hideMark/>
          </w:tcPr>
          <w:p w14:paraId="16E00848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Transferrin (g/L)</w:t>
            </w:r>
          </w:p>
        </w:tc>
        <w:tc>
          <w:tcPr>
            <w:tcW w:w="1320" w:type="dxa"/>
            <w:hideMark/>
          </w:tcPr>
          <w:p w14:paraId="2BAA6A5B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2.71 ± 0.511</w:t>
            </w:r>
          </w:p>
        </w:tc>
      </w:tr>
      <w:tr w:rsidR="004A455E" w:rsidRPr="00787929" w14:paraId="2C2A7634" w14:textId="77777777" w:rsidTr="00DE2036">
        <w:trPr>
          <w:trHeight w:val="312"/>
        </w:trPr>
        <w:tc>
          <w:tcPr>
            <w:tcW w:w="4600" w:type="dxa"/>
            <w:hideMark/>
          </w:tcPr>
          <w:p w14:paraId="0CD9022F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Anemia (n,%)</w:t>
            </w:r>
          </w:p>
        </w:tc>
        <w:tc>
          <w:tcPr>
            <w:tcW w:w="1320" w:type="dxa"/>
            <w:hideMark/>
          </w:tcPr>
          <w:p w14:paraId="7C358489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17 (35)</w:t>
            </w:r>
          </w:p>
        </w:tc>
      </w:tr>
      <w:tr w:rsidR="004A455E" w:rsidRPr="00787929" w14:paraId="1CAFE3C9" w14:textId="77777777" w:rsidTr="00DE2036">
        <w:trPr>
          <w:trHeight w:val="312"/>
        </w:trPr>
        <w:tc>
          <w:tcPr>
            <w:tcW w:w="4600" w:type="dxa"/>
            <w:hideMark/>
          </w:tcPr>
          <w:p w14:paraId="74057B3C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Microcytosis (n,%)</w:t>
            </w:r>
          </w:p>
        </w:tc>
        <w:tc>
          <w:tcPr>
            <w:tcW w:w="1320" w:type="dxa"/>
            <w:hideMark/>
          </w:tcPr>
          <w:p w14:paraId="11559E8B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8 (17)</w:t>
            </w:r>
          </w:p>
        </w:tc>
      </w:tr>
      <w:tr w:rsidR="004A455E" w:rsidRPr="00787929" w14:paraId="6737CDE3" w14:textId="77777777" w:rsidTr="00DE2036">
        <w:trPr>
          <w:trHeight w:val="312"/>
        </w:trPr>
        <w:tc>
          <w:tcPr>
            <w:tcW w:w="4600" w:type="dxa"/>
            <w:hideMark/>
          </w:tcPr>
          <w:p w14:paraId="22C24CB8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Possible iron deficiency (n,%)</w:t>
            </w:r>
          </w:p>
        </w:tc>
        <w:tc>
          <w:tcPr>
            <w:tcW w:w="1320" w:type="dxa"/>
            <w:hideMark/>
          </w:tcPr>
          <w:p w14:paraId="1305F940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8 (19.5)</w:t>
            </w:r>
          </w:p>
        </w:tc>
      </w:tr>
      <w:tr w:rsidR="004A455E" w:rsidRPr="00787929" w14:paraId="15B2808F" w14:textId="77777777" w:rsidTr="00DE2036">
        <w:trPr>
          <w:trHeight w:val="312"/>
        </w:trPr>
        <w:tc>
          <w:tcPr>
            <w:tcW w:w="4600" w:type="dxa"/>
            <w:hideMark/>
          </w:tcPr>
          <w:p w14:paraId="62E25BCC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Possible iron overload (n,%)</w:t>
            </w:r>
          </w:p>
        </w:tc>
        <w:tc>
          <w:tcPr>
            <w:tcW w:w="1320" w:type="dxa"/>
            <w:hideMark/>
          </w:tcPr>
          <w:p w14:paraId="20E89540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6 (14.6)</w:t>
            </w:r>
          </w:p>
        </w:tc>
      </w:tr>
      <w:tr w:rsidR="004A455E" w:rsidRPr="00787929" w14:paraId="3DFFBEAD" w14:textId="77777777" w:rsidTr="00DE2036">
        <w:trPr>
          <w:trHeight w:val="312"/>
        </w:trPr>
        <w:tc>
          <w:tcPr>
            <w:tcW w:w="4600" w:type="dxa"/>
            <w:hideMark/>
          </w:tcPr>
          <w:p w14:paraId="7BFAAC49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Iron &lt; lower limit of normal (n,%)</w:t>
            </w:r>
          </w:p>
        </w:tc>
        <w:tc>
          <w:tcPr>
            <w:tcW w:w="1320" w:type="dxa"/>
            <w:hideMark/>
          </w:tcPr>
          <w:p w14:paraId="5AB07184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36 (87.5)</w:t>
            </w:r>
          </w:p>
        </w:tc>
      </w:tr>
      <w:tr w:rsidR="004A455E" w:rsidRPr="00787929" w14:paraId="1D3DA88E" w14:textId="77777777" w:rsidTr="00DE2036">
        <w:trPr>
          <w:trHeight w:val="312"/>
        </w:trPr>
        <w:tc>
          <w:tcPr>
            <w:tcW w:w="4600" w:type="dxa"/>
            <w:hideMark/>
          </w:tcPr>
          <w:p w14:paraId="1742D801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Anemia of chronic disease (n,%)</w:t>
            </w:r>
          </w:p>
        </w:tc>
        <w:tc>
          <w:tcPr>
            <w:tcW w:w="1320" w:type="dxa"/>
            <w:hideMark/>
          </w:tcPr>
          <w:p w14:paraId="7A655A14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1 (2.4)</w:t>
            </w:r>
          </w:p>
        </w:tc>
      </w:tr>
      <w:tr w:rsidR="004A455E" w:rsidRPr="00787929" w14:paraId="78762AD0" w14:textId="77777777" w:rsidTr="00DE2036">
        <w:trPr>
          <w:trHeight w:val="312"/>
        </w:trPr>
        <w:tc>
          <w:tcPr>
            <w:tcW w:w="4600" w:type="dxa"/>
            <w:hideMark/>
          </w:tcPr>
          <w:p w14:paraId="617809A7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b/>
                <w:bCs/>
                <w:lang w:val="en-US"/>
              </w:rPr>
              <w:t>Echocardiogram Interpretation</w:t>
            </w:r>
          </w:p>
        </w:tc>
        <w:tc>
          <w:tcPr>
            <w:tcW w:w="1320" w:type="dxa"/>
            <w:hideMark/>
          </w:tcPr>
          <w:p w14:paraId="5517431A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  <w:lang w:val="en-US"/>
              </w:rPr>
              <w:t> </w:t>
            </w:r>
          </w:p>
        </w:tc>
      </w:tr>
      <w:tr w:rsidR="004A455E" w:rsidRPr="00787929" w14:paraId="43BD8A96" w14:textId="77777777" w:rsidTr="00DE2036">
        <w:trPr>
          <w:trHeight w:val="312"/>
        </w:trPr>
        <w:tc>
          <w:tcPr>
            <w:tcW w:w="4600" w:type="dxa"/>
            <w:hideMark/>
          </w:tcPr>
          <w:p w14:paraId="68555CC1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Systolic dysfunction</w:t>
            </w:r>
          </w:p>
        </w:tc>
        <w:tc>
          <w:tcPr>
            <w:tcW w:w="1320" w:type="dxa"/>
            <w:hideMark/>
          </w:tcPr>
          <w:p w14:paraId="2DD4473C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3 (7.5)</w:t>
            </w:r>
          </w:p>
        </w:tc>
      </w:tr>
      <w:tr w:rsidR="004A455E" w:rsidRPr="00787929" w14:paraId="5D992FB2" w14:textId="77777777" w:rsidTr="00DE2036">
        <w:trPr>
          <w:trHeight w:val="312"/>
        </w:trPr>
        <w:tc>
          <w:tcPr>
            <w:tcW w:w="4600" w:type="dxa"/>
            <w:hideMark/>
          </w:tcPr>
          <w:p w14:paraId="597A6266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Diastolic dysfunction</w:t>
            </w:r>
          </w:p>
        </w:tc>
        <w:tc>
          <w:tcPr>
            <w:tcW w:w="1320" w:type="dxa"/>
            <w:hideMark/>
          </w:tcPr>
          <w:p w14:paraId="471DCEF4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11 (27.5)</w:t>
            </w:r>
          </w:p>
        </w:tc>
      </w:tr>
      <w:tr w:rsidR="004A455E" w:rsidRPr="00787929" w14:paraId="6B266895" w14:textId="77777777" w:rsidTr="00DE2036">
        <w:tc>
          <w:tcPr>
            <w:tcW w:w="4600" w:type="dxa"/>
            <w:hideMark/>
          </w:tcPr>
          <w:p w14:paraId="58C79D53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Systolic and diastolic dysfunction</w:t>
            </w:r>
          </w:p>
        </w:tc>
        <w:tc>
          <w:tcPr>
            <w:tcW w:w="1320" w:type="dxa"/>
            <w:hideMark/>
          </w:tcPr>
          <w:p w14:paraId="7CEB54F0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2 (5)</w:t>
            </w:r>
          </w:p>
        </w:tc>
      </w:tr>
      <w:tr w:rsidR="004A455E" w:rsidRPr="00787929" w14:paraId="25F00188" w14:textId="77777777" w:rsidTr="00DE2036">
        <w:trPr>
          <w:trHeight w:val="456"/>
        </w:trPr>
        <w:tc>
          <w:tcPr>
            <w:tcW w:w="4600" w:type="dxa"/>
            <w:hideMark/>
          </w:tcPr>
          <w:p w14:paraId="3B86FD76" w14:textId="77777777" w:rsidR="004A455E" w:rsidRPr="00787929" w:rsidRDefault="004A455E" w:rsidP="00DE2036">
            <w:pPr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Significant valvular disease</w:t>
            </w:r>
          </w:p>
        </w:tc>
        <w:tc>
          <w:tcPr>
            <w:tcW w:w="1320" w:type="dxa"/>
            <w:hideMark/>
          </w:tcPr>
          <w:p w14:paraId="44B66FE8" w14:textId="77777777" w:rsidR="004A455E" w:rsidRPr="00787929" w:rsidRDefault="004A455E" w:rsidP="00DE2036">
            <w:pPr>
              <w:keepNext/>
              <w:rPr>
                <w:rFonts w:ascii="Calibri" w:hAnsi="Calibri" w:cs="Calibri"/>
              </w:rPr>
            </w:pPr>
            <w:r w:rsidRPr="00787929">
              <w:rPr>
                <w:rFonts w:ascii="Calibri" w:hAnsi="Calibri" w:cs="Calibri"/>
              </w:rPr>
              <w:t>1 (2.5)</w:t>
            </w:r>
          </w:p>
        </w:tc>
      </w:tr>
    </w:tbl>
    <w:p w14:paraId="4E25E5E5" w14:textId="77777777" w:rsidR="00696AD6" w:rsidRDefault="004A455E"/>
    <w:sectPr w:rsidR="00696AD6" w:rsidSect="00D003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5E"/>
    <w:rsid w:val="002D2071"/>
    <w:rsid w:val="004A455E"/>
    <w:rsid w:val="00D0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4C173"/>
  <w15:chartTrackingRefBased/>
  <w15:docId w15:val="{1E78CCF8-EFDE-EB40-9C9B-01E89F57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Ho, Terence</dc:creator>
  <cp:keywords/>
  <dc:description/>
  <cp:lastModifiedBy>Ho, Terence</cp:lastModifiedBy>
  <cp:revision>1</cp:revision>
  <dcterms:created xsi:type="dcterms:W3CDTF">2021-09-13T21:58:00Z</dcterms:created>
  <dcterms:modified xsi:type="dcterms:W3CDTF">2021-09-13T21:59:00Z</dcterms:modified>
</cp:coreProperties>
</file>