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A6069" w14:textId="73F76CED" w:rsidR="00F25EB5" w:rsidRDefault="00F25EB5" w:rsidP="00F25EB5">
      <w:pPr>
        <w:spacing w:line="480" w:lineRule="auto"/>
        <w:ind w:left="284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n-GB"/>
        </w:rPr>
        <w:t>Additional</w:t>
      </w:r>
      <w:r w:rsidRPr="00122696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 Table 1.</w:t>
      </w:r>
      <w:r w:rsidRPr="001166B7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 </w:t>
      </w:r>
      <w:r w:rsidRPr="001166B7">
        <w:rPr>
          <w:rFonts w:asciiTheme="minorHAnsi" w:hAnsiTheme="minorHAnsi" w:cstheme="minorHAnsi"/>
          <w:sz w:val="24"/>
          <w:szCs w:val="24"/>
          <w:lang w:val="en-GB"/>
        </w:rPr>
        <w:t>Patient characteristics recorded before the start of benralizumab therapy</w:t>
      </w:r>
      <w:r w:rsidRPr="00FF74AF">
        <w:rPr>
          <w:rFonts w:asciiTheme="minorHAnsi" w:hAnsiTheme="minorHAnsi" w:cstheme="minorHAnsi"/>
          <w:sz w:val="24"/>
          <w:szCs w:val="24"/>
          <w:lang w:val="en-GB"/>
        </w:rPr>
        <w:t xml:space="preserve">. Data are N (%), mean±SD, or median (IQR). 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Unless otherwise specified, the </w:t>
      </w:r>
      <w:r w:rsidRPr="00FF74AF">
        <w:rPr>
          <w:rFonts w:asciiTheme="minorHAnsi" w:hAnsiTheme="minorHAnsi" w:cstheme="minorHAnsi"/>
          <w:sz w:val="24"/>
          <w:szCs w:val="24"/>
          <w:lang w:val="en-GB"/>
        </w:rPr>
        <w:t>evaluable population</w:t>
      </w:r>
      <w:r>
        <w:rPr>
          <w:rFonts w:asciiTheme="minorHAnsi" w:hAnsiTheme="minorHAnsi" w:cstheme="minorHAnsi"/>
          <w:sz w:val="24"/>
          <w:szCs w:val="24"/>
          <w:lang w:val="en-GB"/>
        </w:rPr>
        <w:t>s</w:t>
      </w:r>
      <w:r w:rsidRPr="00FF74AF">
        <w:rPr>
          <w:rFonts w:asciiTheme="minorHAnsi" w:hAnsiTheme="minorHAnsi" w:cstheme="minorHAnsi"/>
          <w:sz w:val="24"/>
          <w:szCs w:val="24"/>
          <w:lang w:val="en-GB"/>
        </w:rPr>
        <w:t xml:space="preserve"> included </w:t>
      </w:r>
      <w:r>
        <w:rPr>
          <w:rFonts w:asciiTheme="minorHAnsi" w:hAnsiTheme="minorHAnsi" w:cstheme="minorHAnsi"/>
          <w:sz w:val="24"/>
          <w:szCs w:val="24"/>
          <w:lang w:val="en-GB"/>
        </w:rPr>
        <w:t>8</w:t>
      </w:r>
      <w:r w:rsidRPr="00FF74AF">
        <w:rPr>
          <w:rFonts w:asciiTheme="minorHAnsi" w:hAnsiTheme="minorHAnsi" w:cstheme="minorHAnsi"/>
          <w:sz w:val="24"/>
          <w:szCs w:val="24"/>
          <w:lang w:val="en-GB"/>
        </w:rPr>
        <w:t xml:space="preserve">5 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allergic and 120 non-allergic </w:t>
      </w:r>
      <w:r w:rsidRPr="00FF74AF">
        <w:rPr>
          <w:rFonts w:asciiTheme="minorHAnsi" w:hAnsiTheme="minorHAnsi" w:cstheme="minorHAnsi"/>
          <w:sz w:val="24"/>
          <w:szCs w:val="24"/>
          <w:lang w:val="en-GB"/>
        </w:rPr>
        <w:t>patients.</w:t>
      </w:r>
    </w:p>
    <w:p w14:paraId="761ABDC0" w14:textId="77777777" w:rsidR="00F25EB5" w:rsidRDefault="00F25EB5" w:rsidP="00F25EB5">
      <w:pPr>
        <w:spacing w:line="480" w:lineRule="auto"/>
        <w:ind w:left="284"/>
        <w:rPr>
          <w:rFonts w:asciiTheme="minorHAnsi" w:hAnsiTheme="minorHAnsi" w:cstheme="minorHAnsi"/>
          <w:szCs w:val="24"/>
          <w:lang w:val="en-GB"/>
        </w:rPr>
      </w:pPr>
    </w:p>
    <w:tbl>
      <w:tblPr>
        <w:tblStyle w:val="Grigliatabella"/>
        <w:tblW w:w="907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20" w:firstRow="1" w:lastRow="0" w:firstColumn="0" w:lastColumn="0" w:noHBand="0" w:noVBand="1"/>
      </w:tblPr>
      <w:tblGrid>
        <w:gridCol w:w="4988"/>
        <w:gridCol w:w="1888"/>
        <w:gridCol w:w="2202"/>
      </w:tblGrid>
      <w:tr w:rsidR="00F25EB5" w:rsidRPr="007878AD" w14:paraId="4159B13B" w14:textId="77777777" w:rsidTr="00511CFD">
        <w:trPr>
          <w:trHeight w:val="100"/>
          <w:jc w:val="center"/>
        </w:trPr>
        <w:tc>
          <w:tcPr>
            <w:tcW w:w="4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11954D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 xml:space="preserve">Characteristics 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99A03C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Evaluable allergic</w:t>
            </w:r>
          </w:p>
          <w:p w14:paraId="00A501FB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N=85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49A80A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Evaluable non-allergic</w:t>
            </w:r>
          </w:p>
          <w:p w14:paraId="05C067C5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N=120</w:t>
            </w:r>
          </w:p>
        </w:tc>
      </w:tr>
      <w:tr w:rsidR="00F25EB5" w:rsidRPr="007878AD" w14:paraId="28F7B9A0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  <w:hideMark/>
          </w:tcPr>
          <w:p w14:paraId="28F0F4E9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Age at the index date, yrs</w:t>
            </w:r>
          </w:p>
        </w:tc>
        <w:tc>
          <w:tcPr>
            <w:tcW w:w="1888" w:type="dxa"/>
            <w:shd w:val="clear" w:color="auto" w:fill="FFFFFF" w:themeFill="background1"/>
          </w:tcPr>
          <w:p w14:paraId="3EF04545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52.6±13.5</w:t>
            </w:r>
          </w:p>
        </w:tc>
        <w:tc>
          <w:tcPr>
            <w:tcW w:w="2202" w:type="dxa"/>
            <w:shd w:val="clear" w:color="auto" w:fill="FFFFFF" w:themeFill="background1"/>
          </w:tcPr>
          <w:p w14:paraId="229E2B81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58.1±12.7</w:t>
            </w:r>
          </w:p>
        </w:tc>
      </w:tr>
      <w:tr w:rsidR="00F25EB5" w:rsidRPr="007878AD" w14:paraId="468533C3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4298E6B9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Female sex</w:t>
            </w:r>
          </w:p>
        </w:tc>
        <w:tc>
          <w:tcPr>
            <w:tcW w:w="1888" w:type="dxa"/>
            <w:shd w:val="clear" w:color="auto" w:fill="FFFFFF" w:themeFill="background1"/>
          </w:tcPr>
          <w:p w14:paraId="7ED81880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49 (57.6%)</w:t>
            </w:r>
          </w:p>
        </w:tc>
        <w:tc>
          <w:tcPr>
            <w:tcW w:w="2202" w:type="dxa"/>
            <w:shd w:val="clear" w:color="auto" w:fill="FFFFFF" w:themeFill="background1"/>
          </w:tcPr>
          <w:p w14:paraId="4330E9C6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77 (64.2%)</w:t>
            </w:r>
          </w:p>
        </w:tc>
      </w:tr>
      <w:tr w:rsidR="00F25EB5" w:rsidRPr="000F5F24" w14:paraId="15C950C2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  <w:hideMark/>
          </w:tcPr>
          <w:p w14:paraId="7F1F89B7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BMI at the index date, kg/m2 (N=74; N=108)</w:t>
            </w:r>
          </w:p>
        </w:tc>
        <w:tc>
          <w:tcPr>
            <w:tcW w:w="1888" w:type="dxa"/>
            <w:shd w:val="clear" w:color="auto" w:fill="FFFFFF" w:themeFill="background1"/>
          </w:tcPr>
          <w:p w14:paraId="77F3356D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</w:tc>
        <w:tc>
          <w:tcPr>
            <w:tcW w:w="2202" w:type="dxa"/>
            <w:shd w:val="clear" w:color="auto" w:fill="FFFFFF" w:themeFill="background1"/>
          </w:tcPr>
          <w:p w14:paraId="485591DB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25EB5" w:rsidRPr="007878AD" w14:paraId="17F0B456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672BDFEA" w14:textId="77777777" w:rsidR="00F25EB5" w:rsidRPr="007878AD" w:rsidRDefault="00F25EB5" w:rsidP="00511CFD">
            <w:pPr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 xml:space="preserve">   Underweight/Normal weight</w:t>
            </w:r>
          </w:p>
        </w:tc>
        <w:tc>
          <w:tcPr>
            <w:tcW w:w="1888" w:type="dxa"/>
            <w:shd w:val="clear" w:color="auto" w:fill="FFFFFF" w:themeFill="background1"/>
          </w:tcPr>
          <w:p w14:paraId="193A121D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27 (36.5%)</w:t>
            </w:r>
          </w:p>
        </w:tc>
        <w:tc>
          <w:tcPr>
            <w:tcW w:w="2202" w:type="dxa"/>
            <w:shd w:val="clear" w:color="auto" w:fill="FFFFFF" w:themeFill="background1"/>
          </w:tcPr>
          <w:p w14:paraId="63D5B0E9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43 (39.8%)</w:t>
            </w:r>
          </w:p>
        </w:tc>
      </w:tr>
      <w:tr w:rsidR="00F25EB5" w:rsidRPr="007878AD" w14:paraId="64B3DD31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08430AFB" w14:textId="77777777" w:rsidR="00F25EB5" w:rsidRPr="007878AD" w:rsidRDefault="00F25EB5" w:rsidP="00511CFD">
            <w:pPr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 xml:space="preserve">   Overweight</w:t>
            </w:r>
          </w:p>
        </w:tc>
        <w:tc>
          <w:tcPr>
            <w:tcW w:w="1888" w:type="dxa"/>
            <w:shd w:val="clear" w:color="auto" w:fill="FFFFFF" w:themeFill="background1"/>
          </w:tcPr>
          <w:p w14:paraId="0F08FA75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31 (41.9%)</w:t>
            </w:r>
          </w:p>
        </w:tc>
        <w:tc>
          <w:tcPr>
            <w:tcW w:w="2202" w:type="dxa"/>
            <w:shd w:val="clear" w:color="auto" w:fill="FFFFFF" w:themeFill="background1"/>
          </w:tcPr>
          <w:p w14:paraId="667D019D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48 (44.4%)</w:t>
            </w:r>
          </w:p>
        </w:tc>
      </w:tr>
      <w:tr w:rsidR="00F25EB5" w:rsidRPr="007878AD" w14:paraId="27171AD1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633995FD" w14:textId="77777777" w:rsidR="00F25EB5" w:rsidRPr="007878AD" w:rsidRDefault="00F25EB5" w:rsidP="00511CFD">
            <w:pPr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 xml:space="preserve">   Obese</w:t>
            </w:r>
          </w:p>
        </w:tc>
        <w:tc>
          <w:tcPr>
            <w:tcW w:w="1888" w:type="dxa"/>
            <w:shd w:val="clear" w:color="auto" w:fill="FFFFFF" w:themeFill="background1"/>
          </w:tcPr>
          <w:p w14:paraId="333BE80C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16 (21.6%)</w:t>
            </w:r>
          </w:p>
        </w:tc>
        <w:tc>
          <w:tcPr>
            <w:tcW w:w="2202" w:type="dxa"/>
            <w:shd w:val="clear" w:color="auto" w:fill="FFFFFF" w:themeFill="background1"/>
          </w:tcPr>
          <w:p w14:paraId="1C41E5BC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17 (15.7%)</w:t>
            </w:r>
          </w:p>
        </w:tc>
      </w:tr>
      <w:tr w:rsidR="00F25EB5" w:rsidRPr="000F5F24" w14:paraId="55D965CA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  <w:hideMark/>
          </w:tcPr>
          <w:p w14:paraId="3C6C7C46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Smoking status at the index date (N=82; N=113)</w:t>
            </w:r>
          </w:p>
        </w:tc>
        <w:tc>
          <w:tcPr>
            <w:tcW w:w="1888" w:type="dxa"/>
            <w:shd w:val="clear" w:color="auto" w:fill="FFFFFF" w:themeFill="background1"/>
          </w:tcPr>
          <w:p w14:paraId="28E853AF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02" w:type="dxa"/>
            <w:shd w:val="clear" w:color="auto" w:fill="FFFFFF" w:themeFill="background1"/>
          </w:tcPr>
          <w:p w14:paraId="73DF3AA3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25EB5" w:rsidRPr="007878AD" w14:paraId="0C75FA10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1022E9DA" w14:textId="77777777" w:rsidR="00F25EB5" w:rsidRPr="007878AD" w:rsidRDefault="00F25EB5" w:rsidP="00511CFD">
            <w:pPr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 xml:space="preserve">   Non-smoker</w:t>
            </w:r>
          </w:p>
        </w:tc>
        <w:tc>
          <w:tcPr>
            <w:tcW w:w="1888" w:type="dxa"/>
            <w:shd w:val="clear" w:color="auto" w:fill="FFFFFF" w:themeFill="background1"/>
          </w:tcPr>
          <w:p w14:paraId="26720027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55 (67.1%)</w:t>
            </w:r>
          </w:p>
        </w:tc>
        <w:tc>
          <w:tcPr>
            <w:tcW w:w="2202" w:type="dxa"/>
            <w:shd w:val="clear" w:color="auto" w:fill="FFFFFF" w:themeFill="background1"/>
          </w:tcPr>
          <w:p w14:paraId="7E7C953B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84 (74.3%)</w:t>
            </w:r>
          </w:p>
        </w:tc>
      </w:tr>
      <w:tr w:rsidR="00F25EB5" w:rsidRPr="007878AD" w14:paraId="76167D2F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2506F495" w14:textId="77777777" w:rsidR="00F25EB5" w:rsidRPr="007878AD" w:rsidRDefault="00F25EB5" w:rsidP="00511CFD">
            <w:pPr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 xml:space="preserve">   Previous smoker</w:t>
            </w:r>
          </w:p>
        </w:tc>
        <w:tc>
          <w:tcPr>
            <w:tcW w:w="1888" w:type="dxa"/>
            <w:shd w:val="clear" w:color="auto" w:fill="FFFFFF" w:themeFill="background1"/>
          </w:tcPr>
          <w:p w14:paraId="16E1B785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22 (26.8%)</w:t>
            </w:r>
          </w:p>
        </w:tc>
        <w:tc>
          <w:tcPr>
            <w:tcW w:w="2202" w:type="dxa"/>
            <w:shd w:val="clear" w:color="auto" w:fill="FFFFFF" w:themeFill="background1"/>
          </w:tcPr>
          <w:p w14:paraId="6C4A366A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28 (24.8%)</w:t>
            </w:r>
          </w:p>
        </w:tc>
      </w:tr>
      <w:tr w:rsidR="00F25EB5" w:rsidRPr="007878AD" w14:paraId="4EFB7CD5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57CD7DDE" w14:textId="77777777" w:rsidR="00F25EB5" w:rsidRPr="007878AD" w:rsidRDefault="00F25EB5" w:rsidP="00511CFD">
            <w:pPr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 xml:space="preserve">   Current smoker</w:t>
            </w:r>
          </w:p>
        </w:tc>
        <w:tc>
          <w:tcPr>
            <w:tcW w:w="1888" w:type="dxa"/>
            <w:shd w:val="clear" w:color="auto" w:fill="FFFFFF" w:themeFill="background1"/>
          </w:tcPr>
          <w:p w14:paraId="016288FD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5 (6.1%)</w:t>
            </w:r>
          </w:p>
        </w:tc>
        <w:tc>
          <w:tcPr>
            <w:tcW w:w="2202" w:type="dxa"/>
            <w:shd w:val="clear" w:color="auto" w:fill="FFFFFF" w:themeFill="background1"/>
          </w:tcPr>
          <w:p w14:paraId="3C2E157F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 (0.9%)</w:t>
            </w:r>
          </w:p>
        </w:tc>
      </w:tr>
      <w:tr w:rsidR="00F25EB5" w:rsidRPr="007878AD" w14:paraId="72B3C590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20F0D890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i/>
                <w:i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Age at asthma diagnosis, yrs (N=84; N=119)</w:t>
            </w:r>
          </w:p>
        </w:tc>
        <w:tc>
          <w:tcPr>
            <w:tcW w:w="1888" w:type="dxa"/>
            <w:shd w:val="clear" w:color="auto" w:fill="auto"/>
          </w:tcPr>
          <w:p w14:paraId="52B0D657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i/>
                <w:iCs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35.1±16.5</w:t>
            </w:r>
          </w:p>
        </w:tc>
        <w:tc>
          <w:tcPr>
            <w:tcW w:w="2202" w:type="dxa"/>
          </w:tcPr>
          <w:p w14:paraId="651BB320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41.6±16.4</w:t>
            </w:r>
          </w:p>
        </w:tc>
      </w:tr>
      <w:tr w:rsidR="00F25EB5" w:rsidRPr="007878AD" w14:paraId="1C8B1B3A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75AF1793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i/>
                <w:i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Asthma duration at the index date, yrs (N=84; N=119)</w:t>
            </w:r>
          </w:p>
        </w:tc>
        <w:tc>
          <w:tcPr>
            <w:tcW w:w="1888" w:type="dxa"/>
            <w:shd w:val="clear" w:color="auto" w:fill="auto"/>
          </w:tcPr>
          <w:p w14:paraId="592862C1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i/>
                <w:iCs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14.8 (6.3-27.4)</w:t>
            </w:r>
          </w:p>
        </w:tc>
        <w:tc>
          <w:tcPr>
            <w:tcW w:w="2202" w:type="dxa"/>
          </w:tcPr>
          <w:p w14:paraId="7D6165CB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11.0 (6.3-24.0)</w:t>
            </w:r>
          </w:p>
        </w:tc>
      </w:tr>
      <w:tr w:rsidR="00F25EB5" w:rsidRPr="007878AD" w14:paraId="2DF95C99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1FA04AED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Comorbidities at the index date</w:t>
            </w:r>
          </w:p>
        </w:tc>
        <w:tc>
          <w:tcPr>
            <w:tcW w:w="1888" w:type="dxa"/>
            <w:shd w:val="clear" w:color="auto" w:fill="auto"/>
          </w:tcPr>
          <w:p w14:paraId="63672B2E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74 (87.1%)</w:t>
            </w:r>
          </w:p>
        </w:tc>
        <w:tc>
          <w:tcPr>
            <w:tcW w:w="2202" w:type="dxa"/>
          </w:tcPr>
          <w:p w14:paraId="07F06FB0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101 (84.2%)</w:t>
            </w:r>
          </w:p>
        </w:tc>
      </w:tr>
      <w:tr w:rsidR="00F25EB5" w:rsidRPr="007878AD" w14:paraId="0F175BE7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5262331F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≥1 current asthma-related condition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C50086D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52 (70.3%)</w:t>
            </w:r>
          </w:p>
        </w:tc>
        <w:tc>
          <w:tcPr>
            <w:tcW w:w="2202" w:type="dxa"/>
            <w:vAlign w:val="center"/>
          </w:tcPr>
          <w:p w14:paraId="4560011C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51 (50.5%)</w:t>
            </w:r>
          </w:p>
        </w:tc>
      </w:tr>
      <w:tr w:rsidR="00F25EB5" w:rsidRPr="007878AD" w14:paraId="3F9E05A6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0E2D6066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Chronic rhinosinusitis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DD7D45C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24 (32.4%)</w:t>
            </w:r>
          </w:p>
        </w:tc>
        <w:tc>
          <w:tcPr>
            <w:tcW w:w="2202" w:type="dxa"/>
            <w:vAlign w:val="center"/>
          </w:tcPr>
          <w:p w14:paraId="5BFACD2C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26 (25.7%)</w:t>
            </w:r>
          </w:p>
        </w:tc>
      </w:tr>
      <w:tr w:rsidR="00F25EB5" w:rsidRPr="007878AD" w14:paraId="6A89180F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2C4B8407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GERD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814C866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21 (28.4%)</w:t>
            </w:r>
          </w:p>
        </w:tc>
        <w:tc>
          <w:tcPr>
            <w:tcW w:w="2202" w:type="dxa"/>
            <w:vAlign w:val="center"/>
          </w:tcPr>
          <w:p w14:paraId="0058D251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22 (21.8%)</w:t>
            </w:r>
          </w:p>
        </w:tc>
      </w:tr>
      <w:tr w:rsidR="00F25EB5" w:rsidRPr="007878AD" w14:paraId="259141E8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286CDEDA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Allergic conjunctivitis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3AE2C88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20 (27.0%)</w:t>
            </w:r>
          </w:p>
        </w:tc>
        <w:tc>
          <w:tcPr>
            <w:tcW w:w="2202" w:type="dxa"/>
            <w:vAlign w:val="center"/>
          </w:tcPr>
          <w:p w14:paraId="7BEF475A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8 (7.9%)</w:t>
            </w:r>
          </w:p>
        </w:tc>
      </w:tr>
      <w:tr w:rsidR="00F25EB5" w:rsidRPr="007878AD" w14:paraId="30A68E28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509A1EA6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Allergic rhinitis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3969714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32 (43.2%)</w:t>
            </w:r>
          </w:p>
        </w:tc>
        <w:tc>
          <w:tcPr>
            <w:tcW w:w="2202" w:type="dxa"/>
            <w:vAlign w:val="center"/>
          </w:tcPr>
          <w:p w14:paraId="032EACC4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13 (12.9%)</w:t>
            </w:r>
          </w:p>
        </w:tc>
      </w:tr>
      <w:tr w:rsidR="00F25EB5" w:rsidRPr="007878AD" w14:paraId="6881F111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00A85BCB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Other (atopic dermatitis, urticaria, etc.)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5D63B42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6 (8.1%)</w:t>
            </w:r>
          </w:p>
        </w:tc>
        <w:tc>
          <w:tcPr>
            <w:tcW w:w="2202" w:type="dxa"/>
            <w:vAlign w:val="center"/>
          </w:tcPr>
          <w:p w14:paraId="16AC3BE1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11 (10.9%)</w:t>
            </w:r>
          </w:p>
        </w:tc>
      </w:tr>
      <w:tr w:rsidR="00F25EB5" w:rsidRPr="007878AD" w14:paraId="21242E25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5C09FA35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≥1 current OCS-related condition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5D0A5B7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31 (41.9%)</w:t>
            </w:r>
          </w:p>
        </w:tc>
        <w:tc>
          <w:tcPr>
            <w:tcW w:w="2202" w:type="dxa"/>
            <w:vAlign w:val="center"/>
          </w:tcPr>
          <w:p w14:paraId="30720485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46 (45.5%)</w:t>
            </w:r>
          </w:p>
        </w:tc>
      </w:tr>
      <w:tr w:rsidR="00F25EB5" w:rsidRPr="007878AD" w14:paraId="44A0315A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040B1464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Hypertension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819F6BA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19 (25.7%)</w:t>
            </w:r>
          </w:p>
        </w:tc>
        <w:tc>
          <w:tcPr>
            <w:tcW w:w="2202" w:type="dxa"/>
            <w:vAlign w:val="center"/>
          </w:tcPr>
          <w:p w14:paraId="571B1277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27 (26.7%)</w:t>
            </w:r>
          </w:p>
        </w:tc>
      </w:tr>
      <w:tr w:rsidR="00F25EB5" w:rsidRPr="007878AD" w14:paraId="4EA27D63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50922688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Osteoporosis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1DD0B45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6 (8.1%)</w:t>
            </w:r>
          </w:p>
        </w:tc>
        <w:tc>
          <w:tcPr>
            <w:tcW w:w="2202" w:type="dxa"/>
            <w:vAlign w:val="center"/>
          </w:tcPr>
          <w:p w14:paraId="68062411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17 (16.8%)</w:t>
            </w:r>
          </w:p>
        </w:tc>
      </w:tr>
      <w:tr w:rsidR="00F25EB5" w:rsidRPr="007878AD" w14:paraId="7ED76391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4AB1174E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Cataract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6D7EB19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5 (6.8%)</w:t>
            </w:r>
          </w:p>
        </w:tc>
        <w:tc>
          <w:tcPr>
            <w:tcW w:w="2202" w:type="dxa"/>
            <w:vAlign w:val="center"/>
          </w:tcPr>
          <w:p w14:paraId="2462D6CE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7 (6.9%)</w:t>
            </w:r>
          </w:p>
        </w:tc>
      </w:tr>
      <w:tr w:rsidR="00F25EB5" w:rsidRPr="007878AD" w14:paraId="172BAFBC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28139D80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Anxiety/Depression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38DF9AA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6 (8.1%)</w:t>
            </w:r>
          </w:p>
        </w:tc>
        <w:tc>
          <w:tcPr>
            <w:tcW w:w="2202" w:type="dxa"/>
            <w:vAlign w:val="center"/>
          </w:tcPr>
          <w:p w14:paraId="48AFB125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5 (5.0%)</w:t>
            </w:r>
          </w:p>
        </w:tc>
      </w:tr>
      <w:tr w:rsidR="00F25EB5" w:rsidRPr="007878AD" w14:paraId="6B5F4FEF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02018A3B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Type 2 Diabetes Mellitus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0209F20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3 (4.0%)</w:t>
            </w:r>
          </w:p>
        </w:tc>
        <w:tc>
          <w:tcPr>
            <w:tcW w:w="2202" w:type="dxa"/>
            <w:vAlign w:val="center"/>
          </w:tcPr>
          <w:p w14:paraId="4E85501D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7 (6.9%)</w:t>
            </w:r>
          </w:p>
        </w:tc>
      </w:tr>
      <w:tr w:rsidR="00F25EB5" w:rsidRPr="007878AD" w14:paraId="36CCCEC1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428A7724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Obstructive sleep apnoea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5096888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3 (4.0%)</w:t>
            </w:r>
          </w:p>
        </w:tc>
        <w:tc>
          <w:tcPr>
            <w:tcW w:w="2202" w:type="dxa"/>
            <w:vAlign w:val="center"/>
          </w:tcPr>
          <w:p w14:paraId="64FC1C0B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7 (6.9%)</w:t>
            </w:r>
          </w:p>
        </w:tc>
      </w:tr>
      <w:tr w:rsidR="00F25EB5" w:rsidRPr="007878AD" w14:paraId="3D17BC5C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6A248625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Cardiovascular disease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63B36F3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4 (5.4%)</w:t>
            </w:r>
          </w:p>
        </w:tc>
        <w:tc>
          <w:tcPr>
            <w:tcW w:w="2202" w:type="dxa"/>
            <w:vAlign w:val="center"/>
          </w:tcPr>
          <w:p w14:paraId="78B7C544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3 (3.0%)</w:t>
            </w:r>
          </w:p>
        </w:tc>
      </w:tr>
      <w:tr w:rsidR="00F25EB5" w:rsidRPr="007878AD" w14:paraId="198C0401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52A1FC99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Other OCS-related ongoing comorbidities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B6457FE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2 (2.7%)</w:t>
            </w:r>
          </w:p>
        </w:tc>
        <w:tc>
          <w:tcPr>
            <w:tcW w:w="2202" w:type="dxa"/>
            <w:vAlign w:val="center"/>
          </w:tcPr>
          <w:p w14:paraId="43908004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17 (16.8%)</w:t>
            </w:r>
          </w:p>
        </w:tc>
      </w:tr>
      <w:tr w:rsidR="00F25EB5" w:rsidRPr="007878AD" w14:paraId="2774B737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2B825914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≥1 other ongoing comorbidities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2A02F61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19 (25.7%)</w:t>
            </w:r>
          </w:p>
        </w:tc>
        <w:tc>
          <w:tcPr>
            <w:tcW w:w="2202" w:type="dxa"/>
            <w:vAlign w:val="center"/>
          </w:tcPr>
          <w:p w14:paraId="16467149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16 (15.8%)</w:t>
            </w:r>
          </w:p>
        </w:tc>
      </w:tr>
      <w:tr w:rsidR="00F25EB5" w:rsidRPr="007878AD" w14:paraId="77553B81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43A58D93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 xml:space="preserve">      Thyroid disorders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1351D04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4 (5.4%)</w:t>
            </w:r>
          </w:p>
        </w:tc>
        <w:tc>
          <w:tcPr>
            <w:tcW w:w="2202" w:type="dxa"/>
            <w:vAlign w:val="center"/>
          </w:tcPr>
          <w:p w14:paraId="2DA6E969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4 (4.0%)</w:t>
            </w:r>
          </w:p>
        </w:tc>
      </w:tr>
      <w:tr w:rsidR="00F25EB5" w:rsidRPr="007878AD" w14:paraId="71D127E7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auto"/>
          </w:tcPr>
          <w:p w14:paraId="1BD8C651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kern w:val="24"/>
                <w:lang w:val="en-GB"/>
              </w:rPr>
              <w:t xml:space="preserve">      Bronchiectasis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63CCE0A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kern w:val="24"/>
                <w:lang w:val="en-GB"/>
              </w:rPr>
              <w:t xml:space="preserve">3 </w:t>
            </w: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(4.0%)</w:t>
            </w:r>
          </w:p>
        </w:tc>
        <w:tc>
          <w:tcPr>
            <w:tcW w:w="2202" w:type="dxa"/>
            <w:vAlign w:val="center"/>
          </w:tcPr>
          <w:p w14:paraId="45B953D0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kern w:val="24"/>
                <w:lang w:val="en-GB"/>
              </w:rPr>
              <w:t xml:space="preserve">3 </w:t>
            </w:r>
            <w:r w:rsidRPr="007878AD">
              <w:rPr>
                <w:rFonts w:asciiTheme="minorHAnsi" w:hAnsiTheme="minorHAnsi" w:cstheme="minorHAnsi"/>
                <w:color w:val="000000" w:themeColor="dark1"/>
                <w:kern w:val="24"/>
                <w:lang w:val="en-GB"/>
              </w:rPr>
              <w:t>(3.0%)</w:t>
            </w:r>
          </w:p>
        </w:tc>
      </w:tr>
      <w:tr w:rsidR="00F25EB5" w:rsidRPr="007878AD" w14:paraId="6C34395F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7FF4C4D9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Blood eosinophil count at the index date, cells/mm</w:t>
            </w:r>
            <w:r w:rsidRPr="007878AD">
              <w:rPr>
                <w:rFonts w:asciiTheme="minorHAnsi" w:hAnsiTheme="minorHAnsi" w:cstheme="minorHAnsi"/>
                <w:b/>
                <w:bCs/>
                <w:vertAlign w:val="superscript"/>
                <w:lang w:val="en-GB"/>
              </w:rPr>
              <w:t>3</w:t>
            </w: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</w:p>
        </w:tc>
        <w:tc>
          <w:tcPr>
            <w:tcW w:w="1888" w:type="dxa"/>
            <w:shd w:val="clear" w:color="auto" w:fill="FFFFFF" w:themeFill="background1"/>
          </w:tcPr>
          <w:p w14:paraId="6C30A374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500 (360-710)</w:t>
            </w:r>
          </w:p>
        </w:tc>
        <w:tc>
          <w:tcPr>
            <w:tcW w:w="2202" w:type="dxa"/>
            <w:shd w:val="clear" w:color="auto" w:fill="FFFFFF" w:themeFill="background1"/>
          </w:tcPr>
          <w:p w14:paraId="20FB8544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630 (440-960)</w:t>
            </w:r>
          </w:p>
        </w:tc>
      </w:tr>
      <w:tr w:rsidR="00F25EB5" w:rsidRPr="007878AD" w14:paraId="54D52BB2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2A89F024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Total serum IgE at the index date, IU/mL (N=61; N=62)</w:t>
            </w:r>
          </w:p>
        </w:tc>
        <w:tc>
          <w:tcPr>
            <w:tcW w:w="1888" w:type="dxa"/>
            <w:shd w:val="clear" w:color="auto" w:fill="FFFFFF" w:themeFill="background1"/>
          </w:tcPr>
          <w:p w14:paraId="08CE6E06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390 (150-774.3)</w:t>
            </w:r>
          </w:p>
        </w:tc>
        <w:tc>
          <w:tcPr>
            <w:tcW w:w="2202" w:type="dxa"/>
            <w:shd w:val="clear" w:color="auto" w:fill="FFFFFF" w:themeFill="background1"/>
          </w:tcPr>
          <w:p w14:paraId="725F8098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156 (63-400)</w:t>
            </w:r>
          </w:p>
        </w:tc>
      </w:tr>
      <w:tr w:rsidR="00F25EB5" w:rsidRPr="007878AD" w14:paraId="64851B9E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10FA3BD6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AER (any severity) (N=82; N=114)</w:t>
            </w:r>
          </w:p>
        </w:tc>
        <w:tc>
          <w:tcPr>
            <w:tcW w:w="1888" w:type="dxa"/>
            <w:shd w:val="clear" w:color="auto" w:fill="FFFFFF" w:themeFill="background1"/>
          </w:tcPr>
          <w:p w14:paraId="6AD630FE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4.01</w:t>
            </w:r>
          </w:p>
        </w:tc>
        <w:tc>
          <w:tcPr>
            <w:tcW w:w="2202" w:type="dxa"/>
            <w:shd w:val="clear" w:color="auto" w:fill="FFFFFF" w:themeFill="background1"/>
          </w:tcPr>
          <w:p w14:paraId="36227F94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4.04</w:t>
            </w:r>
          </w:p>
        </w:tc>
      </w:tr>
      <w:tr w:rsidR="00F25EB5" w:rsidRPr="007878AD" w14:paraId="40683271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618167D8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AER for severe exacerbations (N=82; N=114)</w:t>
            </w:r>
          </w:p>
        </w:tc>
        <w:tc>
          <w:tcPr>
            <w:tcW w:w="1888" w:type="dxa"/>
            <w:shd w:val="clear" w:color="auto" w:fill="FFFFFF" w:themeFill="background1"/>
          </w:tcPr>
          <w:p w14:paraId="3C79B571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1.24</w:t>
            </w:r>
          </w:p>
        </w:tc>
        <w:tc>
          <w:tcPr>
            <w:tcW w:w="2202" w:type="dxa"/>
            <w:shd w:val="clear" w:color="auto" w:fill="FFFFFF" w:themeFill="background1"/>
          </w:tcPr>
          <w:p w14:paraId="24328014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</w:t>
            </w:r>
          </w:p>
        </w:tc>
      </w:tr>
      <w:tr w:rsidR="00F25EB5" w:rsidRPr="007878AD" w14:paraId="0E0FB037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7863F536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OCS users</w:t>
            </w:r>
          </w:p>
        </w:tc>
        <w:tc>
          <w:tcPr>
            <w:tcW w:w="1888" w:type="dxa"/>
            <w:shd w:val="clear" w:color="auto" w:fill="FFFFFF" w:themeFill="background1"/>
          </w:tcPr>
          <w:p w14:paraId="2DC3027E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19 (22.4%)</w:t>
            </w:r>
          </w:p>
        </w:tc>
        <w:tc>
          <w:tcPr>
            <w:tcW w:w="2202" w:type="dxa"/>
            <w:shd w:val="clear" w:color="auto" w:fill="FFFFFF" w:themeFill="background1"/>
          </w:tcPr>
          <w:p w14:paraId="2D436894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34</w:t>
            </w:r>
            <w:r>
              <w:rPr>
                <w:rFonts w:asciiTheme="minorHAnsi" w:hAnsiTheme="minorHAnsi" w:cstheme="minorHAnsi"/>
                <w:lang w:val="en-GB"/>
              </w:rPr>
              <w:t xml:space="preserve"> (33.7%)</w:t>
            </w:r>
          </w:p>
        </w:tc>
      </w:tr>
      <w:tr w:rsidR="00F25EB5" w:rsidRPr="007878AD" w14:paraId="6763A9B4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0AE7D52C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OCS initial dose, prednisone equivalent, mg (N=17; N=31)</w:t>
            </w:r>
          </w:p>
        </w:tc>
        <w:tc>
          <w:tcPr>
            <w:tcW w:w="1888" w:type="dxa"/>
            <w:shd w:val="clear" w:color="auto" w:fill="FFFFFF" w:themeFill="background1"/>
          </w:tcPr>
          <w:p w14:paraId="7AE9AC62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12.5 (6.3-25)</w:t>
            </w:r>
          </w:p>
        </w:tc>
        <w:tc>
          <w:tcPr>
            <w:tcW w:w="2202" w:type="dxa"/>
            <w:shd w:val="clear" w:color="auto" w:fill="FFFFFF" w:themeFill="background1"/>
          </w:tcPr>
          <w:p w14:paraId="71871CAA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10 (5-25)</w:t>
            </w:r>
          </w:p>
        </w:tc>
      </w:tr>
      <w:tr w:rsidR="00F25EB5" w:rsidRPr="000F5F24" w14:paraId="38EB2730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757259A5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Lung function at the index date</w:t>
            </w:r>
          </w:p>
        </w:tc>
        <w:tc>
          <w:tcPr>
            <w:tcW w:w="1888" w:type="dxa"/>
            <w:shd w:val="clear" w:color="auto" w:fill="FFFFFF" w:themeFill="background1"/>
          </w:tcPr>
          <w:p w14:paraId="3EE6076D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02" w:type="dxa"/>
            <w:shd w:val="clear" w:color="auto" w:fill="FFFFFF" w:themeFill="background1"/>
          </w:tcPr>
          <w:p w14:paraId="19B7BD70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25EB5" w:rsidRPr="007878AD" w14:paraId="117842F4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  <w:hideMark/>
          </w:tcPr>
          <w:p w14:paraId="304B2A70" w14:textId="77777777" w:rsidR="00F25EB5" w:rsidRPr="007878AD" w:rsidRDefault="00F25EB5" w:rsidP="00511CFD">
            <w:pPr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 xml:space="preserve">   Pre-bronchodilator FEV</w:t>
            </w:r>
            <w:r w:rsidRPr="005C5BB0">
              <w:rPr>
                <w:rFonts w:asciiTheme="minorHAnsi" w:hAnsiTheme="minorHAnsi" w:cstheme="minorHAnsi"/>
                <w:vertAlign w:val="subscript"/>
                <w:lang w:val="en-GB"/>
              </w:rPr>
              <w:t>1</w:t>
            </w:r>
            <w:r w:rsidRPr="007878AD">
              <w:rPr>
                <w:rFonts w:asciiTheme="minorHAnsi" w:hAnsiTheme="minorHAnsi" w:cstheme="minorHAnsi"/>
                <w:lang w:val="en-GB"/>
              </w:rPr>
              <w:t>, L (N=58; N=87)</w:t>
            </w:r>
          </w:p>
        </w:tc>
        <w:tc>
          <w:tcPr>
            <w:tcW w:w="1888" w:type="dxa"/>
            <w:shd w:val="clear" w:color="auto" w:fill="FFFFFF" w:themeFill="background1"/>
          </w:tcPr>
          <w:p w14:paraId="4EA7E7E6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2.0±0.7</w:t>
            </w:r>
          </w:p>
        </w:tc>
        <w:tc>
          <w:tcPr>
            <w:tcW w:w="2202" w:type="dxa"/>
            <w:shd w:val="clear" w:color="auto" w:fill="FFFFFF" w:themeFill="background1"/>
          </w:tcPr>
          <w:p w14:paraId="1A783AE6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1.9±0.8</w:t>
            </w:r>
          </w:p>
        </w:tc>
      </w:tr>
      <w:tr w:rsidR="00F25EB5" w:rsidRPr="007878AD" w14:paraId="34AED061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4DAD435C" w14:textId="77777777" w:rsidR="00F25EB5" w:rsidRPr="007878AD" w:rsidRDefault="00F25EB5" w:rsidP="00511CFD">
            <w:pPr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 xml:space="preserve">   Post-bronchodilator FEV</w:t>
            </w:r>
            <w:r w:rsidRPr="005C5BB0">
              <w:rPr>
                <w:rFonts w:asciiTheme="minorHAnsi" w:hAnsiTheme="minorHAnsi" w:cstheme="minorHAnsi"/>
                <w:vertAlign w:val="subscript"/>
                <w:lang w:val="en-GB"/>
              </w:rPr>
              <w:t>1</w:t>
            </w:r>
            <w:r w:rsidRPr="007878AD">
              <w:rPr>
                <w:rFonts w:asciiTheme="minorHAnsi" w:hAnsiTheme="minorHAnsi" w:cstheme="minorHAnsi"/>
                <w:lang w:val="en-GB"/>
              </w:rPr>
              <w:t>, L (N=37; N=52)</w:t>
            </w:r>
          </w:p>
        </w:tc>
        <w:tc>
          <w:tcPr>
            <w:tcW w:w="1888" w:type="dxa"/>
            <w:shd w:val="clear" w:color="auto" w:fill="FFFFFF" w:themeFill="background1"/>
          </w:tcPr>
          <w:p w14:paraId="0AFE0D85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2.0±0.8</w:t>
            </w:r>
          </w:p>
        </w:tc>
        <w:tc>
          <w:tcPr>
            <w:tcW w:w="2202" w:type="dxa"/>
            <w:shd w:val="clear" w:color="auto" w:fill="FFFFFF" w:themeFill="background1"/>
          </w:tcPr>
          <w:p w14:paraId="4F596CC6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2.2±0.9</w:t>
            </w:r>
          </w:p>
        </w:tc>
      </w:tr>
      <w:tr w:rsidR="00F25EB5" w:rsidRPr="007878AD" w14:paraId="129AD07D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  <w:hideMark/>
          </w:tcPr>
          <w:p w14:paraId="317CFB05" w14:textId="77777777" w:rsidR="00F25EB5" w:rsidRPr="007878AD" w:rsidRDefault="00F25EB5" w:rsidP="00511CFD">
            <w:pPr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 xml:space="preserve">   Pre-bronchodilator FEV</w:t>
            </w:r>
            <w:r w:rsidRPr="005C5BB0">
              <w:rPr>
                <w:rFonts w:asciiTheme="minorHAnsi" w:hAnsiTheme="minorHAnsi" w:cstheme="minorHAnsi"/>
                <w:vertAlign w:val="subscript"/>
                <w:lang w:val="en-GB"/>
              </w:rPr>
              <w:t>1</w:t>
            </w:r>
            <w:r w:rsidRPr="007878AD">
              <w:rPr>
                <w:rFonts w:asciiTheme="minorHAnsi" w:hAnsiTheme="minorHAnsi" w:cstheme="minorHAnsi"/>
                <w:lang w:val="en-GB"/>
              </w:rPr>
              <w:t>, % predicted (N=61; N=90)</w:t>
            </w:r>
          </w:p>
        </w:tc>
        <w:tc>
          <w:tcPr>
            <w:tcW w:w="1888" w:type="dxa"/>
            <w:shd w:val="clear" w:color="auto" w:fill="FFFFFF" w:themeFill="background1"/>
          </w:tcPr>
          <w:p w14:paraId="22B6CA3B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71.3±22.2</w:t>
            </w:r>
          </w:p>
        </w:tc>
        <w:tc>
          <w:tcPr>
            <w:tcW w:w="2202" w:type="dxa"/>
            <w:shd w:val="clear" w:color="auto" w:fill="FFFFFF" w:themeFill="background1"/>
          </w:tcPr>
          <w:p w14:paraId="597903FC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70.2±21.9</w:t>
            </w:r>
          </w:p>
        </w:tc>
      </w:tr>
      <w:tr w:rsidR="00F25EB5" w:rsidRPr="007878AD" w14:paraId="4AB0E3E5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  <w:hideMark/>
          </w:tcPr>
          <w:p w14:paraId="583CFB23" w14:textId="77777777" w:rsidR="00F25EB5" w:rsidRPr="007878AD" w:rsidRDefault="00F25EB5" w:rsidP="00511CFD">
            <w:pPr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 xml:space="preserve">   Post-bronchodilator FEV</w:t>
            </w:r>
            <w:r w:rsidRPr="005C5BB0">
              <w:rPr>
                <w:rFonts w:asciiTheme="minorHAnsi" w:hAnsiTheme="minorHAnsi" w:cstheme="minorHAnsi"/>
                <w:vertAlign w:val="subscript"/>
                <w:lang w:val="en-GB"/>
              </w:rPr>
              <w:t>1</w:t>
            </w:r>
            <w:r w:rsidRPr="007878AD">
              <w:rPr>
                <w:rFonts w:asciiTheme="minorHAnsi" w:hAnsiTheme="minorHAnsi" w:cstheme="minorHAnsi"/>
                <w:lang w:val="en-GB"/>
              </w:rPr>
              <w:t>, % predicted (N=37; N=50)</w:t>
            </w:r>
          </w:p>
        </w:tc>
        <w:tc>
          <w:tcPr>
            <w:tcW w:w="1888" w:type="dxa"/>
            <w:shd w:val="clear" w:color="auto" w:fill="FFFFFF" w:themeFill="background1"/>
          </w:tcPr>
          <w:p w14:paraId="367B629B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72.5±22.8</w:t>
            </w:r>
          </w:p>
        </w:tc>
        <w:tc>
          <w:tcPr>
            <w:tcW w:w="2202" w:type="dxa"/>
            <w:shd w:val="clear" w:color="auto" w:fill="FFFFFF" w:themeFill="background1"/>
          </w:tcPr>
          <w:p w14:paraId="36829592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77.4±22.6</w:t>
            </w:r>
          </w:p>
        </w:tc>
      </w:tr>
      <w:tr w:rsidR="00F25EB5" w:rsidRPr="007878AD" w14:paraId="0D095CE0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  <w:hideMark/>
          </w:tcPr>
          <w:p w14:paraId="7F23AA92" w14:textId="77777777" w:rsidR="00F25EB5" w:rsidRPr="007878AD" w:rsidRDefault="00F25EB5" w:rsidP="00511CFD">
            <w:pPr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 xml:space="preserve">   Pre-bronchodilator FVC, L (N=56; N=)</w:t>
            </w:r>
          </w:p>
        </w:tc>
        <w:tc>
          <w:tcPr>
            <w:tcW w:w="1888" w:type="dxa"/>
            <w:shd w:val="clear" w:color="auto" w:fill="FFFFFF" w:themeFill="background1"/>
          </w:tcPr>
          <w:p w14:paraId="16538FD6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3.1±1.0</w:t>
            </w:r>
          </w:p>
        </w:tc>
        <w:tc>
          <w:tcPr>
            <w:tcW w:w="2202" w:type="dxa"/>
            <w:shd w:val="clear" w:color="auto" w:fill="FFFFFF" w:themeFill="background1"/>
          </w:tcPr>
          <w:p w14:paraId="1EC1D4B1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2.9±1.0</w:t>
            </w:r>
          </w:p>
        </w:tc>
      </w:tr>
      <w:tr w:rsidR="00F25EB5" w:rsidRPr="00FF74AF" w14:paraId="7FD7F14B" w14:textId="77777777" w:rsidTr="00511CFD">
        <w:trPr>
          <w:trHeight w:val="100"/>
          <w:jc w:val="center"/>
        </w:trPr>
        <w:tc>
          <w:tcPr>
            <w:tcW w:w="4988" w:type="dxa"/>
            <w:shd w:val="clear" w:color="auto" w:fill="FFFFFF" w:themeFill="background1"/>
          </w:tcPr>
          <w:p w14:paraId="3B3CB74C" w14:textId="77777777" w:rsidR="00F25EB5" w:rsidRPr="007878AD" w:rsidRDefault="00F25EB5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878AD">
              <w:rPr>
                <w:rFonts w:asciiTheme="minorHAnsi" w:hAnsiTheme="minorHAnsi" w:cstheme="minorHAnsi"/>
                <w:b/>
                <w:bCs/>
                <w:lang w:val="en-GB"/>
              </w:rPr>
              <w:t>ACT score at the index date (N=67; N=94)</w:t>
            </w:r>
          </w:p>
        </w:tc>
        <w:tc>
          <w:tcPr>
            <w:tcW w:w="1888" w:type="dxa"/>
            <w:shd w:val="clear" w:color="auto" w:fill="FFFFFF" w:themeFill="background1"/>
          </w:tcPr>
          <w:p w14:paraId="2350A1BF" w14:textId="77777777" w:rsidR="00F25EB5" w:rsidRPr="007878AD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15.4±5.0</w:t>
            </w:r>
          </w:p>
        </w:tc>
        <w:tc>
          <w:tcPr>
            <w:tcW w:w="2202" w:type="dxa"/>
            <w:shd w:val="clear" w:color="auto" w:fill="FFFFFF" w:themeFill="background1"/>
          </w:tcPr>
          <w:p w14:paraId="6759ECA2" w14:textId="77777777" w:rsidR="00F25EB5" w:rsidRPr="00566182" w:rsidRDefault="00F25EB5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878AD">
              <w:rPr>
                <w:rFonts w:asciiTheme="minorHAnsi" w:hAnsiTheme="minorHAnsi" w:cstheme="minorHAnsi"/>
                <w:lang w:val="en-GB"/>
              </w:rPr>
              <w:t>14.2±4.4</w:t>
            </w:r>
          </w:p>
        </w:tc>
      </w:tr>
    </w:tbl>
    <w:p w14:paraId="1A50C069" w14:textId="77777777" w:rsidR="00F25EB5" w:rsidRPr="00C7327B" w:rsidRDefault="00F25EB5" w:rsidP="00F25EB5">
      <w:pPr>
        <w:pStyle w:val="Paragrafoelenco"/>
        <w:spacing w:line="240" w:lineRule="auto"/>
        <w:ind w:left="284"/>
        <w:rPr>
          <w:rFonts w:asciiTheme="minorHAnsi" w:hAnsiTheme="minorHAnsi" w:cstheme="minorHAnsi"/>
          <w:i/>
          <w:iCs/>
          <w:sz w:val="18"/>
          <w:szCs w:val="18"/>
          <w:lang w:val="en-GB"/>
        </w:rPr>
      </w:pPr>
      <w:r w:rsidRPr="00C7327B">
        <w:rPr>
          <w:rFonts w:asciiTheme="minorHAnsi" w:hAnsiTheme="minorHAnsi" w:cstheme="minorHAnsi"/>
          <w:i/>
          <w:iCs/>
          <w:sz w:val="18"/>
          <w:szCs w:val="18"/>
          <w:lang w:val="en-GB"/>
        </w:rPr>
        <w:t xml:space="preserve">Abbreviations: </w:t>
      </w:r>
      <w:r w:rsidRPr="00722C64">
        <w:rPr>
          <w:rFonts w:asciiTheme="minorHAnsi" w:hAnsiTheme="minorHAnsi" w:cstheme="minorHAnsi"/>
          <w:i/>
          <w:iCs/>
          <w:sz w:val="18"/>
          <w:szCs w:val="18"/>
          <w:lang w:val="en-GB"/>
        </w:rPr>
        <w:t>yrs, years; BMI, body mass index; GERD, gastroesophageal reflux disease; OCS, oral corticosteroids; AER, annual exacerbation rate; FEV</w:t>
      </w:r>
      <w:r w:rsidRPr="005C5BB0">
        <w:rPr>
          <w:rFonts w:asciiTheme="minorHAnsi" w:hAnsiTheme="minorHAnsi" w:cstheme="minorHAnsi"/>
          <w:i/>
          <w:sz w:val="18"/>
          <w:szCs w:val="18"/>
          <w:vertAlign w:val="subscript"/>
          <w:lang w:val="en-GB"/>
        </w:rPr>
        <w:t>1</w:t>
      </w:r>
      <w:r w:rsidRPr="00722C64">
        <w:rPr>
          <w:rFonts w:asciiTheme="minorHAnsi" w:hAnsiTheme="minorHAnsi" w:cstheme="minorHAnsi"/>
          <w:i/>
          <w:iCs/>
          <w:sz w:val="18"/>
          <w:szCs w:val="18"/>
          <w:lang w:val="en-GB"/>
        </w:rPr>
        <w:t>, forced expiratory volume in 1 second; FVC, forced vital capacity; ACT, asthma control test</w:t>
      </w:r>
      <w:r>
        <w:rPr>
          <w:rFonts w:asciiTheme="minorHAnsi" w:hAnsiTheme="minorHAnsi" w:cstheme="minorHAnsi"/>
          <w:i/>
          <w:iCs/>
          <w:sz w:val="18"/>
          <w:szCs w:val="18"/>
          <w:lang w:val="en-GB"/>
        </w:rPr>
        <w:t>.</w:t>
      </w:r>
    </w:p>
    <w:p w14:paraId="26F240DB" w14:textId="77777777" w:rsidR="00F25EB5" w:rsidRDefault="00F25EB5" w:rsidP="00F25EB5">
      <w:pPr>
        <w:pStyle w:val="Paragrafoelenco"/>
        <w:spacing w:after="0" w:line="480" w:lineRule="auto"/>
        <w:ind w:left="284"/>
        <w:rPr>
          <w:rFonts w:asciiTheme="minorHAnsi" w:hAnsiTheme="minorHAnsi" w:cstheme="minorHAnsi"/>
          <w:szCs w:val="24"/>
          <w:lang w:val="en-GB"/>
        </w:rPr>
      </w:pPr>
    </w:p>
    <w:p w14:paraId="61DBDE98" w14:textId="77777777" w:rsidR="00183685" w:rsidRPr="00F25EB5" w:rsidRDefault="00183685">
      <w:pPr>
        <w:rPr>
          <w:lang w:val="en-GB"/>
        </w:rPr>
      </w:pPr>
    </w:p>
    <w:sectPr w:rsidR="00183685" w:rsidRPr="00F25EB5" w:rsidSect="004B03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B5"/>
    <w:rsid w:val="00183685"/>
    <w:rsid w:val="004B03CA"/>
    <w:rsid w:val="00513B63"/>
    <w:rsid w:val="00614B58"/>
    <w:rsid w:val="006D07C4"/>
    <w:rsid w:val="00F2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CDB2"/>
  <w15:chartTrackingRefBased/>
  <w15:docId w15:val="{B3656D1C-620B-4BB7-B4D8-79A711CE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5E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en-GB"/>
    </w:rPr>
  </w:style>
  <w:style w:type="paragraph" w:styleId="Titolo1">
    <w:name w:val="heading 1"/>
    <w:basedOn w:val="Normale"/>
    <w:link w:val="Titolo1Carattere"/>
    <w:uiPriority w:val="9"/>
    <w:qFormat/>
    <w:rsid w:val="006D07C4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07C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aragrafoelenco">
    <w:name w:val="List Paragraph"/>
    <w:basedOn w:val="Normale"/>
    <w:uiPriority w:val="34"/>
    <w:qFormat/>
    <w:rsid w:val="006D07C4"/>
    <w:pPr>
      <w:autoSpaceDE/>
      <w:autoSpaceDN/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table" w:styleId="Grigliatabella">
    <w:name w:val="Table Grid"/>
    <w:basedOn w:val="Tabellanormale"/>
    <w:uiPriority w:val="39"/>
    <w:rsid w:val="00F25EB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Ricci</dc:creator>
  <cp:keywords/>
  <dc:description/>
  <cp:lastModifiedBy>Francesco Menzella</cp:lastModifiedBy>
  <cp:revision>2</cp:revision>
  <dcterms:created xsi:type="dcterms:W3CDTF">2022-02-11T09:26:00Z</dcterms:created>
  <dcterms:modified xsi:type="dcterms:W3CDTF">2022-02-11T09:26:00Z</dcterms:modified>
</cp:coreProperties>
</file>