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6570B" w14:textId="23A2AD1F" w:rsidR="00B611C2" w:rsidRDefault="00B611C2">
      <w:bookmarkStart w:id="0" w:name="_GoBack"/>
      <w:bookmarkEnd w:id="0"/>
    </w:p>
    <w:p w14:paraId="6484690C" w14:textId="238B81C7" w:rsidR="005A77E7" w:rsidRDefault="00142F6D">
      <w:r>
        <w:rPr>
          <w:noProof/>
          <w:lang w:val="en-US"/>
        </w:rPr>
        <w:drawing>
          <wp:inline distT="0" distB="0" distL="0" distR="0" wp14:anchorId="28CFE7E0" wp14:editId="44D62A11">
            <wp:extent cx="5285963" cy="6886575"/>
            <wp:effectExtent l="0" t="0" r="0" b="0"/>
            <wp:docPr id="1" name="Picture 1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47" cy="69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B8A2" w14:textId="628D61C1" w:rsidR="00F50BC2" w:rsidRDefault="00F50BC2" w:rsidP="00F50BC2">
      <w:pPr>
        <w:pStyle w:val="Caption"/>
      </w:pPr>
      <w:r>
        <w:t xml:space="preserve">Figure 3: Results across 8 SF-36 domains compared with normative population data {Jenkinson, 1993 #47} at T1, T2 and T3. Kruskal-Wallis test with post-hoc Dunn’s multiple comparison test used to assess differences. ns=not significant. </w:t>
      </w:r>
    </w:p>
    <w:p w14:paraId="294960C9" w14:textId="77777777" w:rsidR="00F50BC2" w:rsidRDefault="00F50BC2"/>
    <w:sectPr w:rsidR="00F50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C2"/>
    <w:rsid w:val="00142F6D"/>
    <w:rsid w:val="002F47A5"/>
    <w:rsid w:val="00532D4F"/>
    <w:rsid w:val="005A77E7"/>
    <w:rsid w:val="00927C00"/>
    <w:rsid w:val="00B611C2"/>
    <w:rsid w:val="00F5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0C764"/>
  <w15:chartTrackingRefBased/>
  <w15:docId w15:val="{10AF8EB6-BC27-4644-9522-1D37CAF2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50B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5A77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O'Brien</dc:creator>
  <cp:keywords/>
  <dc:description/>
  <cp:lastModifiedBy>O Brien, Kate (Physiotherapy)</cp:lastModifiedBy>
  <cp:revision>2</cp:revision>
  <dcterms:created xsi:type="dcterms:W3CDTF">2022-03-18T15:38:00Z</dcterms:created>
  <dcterms:modified xsi:type="dcterms:W3CDTF">2022-03-18T15:38:00Z</dcterms:modified>
</cp:coreProperties>
</file>