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51760" w14:textId="66FCA469" w:rsidR="007116FD" w:rsidRPr="006044B9" w:rsidRDefault="007116FD" w:rsidP="007116FD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</w:pPr>
      <w:r w:rsidRPr="006044B9">
        <w:rPr>
          <w:rFonts w:ascii="Times New Roman" w:hAnsi="Times New Roman"/>
          <w:b/>
          <w:bCs/>
          <w:color w:val="auto"/>
          <w:sz w:val="24"/>
          <w:szCs w:val="24"/>
          <w:lang w:bidi="en-US"/>
        </w:rPr>
        <w:t>Table S5.</w:t>
      </w: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 xml:space="preserve"> Unadjusted and adjusted HRs related to 1-year mortality according to </w:t>
      </w:r>
      <w:r w:rsidR="00906FA4" w:rsidRPr="006044B9">
        <w:rPr>
          <w:rFonts w:ascii="Times New Roman" w:hAnsi="Times New Roman"/>
          <w:color w:val="auto"/>
          <w:sz w:val="24"/>
          <w:szCs w:val="24"/>
          <w:lang w:bidi="en-US"/>
        </w:rPr>
        <w:t xml:space="preserve">the number of </w:t>
      </w: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>IgG subclass deficiency in stable COPD</w:t>
      </w:r>
      <w:r w:rsidR="00387428" w:rsidRPr="006044B9">
        <w:rPr>
          <w:rFonts w:ascii="Times New Roman" w:hAnsi="Times New Roman"/>
          <w:color w:val="auto"/>
          <w:sz w:val="24"/>
          <w:szCs w:val="24"/>
          <w:lang w:bidi="en-US"/>
        </w:rPr>
        <w:t xml:space="preserve"> patients</w:t>
      </w:r>
    </w:p>
    <w:tbl>
      <w:tblPr>
        <w:tblStyle w:val="a3"/>
        <w:tblW w:w="135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86"/>
        <w:gridCol w:w="1283"/>
        <w:gridCol w:w="2569"/>
        <w:gridCol w:w="2568"/>
        <w:gridCol w:w="1286"/>
        <w:gridCol w:w="2202"/>
        <w:gridCol w:w="1285"/>
      </w:tblGrid>
      <w:tr w:rsidR="006044B9" w:rsidRPr="006044B9" w14:paraId="7D5498E6" w14:textId="77777777" w:rsidTr="007037E0">
        <w:trPr>
          <w:trHeight w:val="506"/>
        </w:trPr>
        <w:tc>
          <w:tcPr>
            <w:tcW w:w="238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45E97A4" w14:textId="77777777" w:rsidR="007116FD" w:rsidRPr="006044B9" w:rsidRDefault="007116FD" w:rsidP="00473C6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Number of IgG deficiency</w:t>
            </w:r>
          </w:p>
        </w:tc>
        <w:tc>
          <w:tcPr>
            <w:tcW w:w="128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BEC3949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Number at risk</w:t>
            </w:r>
          </w:p>
        </w:tc>
        <w:tc>
          <w:tcPr>
            <w:tcW w:w="256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05E5CAC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1-year mortality</w:t>
            </w:r>
          </w:p>
        </w:tc>
        <w:tc>
          <w:tcPr>
            <w:tcW w:w="3854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F15D9F9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Unadjusted model</w:t>
            </w:r>
          </w:p>
        </w:tc>
        <w:tc>
          <w:tcPr>
            <w:tcW w:w="3487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457F4BC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Adjusted model</w:t>
            </w:r>
            <w:r w:rsidRPr="006044B9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  <w:lang w:bidi="en-US"/>
              </w:rPr>
              <w:t>*</w:t>
            </w:r>
          </w:p>
        </w:tc>
      </w:tr>
      <w:tr w:rsidR="006044B9" w:rsidRPr="006044B9" w14:paraId="22C17A80" w14:textId="77777777" w:rsidTr="007037E0">
        <w:trPr>
          <w:trHeight w:val="506"/>
        </w:trPr>
        <w:tc>
          <w:tcPr>
            <w:tcW w:w="2386" w:type="dxa"/>
            <w:vMerge/>
            <w:tcBorders>
              <w:left w:val="nil"/>
              <w:right w:val="nil"/>
            </w:tcBorders>
            <w:vAlign w:val="center"/>
          </w:tcPr>
          <w:p w14:paraId="317AB022" w14:textId="77777777" w:rsidR="007116FD" w:rsidRPr="006044B9" w:rsidRDefault="007116FD" w:rsidP="00473C6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  <w:tc>
          <w:tcPr>
            <w:tcW w:w="1283" w:type="dxa"/>
            <w:vMerge/>
            <w:tcBorders>
              <w:left w:val="nil"/>
              <w:right w:val="nil"/>
            </w:tcBorders>
            <w:vAlign w:val="center"/>
          </w:tcPr>
          <w:p w14:paraId="4AC3D680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  <w:tc>
          <w:tcPr>
            <w:tcW w:w="2569" w:type="dxa"/>
            <w:vMerge/>
            <w:tcBorders>
              <w:left w:val="nil"/>
              <w:right w:val="nil"/>
            </w:tcBorders>
            <w:vAlign w:val="center"/>
          </w:tcPr>
          <w:p w14:paraId="5608D7A5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1E154362" w14:textId="77777777" w:rsidR="007037E0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Unadjusted HR </w:t>
            </w:r>
          </w:p>
          <w:p w14:paraId="2C45CB68" w14:textId="68479B14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(95% CI)</w:t>
            </w:r>
          </w:p>
        </w:tc>
        <w:tc>
          <w:tcPr>
            <w:tcW w:w="1286" w:type="dxa"/>
            <w:tcBorders>
              <w:left w:val="nil"/>
              <w:right w:val="nil"/>
            </w:tcBorders>
            <w:vAlign w:val="center"/>
          </w:tcPr>
          <w:p w14:paraId="0C990EEE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p value</w:t>
            </w:r>
          </w:p>
        </w:tc>
        <w:tc>
          <w:tcPr>
            <w:tcW w:w="2202" w:type="dxa"/>
            <w:tcBorders>
              <w:left w:val="nil"/>
              <w:right w:val="nil"/>
            </w:tcBorders>
            <w:vAlign w:val="center"/>
          </w:tcPr>
          <w:p w14:paraId="66DE7223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Adjusted HR</w:t>
            </w:r>
          </w:p>
          <w:p w14:paraId="7ECD92F6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(95% CI)</w:t>
            </w:r>
          </w:p>
        </w:tc>
        <w:tc>
          <w:tcPr>
            <w:tcW w:w="1284" w:type="dxa"/>
            <w:tcBorders>
              <w:left w:val="nil"/>
              <w:right w:val="nil"/>
            </w:tcBorders>
            <w:vAlign w:val="center"/>
          </w:tcPr>
          <w:p w14:paraId="2F8BD6F0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p value</w:t>
            </w:r>
          </w:p>
        </w:tc>
      </w:tr>
      <w:tr w:rsidR="006044B9" w:rsidRPr="006044B9" w14:paraId="68738E9B" w14:textId="77777777" w:rsidTr="007037E0">
        <w:trPr>
          <w:trHeight w:val="506"/>
        </w:trPr>
        <w:tc>
          <w:tcPr>
            <w:tcW w:w="2386" w:type="dxa"/>
            <w:tcBorders>
              <w:left w:val="nil"/>
              <w:right w:val="nil"/>
            </w:tcBorders>
            <w:vAlign w:val="center"/>
          </w:tcPr>
          <w:p w14:paraId="738534A6" w14:textId="77777777" w:rsidR="007116FD" w:rsidRPr="006044B9" w:rsidRDefault="007116FD" w:rsidP="00473C6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14:paraId="5841AE54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</w:pPr>
            <w:r w:rsidRPr="006044B9">
              <w:rPr>
                <w:rFonts w:ascii="Times New Roman" w:eastAsiaTheme="minorEastAsia" w:hAnsi="Times New Roman" w:hint="eastAsia"/>
                <w:color w:val="auto"/>
                <w:sz w:val="24"/>
                <w:szCs w:val="24"/>
                <w:lang w:eastAsia="ko-KR" w:bidi="en-US"/>
              </w:rPr>
              <w:t>1</w:t>
            </w:r>
            <w:r w:rsidRPr="006044B9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  <w:t>04</w:t>
            </w:r>
          </w:p>
        </w:tc>
        <w:tc>
          <w:tcPr>
            <w:tcW w:w="2569" w:type="dxa"/>
            <w:tcBorders>
              <w:left w:val="nil"/>
              <w:right w:val="nil"/>
            </w:tcBorders>
            <w:vAlign w:val="center"/>
          </w:tcPr>
          <w:p w14:paraId="6AC9A740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5.8% (6/104)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5522412D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Reference</w:t>
            </w:r>
          </w:p>
        </w:tc>
        <w:tc>
          <w:tcPr>
            <w:tcW w:w="1286" w:type="dxa"/>
            <w:tcBorders>
              <w:left w:val="nil"/>
              <w:right w:val="nil"/>
            </w:tcBorders>
            <w:vAlign w:val="center"/>
          </w:tcPr>
          <w:p w14:paraId="1E2B502A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  <w:tc>
          <w:tcPr>
            <w:tcW w:w="2202" w:type="dxa"/>
            <w:tcBorders>
              <w:left w:val="nil"/>
              <w:right w:val="nil"/>
            </w:tcBorders>
            <w:vAlign w:val="center"/>
          </w:tcPr>
          <w:p w14:paraId="7EAF158C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Reference</w:t>
            </w:r>
          </w:p>
        </w:tc>
        <w:tc>
          <w:tcPr>
            <w:tcW w:w="1284" w:type="dxa"/>
            <w:tcBorders>
              <w:left w:val="nil"/>
              <w:right w:val="nil"/>
            </w:tcBorders>
            <w:vAlign w:val="center"/>
          </w:tcPr>
          <w:p w14:paraId="1DDAA834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</w:tr>
      <w:tr w:rsidR="006044B9" w:rsidRPr="006044B9" w14:paraId="28AA534E" w14:textId="77777777" w:rsidTr="007037E0">
        <w:trPr>
          <w:trHeight w:val="506"/>
        </w:trPr>
        <w:tc>
          <w:tcPr>
            <w:tcW w:w="2386" w:type="dxa"/>
            <w:tcBorders>
              <w:left w:val="nil"/>
              <w:right w:val="nil"/>
            </w:tcBorders>
            <w:vAlign w:val="center"/>
          </w:tcPr>
          <w:p w14:paraId="3432C798" w14:textId="77777777" w:rsidR="007116FD" w:rsidRPr="006044B9" w:rsidRDefault="007116FD" w:rsidP="00473C6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14:paraId="1B1FF2A7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20</w:t>
            </w:r>
          </w:p>
        </w:tc>
        <w:tc>
          <w:tcPr>
            <w:tcW w:w="2569" w:type="dxa"/>
            <w:tcBorders>
              <w:left w:val="nil"/>
              <w:right w:val="nil"/>
            </w:tcBorders>
            <w:vAlign w:val="center"/>
          </w:tcPr>
          <w:p w14:paraId="33ACC1BE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5.0% (1/20)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05915E09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0.85 (0.10–7.02)</w:t>
            </w:r>
          </w:p>
        </w:tc>
        <w:tc>
          <w:tcPr>
            <w:tcW w:w="1286" w:type="dxa"/>
            <w:tcBorders>
              <w:left w:val="nil"/>
              <w:right w:val="nil"/>
            </w:tcBorders>
            <w:vAlign w:val="center"/>
          </w:tcPr>
          <w:p w14:paraId="34D121BD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0.876</w:t>
            </w:r>
          </w:p>
        </w:tc>
        <w:tc>
          <w:tcPr>
            <w:tcW w:w="2202" w:type="dxa"/>
            <w:tcBorders>
              <w:left w:val="nil"/>
              <w:right w:val="nil"/>
            </w:tcBorders>
            <w:vAlign w:val="center"/>
          </w:tcPr>
          <w:p w14:paraId="5608186A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0.77 (0.09–6.80)</w:t>
            </w:r>
          </w:p>
        </w:tc>
        <w:tc>
          <w:tcPr>
            <w:tcW w:w="1284" w:type="dxa"/>
            <w:tcBorders>
              <w:left w:val="nil"/>
              <w:right w:val="nil"/>
            </w:tcBorders>
            <w:vAlign w:val="center"/>
          </w:tcPr>
          <w:p w14:paraId="0F9D82A9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</w:pPr>
            <w:r w:rsidRPr="006044B9">
              <w:rPr>
                <w:rFonts w:ascii="Times New Roman" w:eastAsiaTheme="minorEastAsia" w:hAnsi="Times New Roman" w:hint="eastAsia"/>
                <w:color w:val="auto"/>
                <w:sz w:val="24"/>
                <w:szCs w:val="24"/>
                <w:lang w:eastAsia="ko-KR" w:bidi="en-US"/>
              </w:rPr>
              <w:t>0</w:t>
            </w:r>
            <w:r w:rsidRPr="006044B9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  <w:t>.812</w:t>
            </w:r>
          </w:p>
        </w:tc>
      </w:tr>
      <w:tr w:rsidR="006044B9" w:rsidRPr="006044B9" w14:paraId="1FA58AF0" w14:textId="77777777" w:rsidTr="007037E0">
        <w:trPr>
          <w:trHeight w:val="506"/>
        </w:trPr>
        <w:tc>
          <w:tcPr>
            <w:tcW w:w="2386" w:type="dxa"/>
            <w:tcBorders>
              <w:left w:val="nil"/>
              <w:right w:val="nil"/>
            </w:tcBorders>
            <w:vAlign w:val="center"/>
          </w:tcPr>
          <w:p w14:paraId="294A9CDF" w14:textId="77777777" w:rsidR="007116FD" w:rsidRPr="006044B9" w:rsidRDefault="007116FD" w:rsidP="00473C6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 or more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14:paraId="2E70E011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8</w:t>
            </w:r>
          </w:p>
        </w:tc>
        <w:tc>
          <w:tcPr>
            <w:tcW w:w="2569" w:type="dxa"/>
            <w:tcBorders>
              <w:left w:val="nil"/>
              <w:right w:val="nil"/>
            </w:tcBorders>
            <w:vAlign w:val="center"/>
          </w:tcPr>
          <w:p w14:paraId="3B50C9D6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25.0% (2/8)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255BF288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4.24 (0.86–21.01)</w:t>
            </w:r>
          </w:p>
        </w:tc>
        <w:tc>
          <w:tcPr>
            <w:tcW w:w="1286" w:type="dxa"/>
            <w:tcBorders>
              <w:left w:val="nil"/>
              <w:right w:val="nil"/>
            </w:tcBorders>
            <w:vAlign w:val="center"/>
          </w:tcPr>
          <w:p w14:paraId="53741270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0.077</w:t>
            </w:r>
          </w:p>
        </w:tc>
        <w:tc>
          <w:tcPr>
            <w:tcW w:w="2202" w:type="dxa"/>
            <w:tcBorders>
              <w:left w:val="nil"/>
              <w:right w:val="nil"/>
            </w:tcBorders>
            <w:vAlign w:val="center"/>
          </w:tcPr>
          <w:p w14:paraId="26F43405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6044B9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5.15 (0.83–31.76)</w:t>
            </w:r>
          </w:p>
        </w:tc>
        <w:tc>
          <w:tcPr>
            <w:tcW w:w="1284" w:type="dxa"/>
            <w:tcBorders>
              <w:left w:val="nil"/>
              <w:right w:val="nil"/>
            </w:tcBorders>
            <w:vAlign w:val="center"/>
          </w:tcPr>
          <w:p w14:paraId="017C7BC9" w14:textId="77777777" w:rsidR="007116FD" w:rsidRPr="006044B9" w:rsidRDefault="007116FD" w:rsidP="00473C6B">
            <w:pPr>
              <w:spacing w:line="276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</w:pPr>
            <w:r w:rsidRPr="006044B9">
              <w:rPr>
                <w:rFonts w:ascii="Times New Roman" w:eastAsiaTheme="minorEastAsia" w:hAnsi="Times New Roman" w:hint="eastAsia"/>
                <w:color w:val="auto"/>
                <w:sz w:val="24"/>
                <w:szCs w:val="24"/>
                <w:lang w:eastAsia="ko-KR" w:bidi="en-US"/>
              </w:rPr>
              <w:t>0</w:t>
            </w:r>
            <w:r w:rsidRPr="006044B9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  <w:t>.078</w:t>
            </w:r>
          </w:p>
        </w:tc>
      </w:tr>
    </w:tbl>
    <w:p w14:paraId="2CCFE684" w14:textId="77777777" w:rsidR="007116FD" w:rsidRPr="006044B9" w:rsidRDefault="007116FD" w:rsidP="007116FD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</w:pP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>Data are presented as number, percentage, or ratios (95% CIs).</w:t>
      </w:r>
    </w:p>
    <w:p w14:paraId="3ECB2650" w14:textId="4BE6CAAD" w:rsidR="007116FD" w:rsidRPr="006044B9" w:rsidRDefault="007116FD" w:rsidP="007116FD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</w:pPr>
      <w:r w:rsidRPr="006044B9">
        <w:rPr>
          <w:rFonts w:ascii="Times New Roman" w:hAnsi="Times New Roman"/>
          <w:color w:val="auto"/>
          <w:sz w:val="24"/>
          <w:szCs w:val="24"/>
          <w:vertAlign w:val="superscript"/>
          <w:lang w:bidi="en-US"/>
        </w:rPr>
        <w:t>*</w:t>
      </w: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>Adjusted for age, sex, ethnicity (white vs. other ethnicities), smoking status (current vs. non-current), asthma status, and cardiac comorbidity status.</w:t>
      </w:r>
    </w:p>
    <w:p w14:paraId="6190F950" w14:textId="3971F31E" w:rsidR="0001233E" w:rsidRPr="006044B9" w:rsidRDefault="007116FD" w:rsidP="007116FD">
      <w:pPr>
        <w:spacing w:line="276" w:lineRule="auto"/>
        <w:jc w:val="left"/>
        <w:rPr>
          <w:color w:val="auto"/>
        </w:rPr>
      </w:pPr>
      <w:r w:rsidRPr="006044B9">
        <w:rPr>
          <w:rFonts w:ascii="Times New Roman" w:hAnsi="Times New Roman"/>
          <w:b/>
          <w:i/>
          <w:color w:val="auto"/>
          <w:sz w:val="24"/>
          <w:szCs w:val="24"/>
          <w:lang w:bidi="en-US"/>
        </w:rPr>
        <w:t xml:space="preserve">Abbreviations: </w:t>
      </w: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 xml:space="preserve">HR, hazard ratio; IgG, immunoglobulin G; </w:t>
      </w:r>
      <w:r w:rsidR="00387428" w:rsidRPr="006044B9">
        <w:rPr>
          <w:rFonts w:ascii="Times New Roman" w:hAnsi="Times New Roman"/>
          <w:bCs/>
          <w:iCs/>
          <w:color w:val="auto"/>
          <w:sz w:val="24"/>
          <w:szCs w:val="24"/>
          <w:lang w:bidi="en-US"/>
        </w:rPr>
        <w:t xml:space="preserve">COPD, chronic obstructive pulmonary disease; </w:t>
      </w:r>
      <w:r w:rsidRPr="006044B9">
        <w:rPr>
          <w:rFonts w:ascii="Times New Roman" w:hAnsi="Times New Roman"/>
          <w:color w:val="auto"/>
          <w:sz w:val="24"/>
          <w:szCs w:val="24"/>
          <w:lang w:bidi="en-US"/>
        </w:rPr>
        <w:t>CI, confidence interval.</w:t>
      </w:r>
    </w:p>
    <w:sectPr w:rsidR="0001233E" w:rsidRPr="006044B9" w:rsidSect="007116F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A3963" w14:textId="77777777" w:rsidR="00387428" w:rsidRDefault="00387428" w:rsidP="00387428">
      <w:pPr>
        <w:spacing w:line="240" w:lineRule="auto"/>
      </w:pPr>
      <w:r>
        <w:separator/>
      </w:r>
    </w:p>
  </w:endnote>
  <w:endnote w:type="continuationSeparator" w:id="0">
    <w:p w14:paraId="006BB24D" w14:textId="77777777" w:rsidR="00387428" w:rsidRDefault="00387428" w:rsidP="003874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7E80E" w14:textId="77777777" w:rsidR="00387428" w:rsidRDefault="00387428" w:rsidP="00387428">
      <w:pPr>
        <w:spacing w:line="240" w:lineRule="auto"/>
      </w:pPr>
      <w:r>
        <w:separator/>
      </w:r>
    </w:p>
  </w:footnote>
  <w:footnote w:type="continuationSeparator" w:id="0">
    <w:p w14:paraId="3E024497" w14:textId="77777777" w:rsidR="00387428" w:rsidRDefault="00387428" w:rsidP="0038742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0NLW0MDMyNjIwMjRW0lEKTi0uzszPAykwqgUAdcIe0ywAAAA="/>
  </w:docVars>
  <w:rsids>
    <w:rsidRoot w:val="007116FD"/>
    <w:rsid w:val="0001233E"/>
    <w:rsid w:val="00215165"/>
    <w:rsid w:val="00387428"/>
    <w:rsid w:val="006044B9"/>
    <w:rsid w:val="007037E0"/>
    <w:rsid w:val="007116FD"/>
    <w:rsid w:val="0090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569AF0"/>
  <w15:chartTrackingRefBased/>
  <w15:docId w15:val="{2E1E5FCE-4D58-43A6-834B-7E3BC74A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FD"/>
    <w:pPr>
      <w:spacing w:after="0" w:line="260" w:lineRule="atLeast"/>
    </w:pPr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6FD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8742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87428"/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  <w:style w:type="paragraph" w:styleId="a5">
    <w:name w:val="footer"/>
    <w:basedOn w:val="a"/>
    <w:link w:val="Char0"/>
    <w:uiPriority w:val="99"/>
    <w:unhideWhenUsed/>
    <w:rsid w:val="0038742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87428"/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이현</dc:creator>
  <cp:keywords/>
  <dc:description/>
  <cp:lastModifiedBy>이현</cp:lastModifiedBy>
  <cp:revision>2</cp:revision>
  <dcterms:created xsi:type="dcterms:W3CDTF">2022-04-20T20:42:00Z</dcterms:created>
  <dcterms:modified xsi:type="dcterms:W3CDTF">2022-04-20T20:42:00Z</dcterms:modified>
</cp:coreProperties>
</file>