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Journal: </w:t>
      </w:r>
      <w:r w:rsidDel="00000000" w:rsidR="00000000" w:rsidRPr="00000000">
        <w:rPr>
          <w:rFonts w:ascii="Arial" w:cs="Arial" w:eastAsia="Arial" w:hAnsi="Arial"/>
          <w:rtl w:val="0"/>
        </w:rPr>
        <w:t xml:space="preserve">Respiratory Research – BioMed Central 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Title: </w:t>
      </w:r>
      <w:r w:rsidDel="00000000" w:rsidR="00000000" w:rsidRPr="00000000">
        <w:rPr>
          <w:rFonts w:ascii="Arial" w:cs="Arial" w:eastAsia="Arial" w:hAnsi="Arial"/>
          <w:rtl w:val="0"/>
        </w:rPr>
        <w:t xml:space="preserve">Endotracheal Tube Microbiome in Hospitalized Patients Defined Largely by Hospital Environment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Authors: </w:t>
      </w:r>
      <w:r w:rsidDel="00000000" w:rsidR="00000000" w:rsidRPr="00000000">
        <w:rPr>
          <w:rFonts w:ascii="Arial" w:cs="Arial" w:eastAsia="Arial" w:hAnsi="Arial"/>
          <w:rtl w:val="0"/>
        </w:rPr>
        <w:t xml:space="preserve">Erika Alejandra Cifuentes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, María Alejandra Sierra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1,2</w:t>
      </w:r>
      <w:r w:rsidDel="00000000" w:rsidR="00000000" w:rsidRPr="00000000">
        <w:rPr>
          <w:rFonts w:ascii="Arial" w:cs="Arial" w:eastAsia="Arial" w:hAnsi="Arial"/>
          <w:rtl w:val="0"/>
        </w:rPr>
        <w:t xml:space="preserve">, Andrés Felipe Yepes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rtl w:val="0"/>
        </w:rPr>
        <w:t xml:space="preserve">, Ana Margarita Baldión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rtl w:val="0"/>
        </w:rPr>
        <w:t xml:space="preserve">, José Antonio Rojas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rtl w:val="0"/>
        </w:rPr>
        <w:t xml:space="preserve">, Carlos Arturo Álvarez-Moreno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rtl w:val="0"/>
        </w:rPr>
        <w:t xml:space="preserve">, Juan Manuel Anzola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, María Mercedes Zambrano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, Mónica G Huertas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1,5*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*Corresponding autor: </w:t>
      </w:r>
      <w:hyperlink r:id="rId7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mogahuertas@gmail.com</w:t>
        </w:r>
      </w:hyperlink>
      <w:r w:rsidDel="00000000" w:rsidR="00000000" w:rsidRPr="00000000">
        <w:rPr>
          <w:rFonts w:ascii="Arial" w:cs="Arial" w:eastAsia="Arial" w:hAnsi="Arial"/>
          <w:color w:val="0563c1"/>
          <w:u w:val="single"/>
          <w:rtl w:val="0"/>
        </w:rPr>
        <w:t xml:space="preserve">, monica.huertas01@uptc.edu.co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Additional files 1</w:t>
      </w:r>
    </w:p>
    <w:p w:rsidR="00000000" w:rsidDel="00000000" w:rsidP="00000000" w:rsidRDefault="00000000" w:rsidRPr="00000000" w14:paraId="00000009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Supplementary Figures</w:t>
      </w:r>
    </w:p>
    <w:p w:rsidR="00000000" w:rsidDel="00000000" w:rsidP="00000000" w:rsidRDefault="00000000" w:rsidRPr="00000000" w14:paraId="0000000B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5612130" cy="4073525"/>
            <wp:effectExtent b="0" l="0" r="0" t="0"/>
            <wp:docPr descr="Diagram&#10;&#10;Description automatically generated" id="1684" name="image2.png"/>
            <a:graphic>
              <a:graphicData uri="http://schemas.openxmlformats.org/drawingml/2006/picture">
                <pic:pic>
                  <pic:nvPicPr>
                    <pic:cNvPr descr="Diagram&#10;&#10;Description automatically generated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3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2628900</wp:posOffset>
                </wp:positionV>
                <wp:extent cx="247853" cy="272172"/>
                <wp:effectExtent b="0" l="0" r="0" t="0"/>
                <wp:wrapNone/>
                <wp:docPr id="168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26836" y="3648677"/>
                          <a:ext cx="238328" cy="262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d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2628900</wp:posOffset>
                </wp:positionV>
                <wp:extent cx="247853" cy="272172"/>
                <wp:effectExtent b="0" l="0" r="0" t="0"/>
                <wp:wrapNone/>
                <wp:docPr id="168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853" cy="27217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Figure S1. (a)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Rarefaction curves showing saturation for most samples from ICU-1 and ICU-2.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(b)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Alpha diversity indexes for the clinical characteristics collected. No statistical differences were observed according to Welch t-test, p&gt;0.05. Principal coordinate analysis for extubation reason (death, recovery or tracheostomy)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(c)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and days of intubation (long &gt;16 days, middle 6-15 days, and short 0-5 days)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(d)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 not display differences.</w:t>
      </w:r>
    </w:p>
    <w:p w:rsidR="00000000" w:rsidDel="00000000" w:rsidP="00000000" w:rsidRDefault="00000000" w:rsidRPr="00000000" w14:paraId="0000000E">
      <w:pPr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5943600" cy="5943600"/>
            <wp:effectExtent b="0" l="0" r="0" t="0"/>
            <wp:docPr id="168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Figure S2.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Effects of extubation reason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on bacterial differential abundances.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 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4 OTUs showed significant differences when 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ompari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ng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patients who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died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, recovered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or had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a tracheostomy. All the differences were significant according to the expected P value of Welch’s t-test and the expected P value of the Wilcoxon rank test.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187325</wp:posOffset>
            </wp:positionH>
            <wp:positionV relativeFrom="paragraph">
              <wp:posOffset>-58565</wp:posOffset>
            </wp:positionV>
            <wp:extent cx="5838092" cy="8045202"/>
            <wp:effectExtent b="0" l="0" r="0" t="0"/>
            <wp:wrapNone/>
            <wp:docPr id="168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38092" cy="80452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987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2D">
      <w:pPr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Figure S3.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Effect of beta-lactam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use on OTU abundance.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Significant differences in OTU abundance based on beta-lactam use in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(a)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ICU-1 and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ICU -2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(b).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All the differences were significant according to the expected P value of Welch’s t-test and the expected P value of the Wilcoxon rank test.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5943600" cy="5943600"/>
            <wp:effectExtent b="0" l="0" r="0" t="0"/>
            <wp:docPr id="168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Figure S4.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Effect of glycopeptide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use on OTU abundance.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The use of glycopeptides resulted in significantly different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abundances of  4 OTUs in ICU-2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highlight w:val="whit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All the differences were significant according to the expected P value of Welch’s t-test and the expected P value of the Wilcoxon rank test. 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213C7"/>
    <w:rPr>
      <w:rFonts w:ascii="Times New Roman" w:cs="Times New Roman" w:eastAsia="Times New Roman" w:hAnsi="Times New Roman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Nmerodelnea">
    <w:name w:val="line number"/>
    <w:basedOn w:val="Fuentedeprrafopredeter"/>
    <w:uiPriority w:val="99"/>
    <w:semiHidden w:val="1"/>
    <w:unhideWhenUsed w:val="1"/>
    <w:rsid w:val="004213C7"/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5A38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5A3818"/>
    <w:rPr>
      <w:rFonts w:eastAsia="Calibri"/>
      <w:sz w:val="20"/>
      <w:szCs w:val="20"/>
      <w:lang w:eastAsia="es-ES_tradnl" w:val="es-ES_tradnl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5A3818"/>
    <w:rPr>
      <w:rFonts w:ascii="Times New Roman" w:cs="Times New Roman" w:eastAsia="Calibri" w:hAnsi="Times New Roman"/>
      <w:sz w:val="20"/>
      <w:szCs w:val="20"/>
      <w:lang w:eastAsia="es-ES_tradnl" w:val="es-ES_tradnl"/>
    </w:rPr>
  </w:style>
  <w:style w:type="character" w:styleId="Hipervnculo">
    <w:name w:val="Hyperlink"/>
    <w:basedOn w:val="Fuentedeprrafopredeter"/>
    <w:uiPriority w:val="99"/>
    <w:unhideWhenUsed w:val="1"/>
    <w:rsid w:val="00FB49FE"/>
    <w:rPr>
      <w:color w:val="0563c1" w:themeColor="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8A36C4"/>
    <w:rPr>
      <w:rFonts w:eastAsia="Times New Roman"/>
      <w:b w:val="1"/>
      <w:bCs w:val="1"/>
      <w:lang w:eastAsia="en-US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8A36C4"/>
    <w:rPr>
      <w:rFonts w:ascii="Times New Roman" w:cs="Times New Roman" w:eastAsia="Times New Roman" w:hAnsi="Times New Roman"/>
      <w:b w:val="1"/>
      <w:bCs w:val="1"/>
      <w:sz w:val="20"/>
      <w:szCs w:val="20"/>
      <w:lang w:eastAsia="es-ES_tradnl" w:val="es-ES_tradn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1.png"/><Relationship Id="rId12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ogahuertas@gmail.com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iAMjApSYk98It5BY9qFd+Rqmmw==">AMUW2mU3JZ6T3To6raJ0eumdbjz58s/MzaG03uv3EV3iyz4AdmgGGtEvysenoZ49xMBkMnMYCkqLRsdnNPjO6uC2luhkpnCjG1cikwTitvn3kpBE0L//a/pH7e0xPcuYZtaca+jLGGfL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2022-04-18T18:42:00Z</dcterms:created>
  <dc:creator>Nury Nathalia Olaya Galan</dc:creator>
</cp:coreProperties>
</file>