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44F" w:rsidRDefault="00585DDB">
      <w:pPr>
        <w:pStyle w:val="Caption"/>
        <w:rPr>
          <w:color w:val="auto"/>
          <w:sz w:val="28"/>
          <w:szCs w:val="22"/>
        </w:rPr>
      </w:pPr>
      <w:bookmarkStart w:id="0" w:name="_Ref92288039"/>
      <w:r>
        <w:rPr>
          <w:color w:val="auto"/>
          <w:sz w:val="22"/>
        </w:rPr>
        <w:t>Additional file 1: Table S</w:t>
      </w:r>
      <w:r>
        <w:rPr>
          <w:color w:val="auto"/>
          <w:sz w:val="22"/>
        </w:rPr>
        <w:fldChar w:fldCharType="begin"/>
      </w:r>
      <w:r>
        <w:rPr>
          <w:color w:val="auto"/>
          <w:sz w:val="22"/>
        </w:rPr>
        <w:instrText xml:space="preserve"> SEQ Table_E \* ARABIC </w:instrText>
      </w:r>
      <w:r>
        <w:rPr>
          <w:color w:val="auto"/>
          <w:sz w:val="22"/>
        </w:rPr>
        <w:fldChar w:fldCharType="separate"/>
      </w:r>
      <w:r>
        <w:rPr>
          <w:noProof/>
          <w:color w:val="auto"/>
          <w:sz w:val="22"/>
        </w:rPr>
        <w:t>1</w:t>
      </w:r>
      <w:r>
        <w:rPr>
          <w:color w:val="auto"/>
          <w:sz w:val="22"/>
        </w:rPr>
        <w:fldChar w:fldCharType="end"/>
      </w:r>
      <w:r>
        <w:rPr>
          <w:color w:val="auto"/>
          <w:sz w:val="22"/>
        </w:rPr>
        <w:t xml:space="preserve"> OPS-codes for identification of procedures relevant for ILD centre classification</w:t>
      </w:r>
    </w:p>
    <w:tbl>
      <w:tblPr>
        <w:tblW w:w="929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60"/>
        <w:gridCol w:w="4536"/>
      </w:tblGrid>
      <w:tr w:rsidR="009B244F">
        <w:trPr>
          <w:trHeight w:val="284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44F" w:rsidRDefault="00585DD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  <w:t>Procedures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44F" w:rsidRDefault="00585DD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  <w:t>OPS-codes</w:t>
            </w:r>
          </w:p>
        </w:tc>
      </w:tr>
      <w:tr w:rsidR="009B244F">
        <w:trPr>
          <w:trHeight w:val="28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44F" w:rsidRDefault="00585DDB">
            <w:pPr>
              <w:pStyle w:val="Compac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Bronchoalveolar lavage </w:t>
            </w:r>
            <w:r>
              <w:rPr>
                <w:rFonts w:cstheme="minorHAnsi"/>
                <w:sz w:val="20"/>
                <w:szCs w:val="20"/>
              </w:rPr>
              <w:t>(BAL)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44F" w:rsidRDefault="00585DD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cstheme="minorHAnsi"/>
                <w:sz w:val="20"/>
                <w:szCs w:val="20"/>
              </w:rPr>
              <w:t>1-160.01</w:t>
            </w:r>
          </w:p>
        </w:tc>
      </w:tr>
      <w:tr w:rsidR="009B244F">
        <w:trPr>
          <w:trHeight w:val="28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44F" w:rsidRDefault="00585DDB">
            <w:pPr>
              <w:pStyle w:val="Compac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Endobronchial ultrasound-guided transbronchial needle aspirations (EBUS-TBNA)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44F" w:rsidRDefault="00585DD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1-430.2; 1-691.0</w:t>
            </w:r>
          </w:p>
        </w:tc>
      </w:tr>
      <w:tr w:rsidR="009B244F">
        <w:trPr>
          <w:trHeight w:val="28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44F" w:rsidRDefault="00585DDB">
            <w:pPr>
              <w:pStyle w:val="Compac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Surgical lung biopsies or transbronchial cryobiopsies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44F" w:rsidRDefault="00585DD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1-426.3</w:t>
            </w:r>
          </w:p>
        </w:tc>
      </w:tr>
    </w:tbl>
    <w:p w:rsidR="009B244F" w:rsidRDefault="00585DDB">
      <w:pPr>
        <w:pStyle w:val="Caption"/>
        <w:rPr>
          <w:b/>
          <w:color w:val="auto"/>
          <w:sz w:val="20"/>
          <w:szCs w:val="22"/>
        </w:rPr>
      </w:pPr>
      <w:r>
        <w:rPr>
          <w:color w:val="auto"/>
          <w:sz w:val="20"/>
        </w:rPr>
        <w:t>OPS: German Version of the International Classification of Procedures in Medicine</w:t>
      </w:r>
    </w:p>
    <w:p w:rsidR="009B244F" w:rsidRDefault="009B244F"/>
    <w:p w:rsidR="009B244F" w:rsidRDefault="009B244F">
      <w:bookmarkStart w:id="1" w:name="_GoBack"/>
      <w:bookmarkEnd w:id="1"/>
    </w:p>
    <w:p w:rsidR="009B244F" w:rsidRDefault="00585DDB">
      <w:pPr>
        <w:pStyle w:val="Caption"/>
        <w:rPr>
          <w:color w:val="auto"/>
          <w:sz w:val="22"/>
          <w:szCs w:val="22"/>
        </w:rPr>
      </w:pPr>
      <w:r>
        <w:rPr>
          <w:color w:val="auto"/>
          <w:sz w:val="22"/>
        </w:rPr>
        <w:t xml:space="preserve">Additional file 1: </w:t>
      </w:r>
      <w:r>
        <w:rPr>
          <w:color w:val="auto"/>
          <w:sz w:val="22"/>
          <w:szCs w:val="22"/>
        </w:rPr>
        <w:t>Table S</w:t>
      </w:r>
      <w:r>
        <w:rPr>
          <w:color w:val="auto"/>
          <w:sz w:val="22"/>
          <w:szCs w:val="22"/>
        </w:rPr>
        <w:fldChar w:fldCharType="begin"/>
      </w:r>
      <w:r>
        <w:rPr>
          <w:color w:val="auto"/>
          <w:sz w:val="22"/>
          <w:szCs w:val="22"/>
        </w:rPr>
        <w:instrText xml:space="preserve"> SEQ Table_E \* ARABIC </w:instrText>
      </w:r>
      <w:r>
        <w:rPr>
          <w:color w:val="auto"/>
          <w:sz w:val="22"/>
          <w:szCs w:val="22"/>
        </w:rPr>
        <w:fldChar w:fldCharType="separate"/>
      </w:r>
      <w:r>
        <w:rPr>
          <w:noProof/>
          <w:color w:val="auto"/>
          <w:sz w:val="22"/>
          <w:szCs w:val="22"/>
        </w:rPr>
        <w:t>2</w:t>
      </w:r>
      <w:r>
        <w:rPr>
          <w:color w:val="auto"/>
          <w:sz w:val="22"/>
          <w:szCs w:val="22"/>
        </w:rPr>
        <w:fldChar w:fldCharType="end"/>
      </w:r>
      <w:bookmarkEnd w:id="0"/>
      <w:r>
        <w:rPr>
          <w:color w:val="auto"/>
          <w:sz w:val="22"/>
          <w:szCs w:val="22"/>
        </w:rPr>
        <w:t xml:space="preserve"> Drug-related Anatomical Therapeutic Chemical codes</w:t>
      </w:r>
    </w:p>
    <w:tbl>
      <w:tblPr>
        <w:tblW w:w="929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84"/>
        <w:gridCol w:w="5812"/>
      </w:tblGrid>
      <w:tr w:rsidR="009B244F">
        <w:trPr>
          <w:trHeight w:val="284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44F" w:rsidRDefault="00585DD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</w:pPr>
            <w:bookmarkStart w:id="2" w:name="_Ref71718634"/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  <w:t>Drugs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44F" w:rsidRDefault="00585DD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  <w:t>ATC-codes</w:t>
            </w:r>
          </w:p>
        </w:tc>
      </w:tr>
      <w:tr w:rsidR="009B244F">
        <w:trPr>
          <w:trHeight w:val="284"/>
        </w:trPr>
        <w:tc>
          <w:tcPr>
            <w:tcW w:w="3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44F" w:rsidRDefault="00585DDB">
            <w:pPr>
              <w:pStyle w:val="Compac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Pirfenidone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44F" w:rsidRDefault="00585DD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cstheme="minorHAnsi"/>
                <w:sz w:val="20"/>
                <w:szCs w:val="20"/>
              </w:rPr>
              <w:t>L04AX05</w:t>
            </w:r>
          </w:p>
        </w:tc>
      </w:tr>
      <w:tr w:rsidR="009B244F">
        <w:trPr>
          <w:trHeight w:val="284"/>
        </w:trPr>
        <w:tc>
          <w:tcPr>
            <w:tcW w:w="3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44F" w:rsidRDefault="00585DDB">
            <w:pPr>
              <w:pStyle w:val="Compac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Nintedanib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44F" w:rsidRDefault="00585DD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cstheme="minorHAnsi"/>
                <w:sz w:val="20"/>
                <w:szCs w:val="20"/>
              </w:rPr>
              <w:t>L01XE31</w:t>
            </w:r>
          </w:p>
        </w:tc>
      </w:tr>
      <w:tr w:rsidR="009B244F">
        <w:trPr>
          <w:trHeight w:val="284"/>
        </w:trPr>
        <w:tc>
          <w:tcPr>
            <w:tcW w:w="3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44F" w:rsidRDefault="00585DDB">
            <w:pPr>
              <w:pStyle w:val="Compac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Immunosuppressants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44F" w:rsidRDefault="00585DD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L01XC02, L01AA01, L04AA06, L04AA10, L04A13, L04AB01, L04AB02, L04AB03,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L04AB04, L04AB05, L04AB06, L04AC01, L04AC02, L04AC03, L04AC04, L04AC05, L04AC07, L04AC08, L04AC09, L04AC10, L04AC11, L04AC12, L04AX01, L04AX03</w:t>
            </w:r>
          </w:p>
        </w:tc>
      </w:tr>
      <w:tr w:rsidR="009B244F">
        <w:trPr>
          <w:trHeight w:val="284"/>
        </w:trPr>
        <w:tc>
          <w:tcPr>
            <w:tcW w:w="3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44F" w:rsidRDefault="00585DDB">
            <w:pPr>
              <w:pStyle w:val="Compac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Acetylcysteine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44F" w:rsidRDefault="00585DD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R05CB01</w:t>
            </w:r>
          </w:p>
        </w:tc>
      </w:tr>
      <w:tr w:rsidR="009B244F">
        <w:trPr>
          <w:trHeight w:val="284"/>
        </w:trPr>
        <w:tc>
          <w:tcPr>
            <w:tcW w:w="3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244F" w:rsidRDefault="00585DDB">
            <w:pPr>
              <w:pStyle w:val="Compac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Glucocorticoids, Corticosteroids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44F" w:rsidRDefault="00585DD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H02AB, R01AD</w:t>
            </w:r>
          </w:p>
        </w:tc>
      </w:tr>
      <w:tr w:rsidR="009B244F">
        <w:trPr>
          <w:trHeight w:val="284"/>
        </w:trPr>
        <w:tc>
          <w:tcPr>
            <w:tcW w:w="3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244F" w:rsidRDefault="00585DDB">
            <w:pPr>
              <w:pStyle w:val="Compac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Sildenafil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44F" w:rsidRDefault="00585DD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G04BE03</w:t>
            </w:r>
          </w:p>
        </w:tc>
      </w:tr>
      <w:tr w:rsidR="009B244F">
        <w:trPr>
          <w:trHeight w:val="284"/>
        </w:trPr>
        <w:tc>
          <w:tcPr>
            <w:tcW w:w="3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244F" w:rsidRDefault="00585DDB">
            <w:pPr>
              <w:pStyle w:val="Compac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 xml:space="preserve">Treatment of </w:t>
            </w:r>
            <w:r>
              <w:rPr>
                <w:rFonts w:cstheme="minorHAnsi"/>
                <w:sz w:val="20"/>
                <w:szCs w:val="20"/>
                <w:lang w:val="en-GB"/>
              </w:rPr>
              <w:t>pulmonary hypertension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44F" w:rsidRDefault="00585DD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C02KX</w:t>
            </w:r>
          </w:p>
        </w:tc>
      </w:tr>
      <w:tr w:rsidR="009B244F">
        <w:trPr>
          <w:trHeight w:val="284"/>
        </w:trPr>
        <w:tc>
          <w:tcPr>
            <w:tcW w:w="3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244F" w:rsidRDefault="00585DDB">
            <w:pPr>
              <w:pStyle w:val="Compac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Treatment of cardiovascular disease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44F" w:rsidRDefault="00585DD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it-IT"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it-IT" w:eastAsia="de-DE"/>
              </w:rPr>
              <w:t>C10AA, C07, C09AA, C09B, C09CA, C09D</w:t>
            </w:r>
          </w:p>
        </w:tc>
      </w:tr>
      <w:tr w:rsidR="009B244F">
        <w:trPr>
          <w:trHeight w:val="284"/>
        </w:trPr>
        <w:tc>
          <w:tcPr>
            <w:tcW w:w="3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244F" w:rsidRDefault="00585DDB">
            <w:pPr>
              <w:pStyle w:val="Compac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Treatment with anti-clotting drug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44F" w:rsidRDefault="00585DD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B01AC, B01AB, B01AA</w:t>
            </w:r>
          </w:p>
        </w:tc>
      </w:tr>
      <w:tr w:rsidR="009B244F">
        <w:trPr>
          <w:trHeight w:val="284"/>
        </w:trPr>
        <w:tc>
          <w:tcPr>
            <w:tcW w:w="3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244F" w:rsidRDefault="00585DDB">
            <w:pPr>
              <w:pStyle w:val="Compac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Treatment with anti-acid drugs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44F" w:rsidRDefault="00585DD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A02A, A02BC, A02BA</w:t>
            </w:r>
          </w:p>
        </w:tc>
      </w:tr>
      <w:tr w:rsidR="009B244F">
        <w:trPr>
          <w:trHeight w:val="284"/>
        </w:trPr>
        <w:tc>
          <w:tcPr>
            <w:tcW w:w="3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244F" w:rsidRDefault="00585DDB">
            <w:pPr>
              <w:pStyle w:val="Compac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Treatment with anti-depressants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44F" w:rsidRDefault="00585DD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N06A</w:t>
            </w:r>
          </w:p>
        </w:tc>
      </w:tr>
      <w:tr w:rsidR="009B244F">
        <w:trPr>
          <w:trHeight w:val="284"/>
        </w:trPr>
        <w:tc>
          <w:tcPr>
            <w:tcW w:w="3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244F" w:rsidRDefault="00585DDB">
            <w:pPr>
              <w:pStyle w:val="Compac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Treatment with anti-diabetic drugs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44F" w:rsidRDefault="00585DD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A10A, A10B</w:t>
            </w:r>
          </w:p>
        </w:tc>
      </w:tr>
      <w:tr w:rsidR="009B244F">
        <w:trPr>
          <w:trHeight w:val="284"/>
        </w:trPr>
        <w:tc>
          <w:tcPr>
            <w:tcW w:w="3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244F" w:rsidRDefault="00585DDB">
            <w:pPr>
              <w:pStyle w:val="Compac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Treatment with drugs against obstructive airway disease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44F" w:rsidRDefault="00585DD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R03AC03, R03AC12, R03AC13, R03AC18, R03AC19, R03BB01, R03BB02, R03BB03, R03BB04, R03BB05, R03BB06, R03BB07, R03BA01, R03BA02, R03BA03, R03BA04, R03BA05,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R03BA06, R03BA07, R03BA08, R03BA09, R03AK06, R03AK07, R03AK08, R03AK10, R03AK11, R03AL03, R03AL04, R04AL05, R03AL06</w:t>
            </w:r>
          </w:p>
        </w:tc>
      </w:tr>
      <w:tr w:rsidR="009B244F">
        <w:trPr>
          <w:trHeight w:val="284"/>
        </w:trPr>
        <w:tc>
          <w:tcPr>
            <w:tcW w:w="3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244F" w:rsidRDefault="00585DDB">
            <w:pPr>
              <w:pStyle w:val="Compac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Treatment of heart insufficiency/cardiac arrhythmia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44F" w:rsidRDefault="00585DD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C01AA, C01BD, C03</w:t>
            </w:r>
          </w:p>
        </w:tc>
      </w:tr>
    </w:tbl>
    <w:bookmarkEnd w:id="2"/>
    <w:p w:rsidR="009B244F" w:rsidRDefault="00585DDB">
      <w:pPr>
        <w:rPr>
          <w:i/>
          <w:sz w:val="20"/>
          <w:lang w:val="en-GB"/>
        </w:rPr>
      </w:pPr>
      <w:r>
        <w:rPr>
          <w:i/>
          <w:sz w:val="20"/>
          <w:lang w:val="en-GB"/>
        </w:rPr>
        <w:t xml:space="preserve">ATC: </w:t>
      </w:r>
      <w:r>
        <w:rPr>
          <w:rFonts w:cstheme="minorHAnsi"/>
          <w:i/>
          <w:sz w:val="20"/>
          <w:lang w:val="en-GB"/>
        </w:rPr>
        <w:t>Anatomical Therapeutic Chemical</w:t>
      </w:r>
    </w:p>
    <w:p w:rsidR="009B244F" w:rsidRDefault="009B244F">
      <w:pPr>
        <w:rPr>
          <w:lang w:val="en-GB"/>
        </w:rPr>
      </w:pPr>
    </w:p>
    <w:sectPr w:rsidR="009B244F" w:rsidSect="00186611">
      <w:pgSz w:w="12240" w:h="15840" w:code="1"/>
      <w:pgMar w:top="1440" w:right="1440" w:bottom="1440" w:left="1440" w:header="709" w:footer="709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A2CB1A" w16cex:dateUtc="2022-01-31T19:54:00Z"/>
  <w16cex:commentExtensible w16cex:durableId="25A2C8F5" w16cex:dateUtc="2022-01-19T11:26:00Z"/>
  <w16cex:commentExtensible w16cex:durableId="25A2CAF5" w16cex:dateUtc="2022-01-31T19:54:00Z"/>
  <w16cex:commentExtensible w16cex:durableId="25A2C8F6" w16cex:dateUtc="2022-01-24T09:36:00Z"/>
  <w16cex:commentExtensible w16cex:durableId="25A2C8F7" w16cex:dateUtc="2022-01-24T09:43:00Z"/>
  <w16cex:commentExtensible w16cex:durableId="25A2CA2D" w16cex:dateUtc="2022-01-31T19:50:00Z"/>
  <w16cex:commentExtensible w16cex:durableId="25A2D192" w16cex:dateUtc="2022-01-31T20:22:00Z"/>
  <w16cex:commentExtensible w16cex:durableId="25A2C8F8" w16cex:dateUtc="2022-01-25T09:14:00Z"/>
  <w16cex:commentExtensible w16cex:durableId="25A2D209" w16cex:dateUtc="2022-01-31T20:24:00Z"/>
  <w16cex:commentExtensible w16cex:durableId="25A2C8F9" w16cex:dateUtc="2022-01-21T12:18:00Z"/>
  <w16cex:commentExtensible w16cex:durableId="25A2C8FA" w16cex:dateUtc="2022-01-21T08:31:00Z"/>
  <w16cex:commentExtensible w16cex:durableId="25A2C8FB" w16cex:dateUtc="2022-01-21T08:28:00Z"/>
  <w16cex:commentExtensible w16cex:durableId="25A2C8FC" w16cex:dateUtc="2022-01-24T09:56:00Z"/>
  <w16cex:commentExtensible w16cex:durableId="25A2D8E0" w16cex:dateUtc="2022-01-31T20:53:00Z"/>
  <w16cex:commentExtensible w16cex:durableId="25A2C8FD" w16cex:dateUtc="2022-01-05T08:14:00Z"/>
  <w16cex:commentExtensible w16cex:durableId="25A2DADA" w16cex:dateUtc="2022-01-31T21:02:00Z"/>
  <w16cex:commentExtensible w16cex:durableId="25A2C8FE" w16cex:dateUtc="2022-01-24T12:23:00Z"/>
  <w16cex:commentExtensible w16cex:durableId="25A2DAEC" w16cex:dateUtc="2022-01-31T21:02:00Z"/>
  <w16cex:commentExtensible w16cex:durableId="25A2C8FF" w16cex:dateUtc="2022-01-19T06:04:00Z"/>
  <w16cex:commentExtensible w16cex:durableId="25A2C900" w16cex:dateUtc="2022-01-19T11:51:00Z"/>
  <w16cex:commentExtensible w16cex:durableId="25A2C901" w16cex:dateUtc="2022-01-19T06:05:00Z"/>
  <w16cex:commentExtensible w16cex:durableId="25A2C902" w16cex:dateUtc="2022-01-19T11:53:00Z"/>
  <w16cex:commentExtensible w16cex:durableId="25A2C903" w16cex:dateUtc="2022-01-04T11:00:00Z"/>
  <w16cex:commentExtensible w16cex:durableId="25A2DB50" w16cex:dateUtc="2022-01-31T21:04:00Z"/>
  <w16cex:commentExtensible w16cex:durableId="25A2C904" w16cex:dateUtc="2022-01-18T08:59:00Z"/>
  <w16cex:commentExtensible w16cex:durableId="25A2C905" w16cex:dateUtc="2022-01-20T08:21:00Z"/>
  <w16cex:commentExtensible w16cex:durableId="25A2DB5B" w16cex:dateUtc="2022-01-31T21:04:00Z"/>
  <w16cex:commentExtensible w16cex:durableId="25A2C906" w16cex:dateUtc="2022-01-19T06:48:00Z"/>
  <w16cex:commentExtensible w16cex:durableId="25A2C907" w16cex:dateUtc="2022-01-21T08:59:00Z"/>
  <w16cex:commentExtensible w16cex:durableId="25A2C908" w16cex:dateUtc="2022-01-20T14:08:00Z"/>
  <w16cex:commentExtensible w16cex:durableId="25A2C909" w16cex:dateUtc="2022-01-20T11:02:00Z"/>
  <w16cex:commentExtensible w16cex:durableId="25A2DBD9" w16cex:dateUtc="2022-01-31T21:06:00Z"/>
  <w16cex:commentExtensible w16cex:durableId="25A2DCA6" w16cex:dateUtc="2022-01-31T21:09:00Z"/>
  <w16cex:commentExtensible w16cex:durableId="25A2C90A" w16cex:dateUtc="2022-01-24T10:19:00Z"/>
  <w16cex:commentExtensible w16cex:durableId="25A2DCCF" w16cex:dateUtc="2022-01-31T21:10:00Z"/>
  <w16cex:commentExtensible w16cex:durableId="25A2DE82" w16cex:dateUtc="2022-01-31T21:17:00Z"/>
  <w16cex:commentExtensible w16cex:durableId="25A2C90B" w16cex:dateUtc="2022-01-21T12:27:00Z"/>
  <w16cex:commentExtensible w16cex:durableId="25A2E0E2" w16cex:dateUtc="2022-01-31T21:27:00Z"/>
  <w16cex:commentExtensible w16cex:durableId="25A2E151" w16cex:dateUtc="2022-01-31T21:29:00Z"/>
  <w16cex:commentExtensible w16cex:durableId="25A2C90C" w16cex:dateUtc="2022-01-19T07:36:00Z"/>
  <w16cex:commentExtensible w16cex:durableId="25A2E187" w16cex:dateUtc="2022-01-31T21:30:00Z"/>
  <w16cex:commentExtensible w16cex:durableId="25A2C90D" w16cex:dateUtc="2022-01-20T08:46:00Z"/>
  <w16cex:commentExtensible w16cex:durableId="25A2E1B5" w16cex:dateUtc="2022-01-31T21:31:00Z"/>
  <w16cex:commentExtensible w16cex:durableId="25A2C90E" w16cex:dateUtc="2022-01-19T07:40:00Z"/>
  <w16cex:commentExtensible w16cex:durableId="25A2C90F" w16cex:dateUtc="2022-01-24T11:4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7E1D7FA" w16cid:durableId="25A2CB1A"/>
  <w16cid:commentId w16cid:paraId="119645C1" w16cid:durableId="25A2C8F5"/>
  <w16cid:commentId w16cid:paraId="0C0C7E9A" w16cid:durableId="25A2CAF5"/>
  <w16cid:commentId w16cid:paraId="4CFEC079" w16cid:durableId="25A2C8F6"/>
  <w16cid:commentId w16cid:paraId="642AC71C" w16cid:durableId="25A2C8F7"/>
  <w16cid:commentId w16cid:paraId="4C74A3B3" w16cid:durableId="25A2CA2D"/>
  <w16cid:commentId w16cid:paraId="44B36FCA" w16cid:durableId="25A2D192"/>
  <w16cid:commentId w16cid:paraId="58255F40" w16cid:durableId="25A2C8F8"/>
  <w16cid:commentId w16cid:paraId="1A7C6CE6" w16cid:durableId="25A2D209"/>
  <w16cid:commentId w16cid:paraId="2CC4118A" w16cid:durableId="25A2C8F9"/>
  <w16cid:commentId w16cid:paraId="66D4363B" w16cid:durableId="25A2C8FA"/>
  <w16cid:commentId w16cid:paraId="763167CF" w16cid:durableId="25A2C8FB"/>
  <w16cid:commentId w16cid:paraId="606867C8" w16cid:durableId="25A2C8FC"/>
  <w16cid:commentId w16cid:paraId="754F2939" w16cid:durableId="25A2D8E0"/>
  <w16cid:commentId w16cid:paraId="4DA4DE4B" w16cid:durableId="25A2C8FD"/>
  <w16cid:commentId w16cid:paraId="184AF6BF" w16cid:durableId="25A2DADA"/>
  <w16cid:commentId w16cid:paraId="48F0C46E" w16cid:durableId="25A2C8FE"/>
  <w16cid:commentId w16cid:paraId="027E3504" w16cid:durableId="25A2DAEC"/>
  <w16cid:commentId w16cid:paraId="7AF2D0E6" w16cid:durableId="25A2C8FF"/>
  <w16cid:commentId w16cid:paraId="5044F9D2" w16cid:durableId="25A2C900"/>
  <w16cid:commentId w16cid:paraId="4759CE67" w16cid:durableId="25A2C901"/>
  <w16cid:commentId w16cid:paraId="5B501691" w16cid:durableId="25A2C902"/>
  <w16cid:commentId w16cid:paraId="2A7E931E" w16cid:durableId="25A2C903"/>
  <w16cid:commentId w16cid:paraId="6C9BCB21" w16cid:durableId="25A2DB50"/>
  <w16cid:commentId w16cid:paraId="54DEA297" w16cid:durableId="25A2C904"/>
  <w16cid:commentId w16cid:paraId="7C1059A3" w16cid:durableId="25A2C905"/>
  <w16cid:commentId w16cid:paraId="1572EDDF" w16cid:durableId="25A2DB5B"/>
  <w16cid:commentId w16cid:paraId="6623C36A" w16cid:durableId="25A2C906"/>
  <w16cid:commentId w16cid:paraId="5074985F" w16cid:durableId="25A2C907"/>
  <w16cid:commentId w16cid:paraId="2406559F" w16cid:durableId="25A2C908"/>
  <w16cid:commentId w16cid:paraId="220F77D3" w16cid:durableId="25A2C909"/>
  <w16cid:commentId w16cid:paraId="250D99D7" w16cid:durableId="25A2DBD9"/>
  <w16cid:commentId w16cid:paraId="197CA50D" w16cid:durableId="25A2DCA6"/>
  <w16cid:commentId w16cid:paraId="4674A2EF" w16cid:durableId="25A2C90A"/>
  <w16cid:commentId w16cid:paraId="3DBAB07F" w16cid:durableId="25A2DCCF"/>
  <w16cid:commentId w16cid:paraId="520D1FDE" w16cid:durableId="25A2DE82"/>
  <w16cid:commentId w16cid:paraId="039B7708" w16cid:durableId="25A2C90B"/>
  <w16cid:commentId w16cid:paraId="635826BE" w16cid:durableId="25A2E0E2"/>
  <w16cid:commentId w16cid:paraId="7772076F" w16cid:durableId="25A2E151"/>
  <w16cid:commentId w16cid:paraId="34E1774F" w16cid:durableId="25A2C90C"/>
  <w16cid:commentId w16cid:paraId="4DBD4DBD" w16cid:durableId="25A2E187"/>
  <w16cid:commentId w16cid:paraId="5C1E6CB7" w16cid:durableId="25A2C90D"/>
  <w16cid:commentId w16cid:paraId="613038B5" w16cid:durableId="25A2E1B5"/>
  <w16cid:commentId w16cid:paraId="163D870B" w16cid:durableId="25A2C90E"/>
  <w16cid:commentId w16cid:paraId="51726D50" w16cid:durableId="25A2C90F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5DDB" w:rsidRDefault="00585DDB">
      <w:pPr>
        <w:spacing w:after="0" w:line="240" w:lineRule="auto"/>
      </w:pPr>
      <w:r>
        <w:separator/>
      </w:r>
    </w:p>
  </w:endnote>
  <w:endnote w:type="continuationSeparator" w:id="0">
    <w:p w:rsidR="00585DDB" w:rsidRDefault="00585D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5DDB" w:rsidRDefault="00585DDB">
      <w:pPr>
        <w:spacing w:after="0" w:line="240" w:lineRule="auto"/>
      </w:pPr>
      <w:r>
        <w:separator/>
      </w:r>
    </w:p>
  </w:footnote>
  <w:footnote w:type="continuationSeparator" w:id="0">
    <w:p w:rsidR="00585DDB" w:rsidRDefault="00585D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2C2109"/>
    <w:multiLevelType w:val="hybridMultilevel"/>
    <w:tmpl w:val="504CF0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BF205C"/>
    <w:multiLevelType w:val="hybridMultilevel"/>
    <w:tmpl w:val="1FB00D62"/>
    <w:lvl w:ilvl="0" w:tplc="47AC0E76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5C0B6D"/>
    <w:multiLevelType w:val="hybridMultilevel"/>
    <w:tmpl w:val="24A4EF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4782C"/>
    <w:multiLevelType w:val="hybridMultilevel"/>
    <w:tmpl w:val="B11C0A68"/>
    <w:lvl w:ilvl="0" w:tplc="7D62B92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lang w:val="de-D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79A054D"/>
    <w:multiLevelType w:val="hybridMultilevel"/>
    <w:tmpl w:val="B032EC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0133C0"/>
    <w:multiLevelType w:val="hybridMultilevel"/>
    <w:tmpl w:val="9C40B516"/>
    <w:lvl w:ilvl="0" w:tplc="BEEE552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E3760C"/>
    <w:multiLevelType w:val="hybridMultilevel"/>
    <w:tmpl w:val="CFF22ED8"/>
    <w:lvl w:ilvl="0" w:tplc="EB689C0A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9F7E31"/>
    <w:multiLevelType w:val="hybridMultilevel"/>
    <w:tmpl w:val="1C9CD2B0"/>
    <w:lvl w:ilvl="0" w:tplc="E3B637C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D6652B"/>
    <w:multiLevelType w:val="hybridMultilevel"/>
    <w:tmpl w:val="0DFE05CA"/>
    <w:lvl w:ilvl="0" w:tplc="BDECA39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8D148B"/>
    <w:multiLevelType w:val="hybridMultilevel"/>
    <w:tmpl w:val="5B6488B2"/>
    <w:lvl w:ilvl="0" w:tplc="22D6C440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493799A"/>
    <w:multiLevelType w:val="hybridMultilevel"/>
    <w:tmpl w:val="E300180A"/>
    <w:lvl w:ilvl="0" w:tplc="8BACF1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9020BA"/>
    <w:multiLevelType w:val="hybridMultilevel"/>
    <w:tmpl w:val="B4E2B3F8"/>
    <w:lvl w:ilvl="0" w:tplc="A1941284">
      <w:start w:val="4"/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927066"/>
    <w:multiLevelType w:val="hybridMultilevel"/>
    <w:tmpl w:val="E9C26DA0"/>
    <w:lvl w:ilvl="0" w:tplc="C602AFB2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2357A8"/>
    <w:multiLevelType w:val="hybridMultilevel"/>
    <w:tmpl w:val="393E71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CF71A1"/>
    <w:multiLevelType w:val="hybridMultilevel"/>
    <w:tmpl w:val="77741312"/>
    <w:lvl w:ilvl="0" w:tplc="5D40C8C2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A55DB8"/>
    <w:multiLevelType w:val="hybridMultilevel"/>
    <w:tmpl w:val="2DAEFA4A"/>
    <w:lvl w:ilvl="0" w:tplc="26F26E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DE1B9C"/>
    <w:multiLevelType w:val="hybridMultilevel"/>
    <w:tmpl w:val="843ED8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6B30BA"/>
    <w:multiLevelType w:val="hybridMultilevel"/>
    <w:tmpl w:val="689A4698"/>
    <w:lvl w:ilvl="0" w:tplc="68BEC47C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4304B9"/>
    <w:multiLevelType w:val="hybridMultilevel"/>
    <w:tmpl w:val="2EF021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F165F7"/>
    <w:multiLevelType w:val="hybridMultilevel"/>
    <w:tmpl w:val="8E8E43DE"/>
    <w:lvl w:ilvl="0" w:tplc="C062298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F120EB"/>
    <w:multiLevelType w:val="hybridMultilevel"/>
    <w:tmpl w:val="016A92F2"/>
    <w:lvl w:ilvl="0" w:tplc="93C46AC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"/>
  </w:num>
  <w:num w:numId="3">
    <w:abstractNumId w:val="4"/>
  </w:num>
  <w:num w:numId="4">
    <w:abstractNumId w:val="11"/>
  </w:num>
  <w:num w:numId="5">
    <w:abstractNumId w:val="20"/>
  </w:num>
  <w:num w:numId="6">
    <w:abstractNumId w:val="0"/>
  </w:num>
  <w:num w:numId="7">
    <w:abstractNumId w:val="15"/>
  </w:num>
  <w:num w:numId="8">
    <w:abstractNumId w:val="7"/>
  </w:num>
  <w:num w:numId="9">
    <w:abstractNumId w:val="16"/>
  </w:num>
  <w:num w:numId="10">
    <w:abstractNumId w:val="3"/>
  </w:num>
  <w:num w:numId="11">
    <w:abstractNumId w:val="19"/>
  </w:num>
  <w:num w:numId="12">
    <w:abstractNumId w:val="18"/>
  </w:num>
  <w:num w:numId="13">
    <w:abstractNumId w:val="5"/>
  </w:num>
  <w:num w:numId="14">
    <w:abstractNumId w:val="9"/>
  </w:num>
  <w:num w:numId="15">
    <w:abstractNumId w:val="8"/>
  </w:num>
  <w:num w:numId="16">
    <w:abstractNumId w:val="10"/>
  </w:num>
  <w:num w:numId="17">
    <w:abstractNumId w:val="6"/>
  </w:num>
  <w:num w:numId="18">
    <w:abstractNumId w:val="12"/>
  </w:num>
  <w:num w:numId="19">
    <w:abstractNumId w:val="1"/>
  </w:num>
  <w:num w:numId="20">
    <w:abstractNumId w:val="14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4096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it-IT" w:vendorID="64" w:dllVersion="6" w:nlCheck="1" w:checkStyle="0"/>
  <w:activeWritingStyle w:appName="MSWord" w:lang="en-GB" w:vendorID="64" w:dllVersion="0" w:nlCheck="1" w:checkStyle="0"/>
  <w:activeWritingStyle w:appName="MSWord" w:lang="en-GB" w:vendorID="64" w:dllVersion="4096" w:nlCheck="1" w:checkStyle="0"/>
  <w:activeWritingStyle w:appName="MSWord" w:lang="it-IT" w:vendorID="64" w:dllVersion="4096" w:nlCheck="1" w:checkStyle="0"/>
  <w:activeWritingStyle w:appName="MSWord" w:lang="it-IT" w:vendorID="64" w:dllVersion="0" w:nlCheck="1" w:checkStyle="0"/>
  <w:activeWritingStyle w:appName="MSWord" w:lang="en-GB" w:vendorID="64" w:dllVersion="131078" w:nlCheck="1" w:checkStyle="1"/>
  <w:activeWritingStyle w:appName="MSWord" w:lang="de-DE" w:vendorID="64" w:dllVersion="131078" w:nlCheck="1" w:checkStyle="0"/>
  <w:activeWritingStyle w:appName="MSWord" w:lang="en-US" w:vendorID="64" w:dllVersion="131078" w:nlCheck="1" w:checkStyle="1"/>
  <w:activeWritingStyle w:appName="MSWord" w:lang="it-IT" w:vendorID="64" w:dllVersion="131078" w:nlCheck="1" w:checkStyle="0"/>
  <w:defaultTabStop w:val="28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dtd50szuatrz4e5twv5vtr4zapfxd9vrrpp&quot;&gt;MeineBib&lt;record-ids&gt;&lt;item&gt;33&lt;/item&gt;&lt;item&gt;51&lt;/item&gt;&lt;item&gt;59&lt;/item&gt;&lt;item&gt;196&lt;/item&gt;&lt;item&gt;386&lt;/item&gt;&lt;item&gt;462&lt;/item&gt;&lt;item&gt;483&lt;/item&gt;&lt;item&gt;543&lt;/item&gt;&lt;item&gt;548&lt;/item&gt;&lt;item&gt;549&lt;/item&gt;&lt;item&gt;611&lt;/item&gt;&lt;item&gt;613&lt;/item&gt;&lt;item&gt;619&lt;/item&gt;&lt;item&gt;621&lt;/item&gt;&lt;item&gt;626&lt;/item&gt;&lt;item&gt;641&lt;/item&gt;&lt;item&gt;642&lt;/item&gt;&lt;item&gt;680&lt;/item&gt;&lt;item&gt;703&lt;/item&gt;&lt;item&gt;704&lt;/item&gt;&lt;item&gt;709&lt;/item&gt;&lt;item&gt;710&lt;/item&gt;&lt;item&gt;711&lt;/item&gt;&lt;item&gt;712&lt;/item&gt;&lt;item&gt;713&lt;/item&gt;&lt;item&gt;716&lt;/item&gt;&lt;item&gt;718&lt;/item&gt;&lt;item&gt;730&lt;/item&gt;&lt;item&gt;731&lt;/item&gt;&lt;item&gt;732&lt;/item&gt;&lt;item&gt;738&lt;/item&gt;&lt;item&gt;739&lt;/item&gt;&lt;item&gt;740&lt;/item&gt;&lt;/record-ids&gt;&lt;/item&gt;&lt;/Libraries&gt;"/>
  </w:docVars>
  <w:rsids>
    <w:rsidRoot w:val="009B244F"/>
    <w:rsid w:val="00186611"/>
    <w:rsid w:val="00585DDB"/>
    <w:rsid w:val="009B2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927B7D4-1108-40A3-A54F-6757EE922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customStyle="1" w:styleId="EndNoteBibliographyTitle">
    <w:name w:val="EndNote Bibliography Title"/>
    <w:basedOn w:val="Normal"/>
    <w:link w:val="EndNoteBibliographyTitleZchn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Zchn">
    <w:name w:val="EndNote Bibliography Title Zchn"/>
    <w:basedOn w:val="DefaultParagraphFont"/>
    <w:link w:val="EndNoteBibliographyTitle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Zchn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Zchn">
    <w:name w:val="EndNote Bibliography Zchn"/>
    <w:basedOn w:val="DefaultParagraphFont"/>
    <w:link w:val="EndNoteBibliography"/>
    <w:rPr>
      <w:rFonts w:ascii="Calibri" w:hAnsi="Calibri" w:cs="Calibri"/>
      <w:noProof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Compact">
    <w:name w:val="Compact"/>
    <w:basedOn w:val="BodyText"/>
    <w:qFormat/>
    <w:pPr>
      <w:spacing w:before="36" w:after="36" w:line="240" w:lineRule="auto"/>
    </w:pPr>
    <w:rPr>
      <w:sz w:val="24"/>
      <w:szCs w:val="24"/>
    </w:rPr>
  </w:style>
  <w:style w:type="table" w:customStyle="1" w:styleId="Table">
    <w:name w:val="Table"/>
    <w:semiHidden/>
    <w:qFormat/>
    <w:pPr>
      <w:spacing w:after="200" w:line="240" w:lineRule="auto"/>
    </w:pPr>
    <w:rPr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</w:style>
  <w:style w:type="character" w:customStyle="1" w:styleId="textcell">
    <w:name w:val="textcell"/>
    <w:basedOn w:val="DefaultParagraphFont"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paragraph" w:styleId="Revision">
    <w:name w:val="Revision"/>
    <w:hidden/>
    <w:uiPriority w:val="99"/>
    <w:semiHidden/>
    <w:pPr>
      <w:spacing w:after="0" w:line="240" w:lineRule="auto"/>
    </w:pPr>
  </w:style>
  <w:style w:type="table" w:customStyle="1" w:styleId="Table1">
    <w:name w:val="Table1"/>
    <w:semiHidden/>
    <w:qFormat/>
    <w:pPr>
      <w:spacing w:after="200" w:line="240" w:lineRule="auto"/>
    </w:pPr>
    <w:rPr>
      <w:rFonts w:ascii="Calibri" w:eastAsia="Calibri" w:hAnsi="Calibri" w:cs="Times New Roman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orcid-id-https">
    <w:name w:val="orcid-id-https"/>
    <w:basedOn w:val="DefaultParagraphFont"/>
  </w:style>
  <w:style w:type="table" w:customStyle="1" w:styleId="Table11">
    <w:name w:val="Table11"/>
    <w:semiHidden/>
    <w:qFormat/>
    <w:pPr>
      <w:spacing w:after="200" w:line="240" w:lineRule="auto"/>
    </w:pPr>
    <w:rPr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ichtaufgelsteErwhnung2">
    <w:name w:val="Nicht aufgelöste Erwähnung2"/>
    <w:basedOn w:val="DefaultParagraphFont"/>
    <w:uiPriority w:val="99"/>
    <w:semiHidden/>
    <w:unhideWhenUsed/>
    <w:rPr>
      <w:color w:val="605E5C"/>
      <w:shd w:val="clear" w:color="auto" w:fill="E1DFDD"/>
    </w:rPr>
  </w:style>
  <w:style w:type="table" w:customStyle="1" w:styleId="Table12">
    <w:name w:val="Table12"/>
    <w:semiHidden/>
    <w:qFormat/>
    <w:pPr>
      <w:spacing w:after="200" w:line="240" w:lineRule="auto"/>
    </w:pPr>
    <w:rPr>
      <w:rFonts w:ascii="Calibri" w:eastAsia="Calibri" w:hAnsi="Calibri" w:cs="Times New Roman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ichtaufgelsteErwhnung3">
    <w:name w:val="Nicht aufgelöste Erwähnung3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6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52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95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7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2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90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2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01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3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0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09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40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072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818108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5427423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9173015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446779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958690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09679623">
          <w:marLeft w:val="0"/>
          <w:marRight w:val="0"/>
          <w:marTop w:val="0"/>
          <w:marBottom w:val="0"/>
          <w:divBdr>
            <w:top w:val="single" w:sz="6" w:space="4" w:color="D6DADC"/>
            <w:left w:val="none" w:sz="0" w:space="4" w:color="D6DADC"/>
            <w:bottom w:val="none" w:sz="0" w:space="4" w:color="D6DADC"/>
            <w:right w:val="none" w:sz="0" w:space="4" w:color="D6DADC"/>
          </w:divBdr>
        </w:div>
      </w:divsChild>
    </w:div>
    <w:div w:id="60561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4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1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3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3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3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15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6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85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29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894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7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0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54E1BD-ABF0-4D90-A538-CB79C356E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Helmholtz Zentrum München</Company>
  <LinksUpToDate>false</LinksUpToDate>
  <CharactersWithSpaces>1668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Marijic, Pavo</dc:creator>
  <cp:keywords/>
  <dc:description/>
  <cp:lastModifiedBy>Rajeshwari A.</cp:lastModifiedBy>
  <cp:revision>4</cp:revision>
  <dcterms:created xsi:type="dcterms:W3CDTF">2022-04-25T07:46:00Z</dcterms:created>
  <dcterms:modified xsi:type="dcterms:W3CDTF">2022-08-24T05:13:00Z</dcterms:modified>
</cp:coreProperties>
</file>