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E4D" w:rsidRDefault="005C1F28">
      <w:pPr>
        <w:pStyle w:val="Caption"/>
        <w:rPr>
          <w:color w:val="auto"/>
          <w:sz w:val="28"/>
          <w:szCs w:val="22"/>
        </w:rPr>
      </w:pPr>
      <w:bookmarkStart w:id="0" w:name="_GoBack"/>
      <w:r>
        <w:rPr>
          <w:color w:val="auto"/>
          <w:sz w:val="22"/>
        </w:rPr>
        <w:t>Additional file 2: Table S</w:t>
      </w:r>
      <w:r>
        <w:rPr>
          <w:color w:val="auto"/>
          <w:sz w:val="22"/>
        </w:rPr>
        <w:fldChar w:fldCharType="begin"/>
      </w:r>
      <w:r>
        <w:rPr>
          <w:color w:val="auto"/>
          <w:sz w:val="22"/>
        </w:rPr>
        <w:instrText xml:space="preserve"> SEQ Table_E \* ARABIC </w:instrText>
      </w:r>
      <w:r>
        <w:rPr>
          <w:color w:val="auto"/>
          <w:sz w:val="22"/>
        </w:rPr>
        <w:fldChar w:fldCharType="separate"/>
      </w:r>
      <w:r>
        <w:rPr>
          <w:noProof/>
          <w:color w:val="auto"/>
          <w:sz w:val="22"/>
        </w:rPr>
        <w:t>3</w:t>
      </w:r>
      <w:r>
        <w:rPr>
          <w:color w:val="auto"/>
          <w:sz w:val="22"/>
        </w:rPr>
        <w:fldChar w:fldCharType="end"/>
      </w:r>
      <w:r>
        <w:rPr>
          <w:color w:val="auto"/>
          <w:sz w:val="22"/>
          <w:lang w:val="en-GB"/>
        </w:rPr>
        <w:t xml:space="preserve"> Number of patients treated, patients newly treated, and procedures to classify specialised ILD centres</w:t>
      </w:r>
    </w:p>
    <w:tbl>
      <w:tblPr>
        <w:tblStyle w:val="Table"/>
        <w:tblW w:w="4980" w:type="pct"/>
        <w:tblInd w:w="0" w:type="dxa"/>
        <w:tblLook w:val="07E0" w:firstRow="1" w:lastRow="1" w:firstColumn="1" w:lastColumn="1" w:noHBand="1" w:noVBand="1"/>
      </w:tblPr>
      <w:tblGrid>
        <w:gridCol w:w="4821"/>
        <w:gridCol w:w="2251"/>
        <w:gridCol w:w="2251"/>
      </w:tblGrid>
      <w:tr w:rsidR="00AD6E4D">
        <w:tc>
          <w:tcPr>
            <w:tcW w:w="2586" w:type="pct"/>
            <w:tcBorders>
              <w:bottom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Non-specialised centres (N </w:t>
            </w:r>
            <w:r>
              <w:rPr>
                <w:rFonts w:cstheme="minorHAnsi"/>
                <w:sz w:val="20"/>
                <w:szCs w:val="20"/>
                <w:lang w:val="en-GB"/>
              </w:rPr>
              <w:t>= 1156)</w:t>
            </w: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Specialised ILD centres (N = 7)</w:t>
            </w:r>
          </w:p>
        </w:tc>
      </w:tr>
      <w:tr w:rsidR="00AD6E4D">
        <w:tc>
          <w:tcPr>
            <w:tcW w:w="2586" w:type="pct"/>
            <w:tcBorders>
              <w:top w:val="single" w:sz="4" w:space="0" w:color="auto"/>
            </w:tcBorders>
            <w:vAlign w:val="center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Patients treated per year, mean (SD)</w:t>
            </w:r>
          </w:p>
        </w:tc>
        <w:tc>
          <w:tcPr>
            <w:tcW w:w="1207" w:type="pct"/>
            <w:tcBorders>
              <w:top w:val="single" w:sz="4" w:space="0" w:color="auto"/>
            </w:tcBorders>
            <w:vAlign w:val="center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10 (15)</w:t>
            </w:r>
          </w:p>
        </w:tc>
        <w:tc>
          <w:tcPr>
            <w:tcW w:w="1207" w:type="pct"/>
            <w:tcBorders>
              <w:top w:val="single" w:sz="4" w:space="0" w:color="auto"/>
            </w:tcBorders>
            <w:vAlign w:val="center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154 (26)</w:t>
            </w:r>
          </w:p>
        </w:tc>
      </w:tr>
      <w:tr w:rsidR="00AD6E4D">
        <w:tc>
          <w:tcPr>
            <w:tcW w:w="2586" w:type="pct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Patients newly treated per year, mean (SD)</w:t>
            </w:r>
          </w:p>
        </w:tc>
        <w:tc>
          <w:tcPr>
            <w:tcW w:w="1207" w:type="pct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9 (13)</w:t>
            </w:r>
          </w:p>
        </w:tc>
        <w:tc>
          <w:tcPr>
            <w:tcW w:w="1207" w:type="pct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128 (25)</w:t>
            </w:r>
          </w:p>
        </w:tc>
      </w:tr>
      <w:tr w:rsidR="00AD6E4D">
        <w:tc>
          <w:tcPr>
            <w:tcW w:w="2586" w:type="pct"/>
          </w:tcPr>
          <w:p w:rsidR="00AD6E4D" w:rsidRDefault="005C1F28">
            <w:pPr>
              <w:pStyle w:val="Compact"/>
              <w:spacing w:before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Bronchoalveolar lavage (BAL), mean (SD)</w:t>
            </w:r>
          </w:p>
        </w:tc>
        <w:tc>
          <w:tcPr>
            <w:tcW w:w="1207" w:type="pct"/>
          </w:tcPr>
          <w:p w:rsidR="00AD6E4D" w:rsidRDefault="005C1F28">
            <w:p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12 (22)</w:t>
            </w:r>
          </w:p>
        </w:tc>
        <w:tc>
          <w:tcPr>
            <w:tcW w:w="1207" w:type="pct"/>
          </w:tcPr>
          <w:p w:rsidR="00AD6E4D" w:rsidRDefault="005C1F28">
            <w:p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136 (37)</w:t>
            </w:r>
          </w:p>
        </w:tc>
      </w:tr>
      <w:tr w:rsidR="00AD6E4D">
        <w:tc>
          <w:tcPr>
            <w:tcW w:w="2586" w:type="pct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Endobronchial ultrasound-guided </w:t>
            </w:r>
            <w:r>
              <w:rPr>
                <w:rFonts w:cstheme="minorHAnsi"/>
                <w:sz w:val="20"/>
                <w:szCs w:val="20"/>
                <w:lang w:val="en-GB"/>
              </w:rPr>
              <w:t>transbronchial needle aspirations (EBUS-TBNA), mean (SD)</w:t>
            </w:r>
          </w:p>
        </w:tc>
        <w:tc>
          <w:tcPr>
            <w:tcW w:w="1207" w:type="pct"/>
          </w:tcPr>
          <w:p w:rsidR="00AD6E4D" w:rsidRDefault="005C1F28">
            <w:p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 (9)</w:t>
            </w:r>
          </w:p>
        </w:tc>
        <w:tc>
          <w:tcPr>
            <w:tcW w:w="1207" w:type="pct"/>
          </w:tcPr>
          <w:p w:rsidR="00AD6E4D" w:rsidRDefault="005C1F28">
            <w:p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62 (16)</w:t>
            </w:r>
          </w:p>
        </w:tc>
      </w:tr>
      <w:tr w:rsidR="00AD6E4D">
        <w:tc>
          <w:tcPr>
            <w:tcW w:w="2586" w:type="pct"/>
            <w:tcBorders>
              <w:bottom w:val="single" w:sz="4" w:space="0" w:color="auto"/>
            </w:tcBorders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Surgical lung biopsies or transbronchial cryobiopsies,  mean (SD)</w:t>
            </w: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 (11)</w:t>
            </w: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:rsidR="00AD6E4D" w:rsidRDefault="005C1F28">
            <w:p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116 (62)</w:t>
            </w:r>
          </w:p>
        </w:tc>
      </w:tr>
    </w:tbl>
    <w:p w:rsidR="00AD6E4D" w:rsidRDefault="005C1F28">
      <w:pPr>
        <w:rPr>
          <w:rFonts w:cstheme="minorHAnsi"/>
          <w:i/>
          <w:lang w:val="en-GB"/>
        </w:rPr>
      </w:pPr>
      <w:r>
        <w:rPr>
          <w:rFonts w:cstheme="minorHAnsi"/>
          <w:i/>
          <w:sz w:val="20"/>
          <w:szCs w:val="20"/>
          <w:lang w:val="en-GB"/>
        </w:rPr>
        <w:t>SD: Standard deviation, ILD: Interstitial lung disease</w:t>
      </w:r>
    </w:p>
    <w:p w:rsidR="00AD6E4D" w:rsidRDefault="005C1F28">
      <w:pPr>
        <w:rPr>
          <w:lang w:val="en-GB"/>
        </w:rPr>
      </w:pPr>
      <w:r>
        <w:rPr>
          <w:lang w:val="en-GB"/>
        </w:rPr>
        <w:br w:type="page"/>
      </w:r>
    </w:p>
    <w:p w:rsidR="00AD6E4D" w:rsidRDefault="005C1F28">
      <w:pPr>
        <w:pStyle w:val="Caption"/>
        <w:rPr>
          <w:color w:val="auto"/>
          <w:sz w:val="28"/>
          <w:szCs w:val="22"/>
        </w:rPr>
      </w:pPr>
      <w:r>
        <w:rPr>
          <w:color w:val="auto"/>
          <w:sz w:val="22"/>
        </w:rPr>
        <w:lastRenderedPageBreak/>
        <w:t>Additional file 2: Table S4</w:t>
      </w:r>
      <w:r>
        <w:rPr>
          <w:color w:val="auto"/>
          <w:sz w:val="22"/>
          <w:lang w:val="en-GB"/>
        </w:rPr>
        <w:t xml:space="preserve"> </w:t>
      </w:r>
      <w:r>
        <w:rPr>
          <w:color w:val="auto"/>
          <w:sz w:val="22"/>
        </w:rPr>
        <w:t xml:space="preserve">Characteristics of patients with </w:t>
      </w:r>
      <w:r>
        <w:rPr>
          <w:b/>
          <w:color w:val="auto"/>
          <w:sz w:val="22"/>
        </w:rPr>
        <w:t>idiopathic interstitial pneumonia</w:t>
      </w:r>
      <w:r>
        <w:rPr>
          <w:color w:val="auto"/>
          <w:sz w:val="22"/>
        </w:rPr>
        <w:t xml:space="preserve"> with raw and IPTW-weighted standardized mean differences</w:t>
      </w:r>
    </w:p>
    <w:tbl>
      <w:tblPr>
        <w:tblStyle w:val="Table"/>
        <w:tblW w:w="9908" w:type="dxa"/>
        <w:tblInd w:w="-108" w:type="dxa"/>
        <w:tblLayout w:type="fixed"/>
        <w:tblLook w:val="07E0" w:firstRow="1" w:lastRow="1" w:firstColumn="1" w:lastColumn="1" w:noHBand="1" w:noVBand="1"/>
      </w:tblPr>
      <w:tblGrid>
        <w:gridCol w:w="4464"/>
        <w:gridCol w:w="1474"/>
        <w:gridCol w:w="1474"/>
        <w:gridCol w:w="912"/>
        <w:gridCol w:w="1584"/>
      </w:tblGrid>
      <w:tr w:rsidR="00AD6E4D">
        <w:tc>
          <w:tcPr>
            <w:tcW w:w="4464" w:type="dxa"/>
            <w:vAlign w:val="bottom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0" w:type="dxa"/>
            <w:gridSpan w:val="3"/>
            <w:tcBorders>
              <w:bottom w:val="single" w:sz="0" w:space="0" w:color="auto"/>
              <w:right w:val="single" w:sz="4" w:space="0" w:color="auto"/>
            </w:tcBorders>
            <w:vAlign w:val="bottom"/>
          </w:tcPr>
          <w:p w:rsidR="00AD6E4D" w:rsidRDefault="005C1F28">
            <w:pPr>
              <w:pStyle w:val="Compact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Unweighted</w:t>
            </w:r>
          </w:p>
        </w:tc>
        <w:tc>
          <w:tcPr>
            <w:tcW w:w="158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IPTW-weighted</w:t>
            </w:r>
          </w:p>
        </w:tc>
      </w:tr>
      <w:tr w:rsidR="00AD6E4D">
        <w:tc>
          <w:tcPr>
            <w:tcW w:w="4464" w:type="dxa"/>
            <w:tcBorders>
              <w:bottom w:val="single" w:sz="0" w:space="0" w:color="auto"/>
            </w:tcBorders>
            <w:vAlign w:val="bottom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Non-specialised centre</w:t>
            </w:r>
          </w:p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(N = 11839)</w:t>
            </w:r>
          </w:p>
        </w:tc>
        <w:tc>
          <w:tcPr>
            <w:tcW w:w="147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Specialised </w:t>
            </w:r>
            <w:r>
              <w:rPr>
                <w:rFonts w:cstheme="minorHAnsi"/>
                <w:sz w:val="20"/>
                <w:szCs w:val="20"/>
                <w:lang w:val="en-GB"/>
              </w:rPr>
              <w:br/>
              <w:t xml:space="preserve">ILD centre </w:t>
            </w:r>
            <w:r>
              <w:rPr>
                <w:rFonts w:cstheme="minorHAnsi"/>
                <w:sz w:val="20"/>
                <w:szCs w:val="20"/>
                <w:lang w:val="en-GB"/>
              </w:rPr>
              <w:br/>
              <w:t>(N = 716)</w:t>
            </w:r>
          </w:p>
        </w:tc>
        <w:tc>
          <w:tcPr>
            <w:tcW w:w="912" w:type="dxa"/>
            <w:tcBorders>
              <w:bottom w:val="single" w:sz="0" w:space="0" w:color="auto"/>
              <w:right w:val="single" w:sz="4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SMD</w:t>
            </w:r>
          </w:p>
        </w:tc>
        <w:tc>
          <w:tcPr>
            <w:tcW w:w="158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SMD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Age (years),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73.3 (11.5)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69.5 (10.9)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0.341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Sex (female),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4485 (37.9)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244 (34.1)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GIMD 2015,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0.601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Q1 (least deprived quintile)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1869 (15.8)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246 (34.4)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Q2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2416 (20.4)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132 (18.4)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Q3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2301 (19.4)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 (4.6)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2612 (22.1)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172</w:t>
            </w:r>
            <w:r>
              <w:rPr>
                <w:rFonts w:cstheme="minorHAnsi"/>
                <w:sz w:val="20"/>
                <w:szCs w:val="20"/>
              </w:rPr>
              <w:t xml:space="preserve"> (24.0)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rPr>
          <w:trHeight w:val="20"/>
        </w:trPr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Q5 (most deprived quintile)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2641 (22.3)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133 (18.6)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Residential area,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0.404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Major city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2484 (21.0)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 (28.2)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Urban 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4304 (36.4)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323 (45.1)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Rural 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2564 (21.7)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132 (18.4)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Remote rural 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2487 </w:t>
            </w:r>
            <w:r>
              <w:rPr>
                <w:rFonts w:cstheme="minorHAnsi"/>
                <w:sz w:val="20"/>
                <w:szCs w:val="20"/>
              </w:rPr>
              <w:t>(21.0)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 (8.2)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Nursing Home Residency,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566 (4.8)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 (2.1)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0.148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dependency,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0.348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No care level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8133 (68.7)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594 (83.0)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1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1818 (15.4)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54 (7.5)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2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1296 (10.9)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 (5.9)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3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445 </w:t>
            </w:r>
            <w:r>
              <w:rPr>
                <w:rFonts w:cstheme="minorHAnsi"/>
                <w:sz w:val="20"/>
                <w:szCs w:val="20"/>
              </w:rPr>
              <w:t>(3.8)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 (3.1)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115 (1.0)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(0.4)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5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 (0.3)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(0.1)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Employment,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976 (8.2)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109 (15.2)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0.218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Comorbidities Elixhauser score,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3.8 (2.4)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3.4 (2.3)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0.180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Comorbidities modified Elixhauser </w:t>
            </w:r>
            <w:r>
              <w:rPr>
                <w:rFonts w:cstheme="minorHAnsi"/>
                <w:sz w:val="20"/>
                <w:szCs w:val="20"/>
                <w:lang w:val="en-GB"/>
              </w:rPr>
              <w:t>categories,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Congestive heart failure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3153 (26.6)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140 (19.6)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0.169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Cardiac arrhythmias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3115 (26.3)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137 (19.1)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0.172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Valvular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1586 (13.4)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 (9.8)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0.113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Peripheral vascular disorders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2818 (23.8)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145 (20.3)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0.086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</w:t>
            </w: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Hypertension, uncomplicated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6766 (57.2)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374 (52.2)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Hypertension, 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1506 (12.7)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76 (10.6)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Chronic pulmonary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4799 (40.5)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281 (39.2)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Diabetes, uncomplicated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1773 (15.0)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99 (13.8)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Diabetes, 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2416 (20.4)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151 (21.1)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Hypothyroidism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1118 (9.4)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71 (9.9)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lastRenderedPageBreak/>
              <w:t>Renal failure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2293 (19.4)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103 (14.4)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0.133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Liver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1585 (13.4)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111 (15.5)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Solid tumor without metastasis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1353 (11.4)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87 </w:t>
            </w:r>
            <w:r>
              <w:rPr>
                <w:rFonts w:cstheme="minorHAnsi"/>
                <w:sz w:val="20"/>
                <w:szCs w:val="20"/>
              </w:rPr>
              <w:t>(12.2)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Rheumatoid arthritis/collagen vascular diseases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1347 (11.4)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72 (10.1)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1891 (16.0)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128 (17.9)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Depression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2523 (21.3)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135 (18.9)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Comorbidities IPF-specific,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Coronary heart </w:t>
            </w:r>
            <w:r>
              <w:rPr>
                <w:rFonts w:cstheme="minorHAnsi"/>
                <w:sz w:val="20"/>
                <w:szCs w:val="20"/>
                <w:lang w:val="en-GB"/>
              </w:rPr>
              <w:t>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4227 (35.7)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209 (29.2)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0.139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Gastro-oesophageal reflux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1736 (14.7)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109 (15.2)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Obstructive sleep apnoea syndrome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643 (5.4)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 (6.6)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Thrombosis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372 (3.1)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 (3.9)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Lung cancer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342 (2.9)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33 </w:t>
            </w:r>
            <w:r>
              <w:rPr>
                <w:rFonts w:cstheme="minorHAnsi"/>
                <w:sz w:val="20"/>
                <w:szCs w:val="20"/>
              </w:rPr>
              <w:t>(4.6)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Pulmonary hypertension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406 (3.4)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 (3.5)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Drug treatments,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Immunosuppressants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185 (1.6)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 (1.8)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Acetylcysteine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402 (3.4)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 (4.2)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Glucocorticoids, Corticosteroids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2346 (19.8)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137 </w:t>
            </w:r>
            <w:r>
              <w:rPr>
                <w:rFonts w:cstheme="minorHAnsi"/>
                <w:sz w:val="20"/>
                <w:szCs w:val="20"/>
              </w:rPr>
              <w:t>(19.1)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anti-clotting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2929 (24.7)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142 (19.8)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0.118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anti-acid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4764 (40.2)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266 (37.2)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anti-depressants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1539 (13.0)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69 (9.6)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0.106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anti-diabetic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2239 (18.9)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134 (18.7)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drugs against obstructive airway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2813 (23.8)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183 (25.6)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pulmonary hypertension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58 (0.5)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 (1.1)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heart insufficiency/cardiac arrhythmia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4595 (38.8)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185 (25.8)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0.280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cardiovascular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7542 (63.7)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400 (55.9)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0.160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Hospitalisations in 3 months before treatment,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All cause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4025 (34.0)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284 (39.7)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0.118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Respiratory-related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1398 (11.8)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106 (14.8)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0.088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Use of outpatient services in the year before treatment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Contacts to physicians overall,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11.1 (8.5)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13.3 (9.0)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0.258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Contact to pulmonologists,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2253 (19.0)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314 (43.9)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0.555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Costs in the year before diagnosis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in €, mean (SD)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Outpatient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12745 (2392)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1361 (2011)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Inpatient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10106 (14332)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11062 (20803)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Pharmaceutical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2516 (7505)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2463 (6446)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Year of confirmed diagnosis, mean (SD)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0.139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3103 (26.2)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191 (26.7)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lastRenderedPageBreak/>
              <w:t>2015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3000 (25.3)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152 (21.2)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2016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2975 (25.1)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168 (23.5)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2017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2761 (23.3)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205 (28.6)</w:t>
            </w:r>
          </w:p>
        </w:tc>
        <w:tc>
          <w:tcPr>
            <w:tcW w:w="912" w:type="dxa"/>
            <w:tcBorders>
              <w:bottom w:val="single" w:sz="4" w:space="0" w:color="auto"/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:rsidR="00AD6E4D" w:rsidRDefault="005C1F28">
      <w:pPr>
        <w:rPr>
          <w:rFonts w:cstheme="minorHAnsi"/>
          <w:i/>
          <w:lang w:val="en-GB"/>
        </w:rPr>
      </w:pPr>
      <w:r>
        <w:rPr>
          <w:rFonts w:cstheme="minorHAnsi"/>
          <w:i/>
          <w:sz w:val="20"/>
          <w:szCs w:val="20"/>
          <w:lang w:val="en-GB"/>
        </w:rPr>
        <w:t>GIMD 2015: German Index of Multiple Deprivation, year 2015; Q: Quintile; SD: Standard deviation; SMD: Standardized mean difference</w:t>
      </w:r>
    </w:p>
    <w:p w:rsidR="00AD6E4D" w:rsidRDefault="005C1F28">
      <w:r>
        <w:br w:type="page"/>
      </w:r>
    </w:p>
    <w:p w:rsidR="00AD6E4D" w:rsidRDefault="005C1F28">
      <w:pPr>
        <w:pStyle w:val="Caption"/>
        <w:rPr>
          <w:color w:val="auto"/>
          <w:sz w:val="22"/>
        </w:rPr>
      </w:pPr>
      <w:r>
        <w:rPr>
          <w:color w:val="auto"/>
          <w:sz w:val="22"/>
        </w:rPr>
        <w:lastRenderedPageBreak/>
        <w:t>Additional file 2: Table S</w:t>
      </w:r>
      <w:r>
        <w:rPr>
          <w:color w:val="auto"/>
          <w:sz w:val="22"/>
        </w:rPr>
        <w:fldChar w:fldCharType="begin"/>
      </w:r>
      <w:r>
        <w:rPr>
          <w:color w:val="auto"/>
          <w:sz w:val="22"/>
        </w:rPr>
        <w:instrText xml:space="preserve"> SEQ Table_E \* ARABIC </w:instrText>
      </w:r>
      <w:r>
        <w:rPr>
          <w:color w:val="auto"/>
          <w:sz w:val="22"/>
        </w:rPr>
        <w:fldChar w:fldCharType="separate"/>
      </w:r>
      <w:r>
        <w:rPr>
          <w:noProof/>
          <w:color w:val="auto"/>
          <w:sz w:val="22"/>
        </w:rPr>
        <w:t>5</w:t>
      </w:r>
      <w:r>
        <w:rPr>
          <w:color w:val="auto"/>
          <w:sz w:val="22"/>
        </w:rPr>
        <w:fldChar w:fldCharType="end"/>
      </w:r>
      <w:r>
        <w:rPr>
          <w:color w:val="auto"/>
          <w:sz w:val="22"/>
        </w:rPr>
        <w:t xml:space="preserve"> Characteristics of patients with </w:t>
      </w:r>
      <w:r>
        <w:rPr>
          <w:b/>
          <w:color w:val="auto"/>
          <w:sz w:val="22"/>
        </w:rPr>
        <w:t>sarcoidosis</w:t>
      </w:r>
      <w:r>
        <w:rPr>
          <w:color w:val="auto"/>
          <w:sz w:val="22"/>
        </w:rPr>
        <w:t xml:space="preserve"> with raw and IPTW-weighted standardized mean differences</w:t>
      </w:r>
    </w:p>
    <w:tbl>
      <w:tblPr>
        <w:tblStyle w:val="Table"/>
        <w:tblW w:w="9908" w:type="dxa"/>
        <w:tblInd w:w="-108" w:type="dxa"/>
        <w:tblLayout w:type="fixed"/>
        <w:tblLook w:val="07E0" w:firstRow="1" w:lastRow="1" w:firstColumn="1" w:lastColumn="1" w:noHBand="1" w:noVBand="1"/>
      </w:tblPr>
      <w:tblGrid>
        <w:gridCol w:w="4464"/>
        <w:gridCol w:w="1474"/>
        <w:gridCol w:w="1474"/>
        <w:gridCol w:w="912"/>
        <w:gridCol w:w="1584"/>
      </w:tblGrid>
      <w:tr w:rsidR="00AD6E4D">
        <w:tc>
          <w:tcPr>
            <w:tcW w:w="4464" w:type="dxa"/>
            <w:vAlign w:val="bottom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860" w:type="dxa"/>
            <w:gridSpan w:val="3"/>
            <w:tcBorders>
              <w:bottom w:val="single" w:sz="0" w:space="0" w:color="auto"/>
              <w:right w:val="single" w:sz="4" w:space="0" w:color="auto"/>
            </w:tcBorders>
            <w:vAlign w:val="bottom"/>
          </w:tcPr>
          <w:p w:rsidR="00AD6E4D" w:rsidRDefault="005C1F28">
            <w:pPr>
              <w:pStyle w:val="Compact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Unweighted</w:t>
            </w:r>
          </w:p>
        </w:tc>
        <w:tc>
          <w:tcPr>
            <w:tcW w:w="158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IPTW-weighted</w:t>
            </w:r>
          </w:p>
        </w:tc>
      </w:tr>
      <w:tr w:rsidR="00AD6E4D">
        <w:tc>
          <w:tcPr>
            <w:tcW w:w="4464" w:type="dxa"/>
            <w:tcBorders>
              <w:bottom w:val="single" w:sz="0" w:space="0" w:color="auto"/>
            </w:tcBorders>
            <w:vAlign w:val="bottom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Non-specialised centre</w:t>
            </w:r>
          </w:p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(N = </w:t>
            </w:r>
            <w:r>
              <w:rPr>
                <w:rFonts w:cstheme="minorHAnsi"/>
                <w:sz w:val="20"/>
                <w:szCs w:val="20"/>
              </w:rPr>
              <w:t>6049</w:t>
            </w:r>
            <w:r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147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Specialised </w:t>
            </w:r>
            <w:r>
              <w:rPr>
                <w:rFonts w:cstheme="minorHAnsi"/>
                <w:sz w:val="20"/>
                <w:szCs w:val="20"/>
                <w:lang w:val="en-GB"/>
              </w:rPr>
              <w:br/>
              <w:t xml:space="preserve">ILD centre     </w:t>
            </w:r>
            <w:r>
              <w:rPr>
                <w:rFonts w:cstheme="minorHAnsi"/>
                <w:sz w:val="20"/>
                <w:szCs w:val="20"/>
                <w:lang w:val="en-GB"/>
              </w:rPr>
              <w:br/>
              <w:t xml:space="preserve">(N = </w:t>
            </w:r>
            <w:r>
              <w:rPr>
                <w:rFonts w:cstheme="minorHAnsi"/>
                <w:sz w:val="20"/>
                <w:szCs w:val="20"/>
              </w:rPr>
              <w:t>448</w:t>
            </w:r>
            <w:r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912" w:type="dxa"/>
            <w:tcBorders>
              <w:bottom w:val="single" w:sz="0" w:space="0" w:color="auto"/>
              <w:right w:val="single" w:sz="4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SMD</w:t>
            </w:r>
          </w:p>
        </w:tc>
        <w:tc>
          <w:tcPr>
            <w:tcW w:w="158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SMD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Age (years),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55.9 (16.2)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52.7 (13.8)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0.215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Sex (female),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2908 (48.1)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203 (45.3)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GIMD 2015,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0.687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Q1 (least deprived quintile)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965 (16.0)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148 (33.0)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Q2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1329 (22.0)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63 (14.1)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Q3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1234 </w:t>
            </w:r>
            <w:r>
              <w:rPr>
                <w:rFonts w:cstheme="minorHAnsi"/>
                <w:sz w:val="20"/>
                <w:szCs w:val="20"/>
              </w:rPr>
              <w:t>(20.4)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(3.1)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1292 (21.4)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114 (25.4)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rPr>
          <w:trHeight w:val="20"/>
        </w:trPr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Q5 (most deprived quintile)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1229 (20.3)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109 (24.3)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Residential area,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0.332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Major city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1460 (24.1)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119 (26.6)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Urban 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2186 (36.1)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165 (36.8)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Rural 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1213 (20.1)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124 </w:t>
            </w:r>
            <w:r>
              <w:rPr>
                <w:rFonts w:cstheme="minorHAnsi"/>
                <w:sz w:val="20"/>
                <w:szCs w:val="20"/>
              </w:rPr>
              <w:t>(27.7)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Remote rural 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1190 (19.7)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 (8.9)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Nursing Home Residency,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64 (1.1)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(0.9)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Care dependency,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0.157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No care level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5461 (90.3)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421 (94.0)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Care level 1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292 (4.8)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(2.7)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Care level 2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212 (3.5)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 xml:space="preserve"> (2.0)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Care level 3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 (0.9)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(1.1)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Care level 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(0.4)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(0.2)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Care level 5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(0.1)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kern w:val="24"/>
                <w:sz w:val="20"/>
                <w:szCs w:val="20"/>
                <w:lang w:val="en-GB"/>
              </w:rPr>
              <w:t>Employment,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2424 (40.1)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243 (54.2)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0.287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Comorbidities Elixhauser score,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2.4 (2.3)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2.1 (2.1)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0.139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Comorbidities </w:t>
            </w:r>
            <w:r>
              <w:rPr>
                <w:rFonts w:cstheme="minorHAnsi"/>
                <w:sz w:val="20"/>
                <w:szCs w:val="20"/>
                <w:lang w:val="en-GB"/>
              </w:rPr>
              <w:t>modified Elixhauser categories,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Congestive heart failure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631 (10.4)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 (6.2)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0.152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Cardiac arrhythmias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750 (12.4)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 (9.6)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Valvular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380 (6.3)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 (6.0)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Peripheral vascular disorders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587 (9.7)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 (7.1)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Hypertension, uncomplicated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2512 (41.5)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174 (38.8)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Hypertension, 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430 (7.1)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(5.4)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Chronic pulmonary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1416 (23.4)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113 (25.2)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Diabetes, uncomplicated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680 (11.2)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 (8.5)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</w:t>
            </w: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Diabetes, 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823 (13.6)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51 (11.4)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Hypothyroidism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631 (10.4)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 (11.2)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lastRenderedPageBreak/>
              <w:t>Renal failure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586 (9.7)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 (4.7)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0.195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Liver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680 (11.2)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 (10.7)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Solid tumor without metastasis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387 (6.4)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23 </w:t>
            </w:r>
            <w:r>
              <w:rPr>
                <w:rFonts w:cstheme="minorHAnsi"/>
                <w:sz w:val="20"/>
                <w:szCs w:val="20"/>
              </w:rPr>
              <w:t>(5.1)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Rheumatoid arthritis/collagen vascular diseases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370 (6.1)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(5.4)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1173 (19.4)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62 (13.8)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0.150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Depression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1244 (20.6)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103 (23.0)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Comorbidities IPF-specific,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Coronary heart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861 (14.2)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 (9.6)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0.143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Gastro-oesophageal reflux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686 (11.3)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 (10.0)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Obstructive sleep apnoea syndrome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274 (4.5)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 (4.9)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Thrombosis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137 (2.3)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 (2.5)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Lung cancer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 (0.9)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(1.1)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Pulmonary hypertension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69 (1.1)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(0.7)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Drug treatments,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Immunosuppressants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 (1.2)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(1.1)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Acetylcysteine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 (1.3)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(1.3)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Glucocorticoids, Corticosteroids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1019 (16.8)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 (12.5)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0.123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Treatment </w:t>
            </w:r>
            <w:r>
              <w:rPr>
                <w:rFonts w:cstheme="minorHAnsi"/>
                <w:sz w:val="20"/>
                <w:szCs w:val="20"/>
                <w:lang w:val="en-GB"/>
              </w:rPr>
              <w:t>with anti-clotting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744 (12.3)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 (8.0)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0.141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anti-acid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1881 (31.1)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121 (27.0)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anti-depressants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691 (11.4)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 (8.7)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anti-diabetic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927 (15.3)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 (10.5)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0.145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</w:t>
            </w: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drugs against obstructive airway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890 (14.7)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74 (16.5)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pulmonary hypertension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(0.1)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(0.2)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heart insufficiency/cardiac arrhythmia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1077 (17.8)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 (10.9)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0.197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cardiovascular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2561 (42.3)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167 (37.3)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0.104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Hospitalisations in 3 months before treatment,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All cause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1937 (32.0)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144 (32.1)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Respiratory-related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264 (4.4)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 (3.8)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Use of outpatient services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in the year before treatment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Contacts to physicians overall,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11.6 (8.0)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12.6 (7.2)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0.132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Contact to pulmonologists,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1184 (19.6)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157 (35.0)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0.353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Costs in the year before diagnosis in €, mean (SD)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Outpatient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1095 (2248)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1019 (1383)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Inpatient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6966 (8892)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6865 (10350)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Pharmaceutical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1423 (5742)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1330 (5523)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Year of confirmed diagnosis, mean (SD)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1528 (25.3)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101 (22.5)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lastRenderedPageBreak/>
              <w:t>2015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1536 (25.4)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115 (25.7)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2016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1517 (25.1)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107 (23.9)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2017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1468 (24.3)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125 (27.9)</w:t>
            </w:r>
          </w:p>
        </w:tc>
        <w:tc>
          <w:tcPr>
            <w:tcW w:w="912" w:type="dxa"/>
            <w:tcBorders>
              <w:bottom w:val="single" w:sz="4" w:space="0" w:color="auto"/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:rsidR="00AD6E4D" w:rsidRDefault="005C1F28">
      <w:pPr>
        <w:rPr>
          <w:rFonts w:cstheme="minorHAnsi"/>
          <w:i/>
        </w:rPr>
      </w:pPr>
      <w:r>
        <w:rPr>
          <w:rFonts w:cstheme="minorHAnsi"/>
          <w:i/>
          <w:sz w:val="20"/>
          <w:szCs w:val="20"/>
          <w:lang w:val="en-GB"/>
        </w:rPr>
        <w:t>GIMD 2015: German Index of Multiple Deprivation, year 2015; Q: Quintile; SD: Standard deviation; SMD: Standardized mean difference</w:t>
      </w:r>
    </w:p>
    <w:p w:rsidR="00AD6E4D" w:rsidRDefault="00AD6E4D"/>
    <w:p w:rsidR="00AD6E4D" w:rsidRDefault="005C1F28">
      <w:r>
        <w:br w:type="page"/>
      </w:r>
    </w:p>
    <w:p w:rsidR="00AD6E4D" w:rsidRDefault="005C1F28">
      <w:pPr>
        <w:pStyle w:val="Caption"/>
        <w:rPr>
          <w:color w:val="auto"/>
          <w:sz w:val="22"/>
        </w:rPr>
      </w:pPr>
      <w:r>
        <w:rPr>
          <w:color w:val="auto"/>
          <w:sz w:val="22"/>
        </w:rPr>
        <w:lastRenderedPageBreak/>
        <w:t>Additional file 2: Table S</w:t>
      </w:r>
      <w:r>
        <w:rPr>
          <w:color w:val="auto"/>
          <w:sz w:val="22"/>
        </w:rPr>
        <w:fldChar w:fldCharType="begin"/>
      </w:r>
      <w:r>
        <w:rPr>
          <w:color w:val="auto"/>
          <w:sz w:val="22"/>
        </w:rPr>
        <w:instrText xml:space="preserve"> SEQ Table_E \* ARABIC </w:instrText>
      </w:r>
      <w:r>
        <w:rPr>
          <w:color w:val="auto"/>
          <w:sz w:val="22"/>
        </w:rPr>
        <w:fldChar w:fldCharType="separate"/>
      </w:r>
      <w:r>
        <w:rPr>
          <w:noProof/>
          <w:color w:val="auto"/>
          <w:sz w:val="22"/>
        </w:rPr>
        <w:t>6</w:t>
      </w:r>
      <w:r>
        <w:rPr>
          <w:color w:val="auto"/>
          <w:sz w:val="22"/>
        </w:rPr>
        <w:fldChar w:fldCharType="end"/>
      </w:r>
      <w:r>
        <w:rPr>
          <w:color w:val="auto"/>
          <w:sz w:val="22"/>
        </w:rPr>
        <w:t xml:space="preserve"> Characteristics of patients with </w:t>
      </w:r>
      <w:r>
        <w:rPr>
          <w:b/>
          <w:color w:val="auto"/>
          <w:sz w:val="22"/>
        </w:rPr>
        <w:t>other interstitial lung diseases</w:t>
      </w:r>
      <w:r>
        <w:rPr>
          <w:color w:val="auto"/>
          <w:sz w:val="22"/>
        </w:rPr>
        <w:t xml:space="preserve"> with raw and IPTW-weighted standardized mean differences</w:t>
      </w:r>
    </w:p>
    <w:tbl>
      <w:tblPr>
        <w:tblStyle w:val="Table"/>
        <w:tblW w:w="9908" w:type="dxa"/>
        <w:tblInd w:w="-108" w:type="dxa"/>
        <w:tblLayout w:type="fixed"/>
        <w:tblLook w:val="07E0" w:firstRow="1" w:lastRow="1" w:firstColumn="1" w:lastColumn="1" w:noHBand="1" w:noVBand="1"/>
      </w:tblPr>
      <w:tblGrid>
        <w:gridCol w:w="4464"/>
        <w:gridCol w:w="1474"/>
        <w:gridCol w:w="1474"/>
        <w:gridCol w:w="912"/>
        <w:gridCol w:w="1584"/>
      </w:tblGrid>
      <w:tr w:rsidR="00AD6E4D">
        <w:tc>
          <w:tcPr>
            <w:tcW w:w="4464" w:type="dxa"/>
            <w:vAlign w:val="bottom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860" w:type="dxa"/>
            <w:gridSpan w:val="3"/>
            <w:tcBorders>
              <w:bottom w:val="single" w:sz="0" w:space="0" w:color="auto"/>
              <w:right w:val="single" w:sz="4" w:space="0" w:color="auto"/>
            </w:tcBorders>
            <w:vAlign w:val="bottom"/>
          </w:tcPr>
          <w:p w:rsidR="00AD6E4D" w:rsidRDefault="005C1F28">
            <w:pPr>
              <w:pStyle w:val="Compact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Unweighted</w:t>
            </w:r>
          </w:p>
        </w:tc>
        <w:tc>
          <w:tcPr>
            <w:tcW w:w="158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IPTW-weighted</w:t>
            </w:r>
          </w:p>
        </w:tc>
      </w:tr>
      <w:tr w:rsidR="00AD6E4D">
        <w:tc>
          <w:tcPr>
            <w:tcW w:w="4464" w:type="dxa"/>
            <w:tcBorders>
              <w:bottom w:val="single" w:sz="0" w:space="0" w:color="auto"/>
            </w:tcBorders>
            <w:vAlign w:val="bottom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Non-specialised centre</w:t>
            </w:r>
          </w:p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(N = 10883)</w:t>
            </w:r>
          </w:p>
        </w:tc>
        <w:tc>
          <w:tcPr>
            <w:tcW w:w="147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Specialised </w:t>
            </w:r>
            <w:r>
              <w:rPr>
                <w:rFonts w:cstheme="minorHAnsi"/>
                <w:sz w:val="20"/>
                <w:szCs w:val="20"/>
                <w:lang w:val="en-GB"/>
              </w:rPr>
              <w:br/>
              <w:t xml:space="preserve">ILD centre     </w:t>
            </w:r>
            <w:r>
              <w:rPr>
                <w:rFonts w:cstheme="minorHAnsi"/>
                <w:sz w:val="20"/>
                <w:szCs w:val="20"/>
                <w:lang w:val="en-GB"/>
              </w:rPr>
              <w:br/>
              <w:t>(N =858)</w:t>
            </w:r>
          </w:p>
        </w:tc>
        <w:tc>
          <w:tcPr>
            <w:tcW w:w="912" w:type="dxa"/>
            <w:tcBorders>
              <w:bottom w:val="single" w:sz="0" w:space="0" w:color="auto"/>
              <w:right w:val="single" w:sz="4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SMD</w:t>
            </w:r>
          </w:p>
        </w:tc>
        <w:tc>
          <w:tcPr>
            <w:tcW w:w="1584" w:type="dxa"/>
            <w:tcBorders>
              <w:bottom w:val="single" w:sz="0" w:space="0" w:color="auto"/>
            </w:tcBorders>
            <w:vAlign w:val="bottom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SMD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Age (years),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67.3 (14.0)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65.3 (13.3)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0.144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Sex (female),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4913 (45.1)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332 (38.7)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0.131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ILD entity [ICD-10],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0.331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Other fibrosing ILDs [J84.0, J84.8, J84.9, D48.1]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6147 (56.5)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507 (59.1)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Drug-associated ILDs [J70.2-J70.4]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488 (4.5)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 (4.3)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Pneumoconiosis [J62.0-J62.8, J63.0-J63.8]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826 (7.6)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 (4.4)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Radiation-associated pneumonitis [J70.1]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438 (4.0)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63 (7.3)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Eosinophilic pneumonia [J82]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624 (5.7)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54 (6.3)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 xml:space="preserve">Hypersensitivity </w:t>
            </w: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pneumonitis [J67.9]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773 (7.1)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97 (11.3)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Connective tissue-associated ILD [J99.1]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1587 (14.6)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62 (7.2)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GIMD 2015,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0.589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Q1 (least deprived quintile)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1822 (16.7)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256 (29.8)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Q2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2386 (21.9)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141 (16.4)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Q3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2143 (19.7)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 (3.8)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2217 (20.4)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221 (25.8)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rPr>
          <w:trHeight w:val="20"/>
        </w:trPr>
        <w:tc>
          <w:tcPr>
            <w:tcW w:w="4464" w:type="dxa"/>
          </w:tcPr>
          <w:p w:rsidR="00AD6E4D" w:rsidRDefault="005C1F28">
            <w:pPr>
              <w:pStyle w:val="Compact"/>
              <w:spacing w:before="0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Q5 (most deprived quintile)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2315 (21.3)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207 (24.1)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Residential area,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0.274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Major city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2572 (23.6)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241 (28.1)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Urban 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3995 (36.7)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298 (34.7)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Rural 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2246 (20.6)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229 (26.7)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Remote rural </w:t>
            </w:r>
            <w:r>
              <w:rPr>
                <w:rFonts w:cstheme="minorHAnsi"/>
                <w:sz w:val="20"/>
                <w:szCs w:val="20"/>
                <w:lang w:val="en-GB"/>
              </w:rPr>
              <w:t>districts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2070 (19.0)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90 (10.5)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Nursing Home Residency,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345 (3.2)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(0.7)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0.180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0.002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dependency, n (%)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0.260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No care level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8360 (76.8)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743 (86.6)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1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1143 (10.5)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46 (5.4)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2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941 (8.6)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 (5.5)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</w:t>
            </w: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322 (3.0)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 (1.7)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 (0.9)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(0.6)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ind w:left="288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Care level 5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(0.2)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(0.2)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NormalWeb"/>
              <w:spacing w:before="36" w:beforeAutospacing="0" w:after="36" w:afterAutospacing="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kern w:val="24"/>
                <w:sz w:val="20"/>
                <w:szCs w:val="20"/>
                <w:lang w:val="en-GB"/>
              </w:rPr>
              <w:t>Employment,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1756 (16.1)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175 (20.4)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0.110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Comorbidities Elixhauser score,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3.5 (2.4)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3.3 (2.3)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0.108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Comorbidities modified Elixhauser </w:t>
            </w:r>
            <w:r>
              <w:rPr>
                <w:rFonts w:cstheme="minorHAnsi"/>
                <w:sz w:val="20"/>
                <w:szCs w:val="20"/>
                <w:lang w:val="en-GB"/>
              </w:rPr>
              <w:t>categories,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Congestive heart failure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2136 (19.6)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137 (16.0)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Cardiac arrhythmias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2413 (22.2)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154 (17.9)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0.106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lastRenderedPageBreak/>
              <w:t>Valvular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1241 (11.4)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89 (10.4)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Peripheral vascular disorders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1996 (18.3)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132 (15.4)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Hypertension, uncomplicated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5603 (51.5)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420 (49.0)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Hypertension, 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1202 (11.0)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 (11.7)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Chronic pulmonary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4046 (37.2)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351 (40.9)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Diabetes, uncomplicated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1396 (12.8)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92 (10.7)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Diabetes, complicated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1852 (17.0)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121 (14.1)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0.080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Hypothyroidism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1207 (11.1)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97 (11.3)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Renal failure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1762 (16.2)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117 (13.6)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Liver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1431 (13.1)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125 (14.6)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Solid tumor without metastasis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1259 (11.6)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89 (10.4)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0.038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Rheumatoid arthritis/collagen vascular diseases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1887 (17.3)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105 (12.2)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0.144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1836 (16.9)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134 (15.6)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Depression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2423 (22.3)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198 (23.1)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Comorbidities IPF-specific,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Coronary heart </w:t>
            </w:r>
            <w:r>
              <w:rPr>
                <w:rFonts w:cstheme="minorHAnsi"/>
                <w:sz w:val="20"/>
                <w:szCs w:val="20"/>
                <w:lang w:val="en-GB"/>
              </w:rPr>
              <w:t>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2797 (25.7)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206 (24.0)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0.039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Gastro-oesophageal reflux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1517 (13.9)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139 (16.2)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0.063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Obstructive sleep apnoea syndrome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610 (5.6)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71 (8.3)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0.105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Thrombosis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343 (3.2)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 (3.4)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Lung cancer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622 (5.7)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108 </w:t>
            </w:r>
            <w:r>
              <w:rPr>
                <w:rFonts w:cstheme="minorHAnsi"/>
                <w:sz w:val="20"/>
                <w:szCs w:val="20"/>
              </w:rPr>
              <w:t>(12.6)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0.240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Pulmonary hypertension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369 (3.4)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 (4.2)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Drug treatments,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Immunosuppressants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412 (3.8)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 (2.4)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Acetylcysteine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321 (2.9)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 (5.0)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0.106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Glucocorticoids, Corticosteroids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2742 (25.2)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224 </w:t>
            </w:r>
            <w:r>
              <w:rPr>
                <w:rFonts w:cstheme="minorHAnsi"/>
                <w:sz w:val="20"/>
                <w:szCs w:val="20"/>
              </w:rPr>
              <w:t>(26.1)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anti-clotting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2177 (20.0)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144 (16.8)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0.083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anti-acid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4456 (40.9)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308 (35.9)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0.104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anti-depressants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1390 (12.8)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84 (9.8)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0.094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anti-diabetic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drugs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1711 (15.7)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117 (13.6)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0.059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drugs against obstructive airway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2401 (22.1)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217 (25.3)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pulmonary hypertension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128 (1.2)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(0.7)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0.049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heart insufficiency/cardiac arrhythmia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3347 (30.8)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215 (25.1)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0.127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cardiovascular disease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6115 (56.2)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428 (49.9)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0.127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Hospitalisations in three months before treatment, n (%)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All cause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4370 (40.2)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419 (48.8)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0.175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Respiratory-related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1377 (12.7)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137 </w:t>
            </w:r>
            <w:r>
              <w:rPr>
                <w:rFonts w:cstheme="minorHAnsi"/>
                <w:sz w:val="20"/>
                <w:szCs w:val="20"/>
              </w:rPr>
              <w:t>(16.0)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0.095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Use of outpatient services in the year before treatment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lastRenderedPageBreak/>
              <w:t>Contacts to physicians overall, mean (SD)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12.7 (9.8)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12.4 (7.9)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Contact to pulmonologists, n (%)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2236 (20.5)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359 (41.8)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0.472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0.002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Costs in the year before </w:t>
            </w:r>
            <w:r>
              <w:rPr>
                <w:rFonts w:cstheme="minorHAnsi"/>
                <w:sz w:val="20"/>
                <w:szCs w:val="20"/>
                <w:lang w:val="en-GB"/>
              </w:rPr>
              <w:t>diagnosis in €, mean (SD)</w:t>
            </w:r>
          </w:p>
        </w:tc>
        <w:tc>
          <w:tcPr>
            <w:tcW w:w="1474" w:type="dxa"/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74" w:type="dxa"/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Outpatient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1547 (2971)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1367 (1926)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Inpatient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11782 (17681)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11074 (17294)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0.041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Pharmaceutical costs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3462 (10198)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2706 (8251)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0.082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Year of confirmed diagnosis, mean (SD)</w:t>
            </w: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0.163</w:t>
            </w:r>
          </w:p>
        </w:tc>
        <w:tc>
          <w:tcPr>
            <w:tcW w:w="1584" w:type="dxa"/>
          </w:tcPr>
          <w:p w:rsidR="00AD6E4D" w:rsidRDefault="005C1F28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2014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2702 (24.8)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175 (20.4)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vAlign w:val="center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2015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2646 (24.3)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190 (22.1)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2016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2745 (25.2)</w:t>
            </w:r>
          </w:p>
        </w:tc>
        <w:tc>
          <w:tcPr>
            <w:tcW w:w="1474" w:type="dxa"/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215 (25.1)</w:t>
            </w:r>
          </w:p>
        </w:tc>
        <w:tc>
          <w:tcPr>
            <w:tcW w:w="912" w:type="dxa"/>
            <w:tcBorders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D6E4D">
        <w:tc>
          <w:tcPr>
            <w:tcW w:w="446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ind w:left="284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2017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2790 (25.6)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AD6E4D" w:rsidRDefault="005C1F28">
            <w:pPr>
              <w:pStyle w:val="Compact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278 (32.4)</w:t>
            </w:r>
          </w:p>
        </w:tc>
        <w:tc>
          <w:tcPr>
            <w:tcW w:w="912" w:type="dxa"/>
            <w:tcBorders>
              <w:bottom w:val="single" w:sz="4" w:space="0" w:color="auto"/>
              <w:right w:val="single" w:sz="4" w:space="0" w:color="auto"/>
            </w:tcBorders>
          </w:tcPr>
          <w:p w:rsidR="00AD6E4D" w:rsidRDefault="00AD6E4D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AD6E4D" w:rsidRDefault="00AD6E4D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:rsidR="00AD6E4D" w:rsidRDefault="005C1F28">
      <w:pPr>
        <w:rPr>
          <w:rFonts w:cstheme="minorHAnsi"/>
          <w:i/>
        </w:rPr>
      </w:pPr>
      <w:r>
        <w:rPr>
          <w:rFonts w:cstheme="minorHAnsi"/>
          <w:i/>
          <w:sz w:val="20"/>
          <w:szCs w:val="20"/>
          <w:lang w:val="en-GB"/>
        </w:rPr>
        <w:t>GIMD 2015: German Index of Multiple Deprivation, year 2015; Q: Quintile; SD: Standard deviation; SMD: Standardized mean difference</w:t>
      </w:r>
    </w:p>
    <w:p w:rsidR="00AD6E4D" w:rsidRDefault="005C1F28">
      <w:pPr>
        <w:rPr>
          <w:lang w:val="en-GB"/>
        </w:rPr>
      </w:pPr>
      <w:r>
        <w:rPr>
          <w:lang w:val="en-GB"/>
        </w:rPr>
        <w:br w:type="page"/>
      </w:r>
    </w:p>
    <w:p w:rsidR="00AD6E4D" w:rsidRDefault="005C1F28">
      <w:pPr>
        <w:spacing w:after="0"/>
        <w:rPr>
          <w:lang w:val="en-GB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4560000" cy="720000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ve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00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E4D" w:rsidRDefault="005C1F28">
      <w:pPr>
        <w:pStyle w:val="Caption"/>
        <w:spacing w:after="0"/>
        <w:rPr>
          <w:color w:val="auto"/>
          <w:sz w:val="22"/>
          <w:szCs w:val="22"/>
        </w:rPr>
      </w:pPr>
      <w:r>
        <w:rPr>
          <w:color w:val="auto"/>
          <w:sz w:val="22"/>
        </w:rPr>
        <w:t xml:space="preserve">Additional file 2: </w:t>
      </w:r>
      <w:r>
        <w:rPr>
          <w:color w:val="auto"/>
          <w:sz w:val="22"/>
          <w:szCs w:val="22"/>
        </w:rPr>
        <w:t>Figure S</w:t>
      </w:r>
      <w:r>
        <w:rPr>
          <w:color w:val="auto"/>
          <w:sz w:val="22"/>
          <w:szCs w:val="22"/>
        </w:rPr>
        <w:fldChar w:fldCharType="begin"/>
      </w:r>
      <w:r>
        <w:rPr>
          <w:color w:val="auto"/>
          <w:sz w:val="22"/>
          <w:szCs w:val="22"/>
        </w:rPr>
        <w:instrText xml:space="preserve"> SEQ Figure_E \* ARABIC </w:instrText>
      </w:r>
      <w:r>
        <w:rPr>
          <w:color w:val="auto"/>
          <w:sz w:val="22"/>
          <w:szCs w:val="22"/>
        </w:rPr>
        <w:fldChar w:fldCharType="separate"/>
      </w:r>
      <w:r>
        <w:rPr>
          <w:noProof/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fldChar w:fldCharType="end"/>
      </w:r>
      <w:r>
        <w:rPr>
          <w:color w:val="auto"/>
          <w:sz w:val="22"/>
          <w:szCs w:val="22"/>
        </w:rPr>
        <w:t xml:space="preserve"> Balancing of covariates with standardized absolute mean differences and Kolgomorov-Smirnov test</w:t>
      </w:r>
    </w:p>
    <w:p w:rsidR="00AD6E4D" w:rsidRDefault="005C1F28">
      <w:pPr>
        <w:spacing w:after="0"/>
        <w:rPr>
          <w:i/>
          <w:sz w:val="20"/>
        </w:rPr>
      </w:pPr>
      <w:r>
        <w:rPr>
          <w:i/>
          <w:sz w:val="20"/>
        </w:rPr>
        <w:t>Standardized Mean Difference: Threshold at 0.1. Higher values indicate imbalance.</w:t>
      </w:r>
    </w:p>
    <w:p w:rsidR="00AD6E4D" w:rsidRDefault="005C1F28">
      <w:pPr>
        <w:spacing w:after="0"/>
        <w:rPr>
          <w:i/>
          <w:sz w:val="20"/>
        </w:rPr>
      </w:pPr>
      <w:r>
        <w:rPr>
          <w:i/>
          <w:sz w:val="20"/>
        </w:rPr>
        <w:t>Kolgomorov-Smirnov test for continuous variables: Threshold at 0.05. Higher values indicate imbalance.</w:t>
      </w:r>
    </w:p>
    <w:p w:rsidR="00AD6E4D" w:rsidRDefault="005C1F28">
      <w:pPr>
        <w:rPr>
          <w:i/>
          <w:iCs/>
          <w:szCs w:val="18"/>
        </w:rPr>
      </w:pPr>
      <w:r>
        <w:rPr>
          <w:i/>
          <w:sz w:val="20"/>
        </w:rPr>
        <w:t>* Continuous variables</w:t>
      </w:r>
      <w:bookmarkEnd w:id="0"/>
    </w:p>
    <w:sectPr w:rsidR="00AD6E4D" w:rsidSect="007D649E"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2CB1A" w16cex:dateUtc="2022-01-31T19:54:00Z"/>
  <w16cex:commentExtensible w16cex:durableId="25A2C8F5" w16cex:dateUtc="2022-01-19T11:26:00Z"/>
  <w16cex:commentExtensible w16cex:durableId="25A2CAF5" w16cex:dateUtc="2022-01-31T19:54:00Z"/>
  <w16cex:commentExtensible w16cex:durableId="25A2C8F6" w16cex:dateUtc="2022-01-24T09:36:00Z"/>
  <w16cex:commentExtensible w16cex:durableId="25A2C8F7" w16cex:dateUtc="2022-01-24T09:43:00Z"/>
  <w16cex:commentExtensible w16cex:durableId="25A2CA2D" w16cex:dateUtc="2022-01-31T19:50:00Z"/>
  <w16cex:commentExtensible w16cex:durableId="25A2D192" w16cex:dateUtc="2022-01-31T20:22:00Z"/>
  <w16cex:commentExtensible w16cex:durableId="25A2C8F8" w16cex:dateUtc="2022-01-25T09:14:00Z"/>
  <w16cex:commentExtensible w16cex:durableId="25A2D209" w16cex:dateUtc="2022-01-31T20:24:00Z"/>
  <w16cex:commentExtensible w16cex:durableId="25A2C8F9" w16cex:dateUtc="2022-01-21T12:18:00Z"/>
  <w16cex:commentExtensible w16cex:durableId="25A2C8FA" w16cex:dateUtc="2022-01-21T08:31:00Z"/>
  <w16cex:commentExtensible w16cex:durableId="25A2C8FB" w16cex:dateUtc="2022-01-21T08:28:00Z"/>
  <w16cex:commentExtensible w16cex:durableId="25A2C8FC" w16cex:dateUtc="2022-01-24T09:56:00Z"/>
  <w16cex:commentExtensible w16cex:durableId="25A2D8E0" w16cex:dateUtc="2022-01-31T20:53:00Z"/>
  <w16cex:commentExtensible w16cex:durableId="25A2C8FD" w16cex:dateUtc="2022-01-05T08:14:00Z"/>
  <w16cex:commentExtensible w16cex:durableId="25A2DADA" w16cex:dateUtc="2022-01-31T21:02:00Z"/>
  <w16cex:commentExtensible w16cex:durableId="25A2C8FE" w16cex:dateUtc="2022-01-24T12:23:00Z"/>
  <w16cex:commentExtensible w16cex:durableId="25A2DAEC" w16cex:dateUtc="2022-01-31T21:02:00Z"/>
  <w16cex:commentExtensible w16cex:durableId="25A2C8FF" w16cex:dateUtc="2022-01-19T06:04:00Z"/>
  <w16cex:commentExtensible w16cex:durableId="25A2C900" w16cex:dateUtc="2022-01-19T11:51:00Z"/>
  <w16cex:commentExtensible w16cex:durableId="25A2C901" w16cex:dateUtc="2022-01-19T06:05:00Z"/>
  <w16cex:commentExtensible w16cex:durableId="25A2C902" w16cex:dateUtc="2022-01-19T11:53:00Z"/>
  <w16cex:commentExtensible w16cex:durableId="25A2C903" w16cex:dateUtc="2022-01-04T11:00:00Z"/>
  <w16cex:commentExtensible w16cex:durableId="25A2DB50" w16cex:dateUtc="2022-01-31T21:04:00Z"/>
  <w16cex:commentExtensible w16cex:durableId="25A2C904" w16cex:dateUtc="2022-01-18T08:59:00Z"/>
  <w16cex:commentExtensible w16cex:durableId="25A2C905" w16cex:dateUtc="2022-01-20T08:21:00Z"/>
  <w16cex:commentExtensible w16cex:durableId="25A2DB5B" w16cex:dateUtc="2022-01-31T21:04:00Z"/>
  <w16cex:commentExtensible w16cex:durableId="25A2C906" w16cex:dateUtc="2022-01-19T06:48:00Z"/>
  <w16cex:commentExtensible w16cex:durableId="25A2C907" w16cex:dateUtc="2022-01-21T08:59:00Z"/>
  <w16cex:commentExtensible w16cex:durableId="25A2C908" w16cex:dateUtc="2022-01-20T14:08:00Z"/>
  <w16cex:commentExtensible w16cex:durableId="25A2C909" w16cex:dateUtc="2022-01-20T11:02:00Z"/>
  <w16cex:commentExtensible w16cex:durableId="25A2DBD9" w16cex:dateUtc="2022-01-31T21:06:00Z"/>
  <w16cex:commentExtensible w16cex:durableId="25A2DCA6" w16cex:dateUtc="2022-01-31T21:09:00Z"/>
  <w16cex:commentExtensible w16cex:durableId="25A2C90A" w16cex:dateUtc="2022-01-24T10:19:00Z"/>
  <w16cex:commentExtensible w16cex:durableId="25A2DCCF" w16cex:dateUtc="2022-01-31T21:10:00Z"/>
  <w16cex:commentExtensible w16cex:durableId="25A2DE82" w16cex:dateUtc="2022-01-31T21:17:00Z"/>
  <w16cex:commentExtensible w16cex:durableId="25A2C90B" w16cex:dateUtc="2022-01-21T12:27:00Z"/>
  <w16cex:commentExtensible w16cex:durableId="25A2E0E2" w16cex:dateUtc="2022-01-31T21:27:00Z"/>
  <w16cex:commentExtensible w16cex:durableId="25A2E151" w16cex:dateUtc="2022-01-31T21:29:00Z"/>
  <w16cex:commentExtensible w16cex:durableId="25A2C90C" w16cex:dateUtc="2022-01-19T07:36:00Z"/>
  <w16cex:commentExtensible w16cex:durableId="25A2E187" w16cex:dateUtc="2022-01-31T21:30:00Z"/>
  <w16cex:commentExtensible w16cex:durableId="25A2C90D" w16cex:dateUtc="2022-01-20T08:46:00Z"/>
  <w16cex:commentExtensible w16cex:durableId="25A2E1B5" w16cex:dateUtc="2022-01-31T21:31:00Z"/>
  <w16cex:commentExtensible w16cex:durableId="25A2C90E" w16cex:dateUtc="2022-01-19T07:40:00Z"/>
  <w16cex:commentExtensible w16cex:durableId="25A2C90F" w16cex:dateUtc="2022-01-24T11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E1D7FA" w16cid:durableId="25A2CB1A"/>
  <w16cid:commentId w16cid:paraId="119645C1" w16cid:durableId="25A2C8F5"/>
  <w16cid:commentId w16cid:paraId="0C0C7E9A" w16cid:durableId="25A2CAF5"/>
  <w16cid:commentId w16cid:paraId="4CFEC079" w16cid:durableId="25A2C8F6"/>
  <w16cid:commentId w16cid:paraId="642AC71C" w16cid:durableId="25A2C8F7"/>
  <w16cid:commentId w16cid:paraId="4C74A3B3" w16cid:durableId="25A2CA2D"/>
  <w16cid:commentId w16cid:paraId="44B36FCA" w16cid:durableId="25A2D192"/>
  <w16cid:commentId w16cid:paraId="58255F40" w16cid:durableId="25A2C8F8"/>
  <w16cid:commentId w16cid:paraId="1A7C6CE6" w16cid:durableId="25A2D209"/>
  <w16cid:commentId w16cid:paraId="2CC4118A" w16cid:durableId="25A2C8F9"/>
  <w16cid:commentId w16cid:paraId="66D4363B" w16cid:durableId="25A2C8FA"/>
  <w16cid:commentId w16cid:paraId="763167CF" w16cid:durableId="25A2C8FB"/>
  <w16cid:commentId w16cid:paraId="606867C8" w16cid:durableId="25A2C8FC"/>
  <w16cid:commentId w16cid:paraId="754F2939" w16cid:durableId="25A2D8E0"/>
  <w16cid:commentId w16cid:paraId="4DA4DE4B" w16cid:durableId="25A2C8FD"/>
  <w16cid:commentId w16cid:paraId="184AF6BF" w16cid:durableId="25A2DADA"/>
  <w16cid:commentId w16cid:paraId="48F0C46E" w16cid:durableId="25A2C8FE"/>
  <w16cid:commentId w16cid:paraId="027E3504" w16cid:durableId="25A2DAEC"/>
  <w16cid:commentId w16cid:paraId="7AF2D0E6" w16cid:durableId="25A2C8FF"/>
  <w16cid:commentId w16cid:paraId="5044F9D2" w16cid:durableId="25A2C900"/>
  <w16cid:commentId w16cid:paraId="4759CE67" w16cid:durableId="25A2C901"/>
  <w16cid:commentId w16cid:paraId="5B501691" w16cid:durableId="25A2C902"/>
  <w16cid:commentId w16cid:paraId="2A7E931E" w16cid:durableId="25A2C903"/>
  <w16cid:commentId w16cid:paraId="6C9BCB21" w16cid:durableId="25A2DB50"/>
  <w16cid:commentId w16cid:paraId="54DEA297" w16cid:durableId="25A2C904"/>
  <w16cid:commentId w16cid:paraId="7C1059A3" w16cid:durableId="25A2C905"/>
  <w16cid:commentId w16cid:paraId="1572EDDF" w16cid:durableId="25A2DB5B"/>
  <w16cid:commentId w16cid:paraId="6623C36A" w16cid:durableId="25A2C906"/>
  <w16cid:commentId w16cid:paraId="5074985F" w16cid:durableId="25A2C907"/>
  <w16cid:commentId w16cid:paraId="2406559F" w16cid:durableId="25A2C908"/>
  <w16cid:commentId w16cid:paraId="220F77D3" w16cid:durableId="25A2C909"/>
  <w16cid:commentId w16cid:paraId="250D99D7" w16cid:durableId="25A2DBD9"/>
  <w16cid:commentId w16cid:paraId="197CA50D" w16cid:durableId="25A2DCA6"/>
  <w16cid:commentId w16cid:paraId="4674A2EF" w16cid:durableId="25A2C90A"/>
  <w16cid:commentId w16cid:paraId="3DBAB07F" w16cid:durableId="25A2DCCF"/>
  <w16cid:commentId w16cid:paraId="520D1FDE" w16cid:durableId="25A2DE82"/>
  <w16cid:commentId w16cid:paraId="039B7708" w16cid:durableId="25A2C90B"/>
  <w16cid:commentId w16cid:paraId="635826BE" w16cid:durableId="25A2E0E2"/>
  <w16cid:commentId w16cid:paraId="7772076F" w16cid:durableId="25A2E151"/>
  <w16cid:commentId w16cid:paraId="34E1774F" w16cid:durableId="25A2C90C"/>
  <w16cid:commentId w16cid:paraId="4DBD4DBD" w16cid:durableId="25A2E187"/>
  <w16cid:commentId w16cid:paraId="5C1E6CB7" w16cid:durableId="25A2C90D"/>
  <w16cid:commentId w16cid:paraId="613038B5" w16cid:durableId="25A2E1B5"/>
  <w16cid:commentId w16cid:paraId="163D870B" w16cid:durableId="25A2C90E"/>
  <w16cid:commentId w16cid:paraId="51726D50" w16cid:durableId="25A2C90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F28" w:rsidRDefault="005C1F28">
      <w:pPr>
        <w:spacing w:after="0" w:line="240" w:lineRule="auto"/>
      </w:pPr>
      <w:r>
        <w:separator/>
      </w:r>
    </w:p>
  </w:endnote>
  <w:endnote w:type="continuationSeparator" w:id="0">
    <w:p w:rsidR="005C1F28" w:rsidRDefault="005C1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F28" w:rsidRDefault="005C1F28">
      <w:pPr>
        <w:spacing w:after="0" w:line="240" w:lineRule="auto"/>
      </w:pPr>
      <w:r>
        <w:separator/>
      </w:r>
    </w:p>
  </w:footnote>
  <w:footnote w:type="continuationSeparator" w:id="0">
    <w:p w:rsidR="005C1F28" w:rsidRDefault="005C1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C2109"/>
    <w:multiLevelType w:val="hybridMultilevel"/>
    <w:tmpl w:val="504CF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BF205C"/>
    <w:multiLevelType w:val="hybridMultilevel"/>
    <w:tmpl w:val="1FB00D62"/>
    <w:lvl w:ilvl="0" w:tplc="47AC0E7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C0B6D"/>
    <w:multiLevelType w:val="hybridMultilevel"/>
    <w:tmpl w:val="24A4EF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4782C"/>
    <w:multiLevelType w:val="hybridMultilevel"/>
    <w:tmpl w:val="B11C0A68"/>
    <w:lvl w:ilvl="0" w:tplc="7D62B9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de-D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A054D"/>
    <w:multiLevelType w:val="hybridMultilevel"/>
    <w:tmpl w:val="B032E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133C0"/>
    <w:multiLevelType w:val="hybridMultilevel"/>
    <w:tmpl w:val="9C40B516"/>
    <w:lvl w:ilvl="0" w:tplc="BEEE55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760C"/>
    <w:multiLevelType w:val="hybridMultilevel"/>
    <w:tmpl w:val="CFF22ED8"/>
    <w:lvl w:ilvl="0" w:tplc="EB689C0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F7E31"/>
    <w:multiLevelType w:val="hybridMultilevel"/>
    <w:tmpl w:val="1C9CD2B0"/>
    <w:lvl w:ilvl="0" w:tplc="E3B637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6652B"/>
    <w:multiLevelType w:val="hybridMultilevel"/>
    <w:tmpl w:val="0DFE05CA"/>
    <w:lvl w:ilvl="0" w:tplc="BDECA3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D148B"/>
    <w:multiLevelType w:val="hybridMultilevel"/>
    <w:tmpl w:val="5B6488B2"/>
    <w:lvl w:ilvl="0" w:tplc="22D6C44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3799A"/>
    <w:multiLevelType w:val="hybridMultilevel"/>
    <w:tmpl w:val="E300180A"/>
    <w:lvl w:ilvl="0" w:tplc="8BACF1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020BA"/>
    <w:multiLevelType w:val="hybridMultilevel"/>
    <w:tmpl w:val="B4E2B3F8"/>
    <w:lvl w:ilvl="0" w:tplc="A1941284">
      <w:start w:val="4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27066"/>
    <w:multiLevelType w:val="hybridMultilevel"/>
    <w:tmpl w:val="E9C26DA0"/>
    <w:lvl w:ilvl="0" w:tplc="C602AFB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357A8"/>
    <w:multiLevelType w:val="hybridMultilevel"/>
    <w:tmpl w:val="393E71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F71A1"/>
    <w:multiLevelType w:val="hybridMultilevel"/>
    <w:tmpl w:val="77741312"/>
    <w:lvl w:ilvl="0" w:tplc="5D40C8C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55DB8"/>
    <w:multiLevelType w:val="hybridMultilevel"/>
    <w:tmpl w:val="2DAEFA4A"/>
    <w:lvl w:ilvl="0" w:tplc="26F26E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E1B9C"/>
    <w:multiLevelType w:val="hybridMultilevel"/>
    <w:tmpl w:val="843ED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B30BA"/>
    <w:multiLevelType w:val="hybridMultilevel"/>
    <w:tmpl w:val="689A4698"/>
    <w:lvl w:ilvl="0" w:tplc="68BEC47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304B9"/>
    <w:multiLevelType w:val="hybridMultilevel"/>
    <w:tmpl w:val="2EF02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165F7"/>
    <w:multiLevelType w:val="hybridMultilevel"/>
    <w:tmpl w:val="8E8E43DE"/>
    <w:lvl w:ilvl="0" w:tplc="C06229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0EB"/>
    <w:multiLevelType w:val="hybridMultilevel"/>
    <w:tmpl w:val="016A92F2"/>
    <w:lvl w:ilvl="0" w:tplc="93C46A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1"/>
  </w:num>
  <w:num w:numId="5">
    <w:abstractNumId w:val="20"/>
  </w:num>
  <w:num w:numId="6">
    <w:abstractNumId w:val="0"/>
  </w:num>
  <w:num w:numId="7">
    <w:abstractNumId w:val="15"/>
  </w:num>
  <w:num w:numId="8">
    <w:abstractNumId w:val="7"/>
  </w:num>
  <w:num w:numId="9">
    <w:abstractNumId w:val="16"/>
  </w:num>
  <w:num w:numId="10">
    <w:abstractNumId w:val="3"/>
  </w:num>
  <w:num w:numId="11">
    <w:abstractNumId w:val="19"/>
  </w:num>
  <w:num w:numId="12">
    <w:abstractNumId w:val="18"/>
  </w:num>
  <w:num w:numId="13">
    <w:abstractNumId w:val="5"/>
  </w:num>
  <w:num w:numId="14">
    <w:abstractNumId w:val="9"/>
  </w:num>
  <w:num w:numId="15">
    <w:abstractNumId w:val="8"/>
  </w:num>
  <w:num w:numId="16">
    <w:abstractNumId w:val="10"/>
  </w:num>
  <w:num w:numId="17">
    <w:abstractNumId w:val="6"/>
  </w:num>
  <w:num w:numId="18">
    <w:abstractNumId w:val="12"/>
  </w:num>
  <w:num w:numId="19">
    <w:abstractNumId w:val="1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it-IT" w:vendorID="64" w:dllVersion="131078" w:nlCheck="1" w:checkStyle="0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td50szuatrz4e5twv5vtr4zapfxd9vrrpp&quot;&gt;MeineBib&lt;record-ids&gt;&lt;item&gt;33&lt;/item&gt;&lt;item&gt;51&lt;/item&gt;&lt;item&gt;59&lt;/item&gt;&lt;item&gt;196&lt;/item&gt;&lt;item&gt;386&lt;/item&gt;&lt;item&gt;462&lt;/item&gt;&lt;item&gt;483&lt;/item&gt;&lt;item&gt;543&lt;/item&gt;&lt;item&gt;548&lt;/item&gt;&lt;item&gt;549&lt;/item&gt;&lt;item&gt;611&lt;/item&gt;&lt;item&gt;613&lt;/item&gt;&lt;item&gt;619&lt;/item&gt;&lt;item&gt;621&lt;/item&gt;&lt;item&gt;626&lt;/item&gt;&lt;item&gt;641&lt;/item&gt;&lt;item&gt;642&lt;/item&gt;&lt;item&gt;680&lt;/item&gt;&lt;item&gt;703&lt;/item&gt;&lt;item&gt;704&lt;/item&gt;&lt;item&gt;709&lt;/item&gt;&lt;item&gt;710&lt;/item&gt;&lt;item&gt;711&lt;/item&gt;&lt;item&gt;712&lt;/item&gt;&lt;item&gt;713&lt;/item&gt;&lt;item&gt;716&lt;/item&gt;&lt;item&gt;718&lt;/item&gt;&lt;item&gt;730&lt;/item&gt;&lt;item&gt;731&lt;/item&gt;&lt;item&gt;732&lt;/item&gt;&lt;item&gt;738&lt;/item&gt;&lt;item&gt;739&lt;/item&gt;&lt;item&gt;740&lt;/item&gt;&lt;/record-ids&gt;&lt;/item&gt;&lt;/Libraries&gt;"/>
  </w:docVars>
  <w:rsids>
    <w:rsidRoot w:val="00AD6E4D"/>
    <w:rsid w:val="005C1F28"/>
    <w:rsid w:val="007D649E"/>
    <w:rsid w:val="00AD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27B7D4-1108-40A3-A54F-6757EE92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Zchn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Zchn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mpact">
    <w:name w:val="Compact"/>
    <w:basedOn w:val="BodyText"/>
    <w:qFormat/>
    <w:pPr>
      <w:spacing w:before="36" w:after="36" w:line="240" w:lineRule="auto"/>
    </w:pPr>
    <w:rPr>
      <w:sz w:val="24"/>
      <w:szCs w:val="24"/>
    </w:rPr>
  </w:style>
  <w:style w:type="table" w:customStyle="1" w:styleId="Table">
    <w:name w:val="Table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textcell">
    <w:name w:val="textcell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table" w:customStyle="1" w:styleId="Table1">
    <w:name w:val="Table1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cid-id-https">
    <w:name w:val="orcid-id-https"/>
    <w:basedOn w:val="DefaultParagraphFont"/>
  </w:style>
  <w:style w:type="table" w:customStyle="1" w:styleId="Table11">
    <w:name w:val="Table11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Table12">
    <w:name w:val="Table12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181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42742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17301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4677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86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679623">
          <w:marLeft w:val="0"/>
          <w:marRight w:val="0"/>
          <w:marTop w:val="0"/>
          <w:marBottom w:val="0"/>
          <w:divBdr>
            <w:top w:val="single" w:sz="6" w:space="4" w:color="D6DADC"/>
            <w:left w:val="none" w:sz="0" w:space="4" w:color="D6DADC"/>
            <w:bottom w:val="none" w:sz="0" w:space="4" w:color="D6DADC"/>
            <w:right w:val="none" w:sz="0" w:space="4" w:color="D6DADC"/>
          </w:divBdr>
        </w:div>
      </w:divsChild>
    </w:div>
    <w:div w:id="6056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BCD5F-65D3-4DA2-AC71-FA4E6D399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2160</Words>
  <Characters>12318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 Zentrum München</Company>
  <LinksUpToDate>false</LinksUpToDate>
  <CharactersWithSpaces>14450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Marijic, Pavo</dc:creator>
  <cp:keywords/>
  <dc:description/>
  <cp:lastModifiedBy>Rajeshwari A.</cp:lastModifiedBy>
  <cp:revision>5</cp:revision>
  <dcterms:created xsi:type="dcterms:W3CDTF">2022-04-25T07:49:00Z</dcterms:created>
  <dcterms:modified xsi:type="dcterms:W3CDTF">2022-08-24T05:52:00Z</dcterms:modified>
</cp:coreProperties>
</file>