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Caption"/>
        <w:rPr>
          <w:noProof/>
          <w:color w:val="auto"/>
          <w:sz w:val="24"/>
          <w:szCs w:val="20"/>
          <w:lang w:val="en-GB"/>
        </w:rPr>
      </w:pPr>
      <w:bookmarkStart w:id="0" w:name="_Ref92288064"/>
      <w:r>
        <w:rPr>
          <w:color w:val="auto"/>
          <w:sz w:val="22"/>
        </w:rPr>
        <w:t>Additional file 3: Table S</w:t>
      </w:r>
      <w:r>
        <w:rPr>
          <w:color w:val="auto"/>
          <w:sz w:val="22"/>
        </w:rPr>
        <w:fldChar w:fldCharType="begin"/>
      </w:r>
      <w:r>
        <w:rPr>
          <w:color w:val="auto"/>
          <w:sz w:val="22"/>
        </w:rPr>
        <w:instrText xml:space="preserve"> SEQ Table_E \* ARABIC </w:instrText>
      </w:r>
      <w:r>
        <w:rPr>
          <w:color w:val="auto"/>
          <w:sz w:val="22"/>
        </w:rPr>
        <w:fldChar w:fldCharType="separate"/>
      </w:r>
      <w:r>
        <w:rPr>
          <w:noProof/>
          <w:color w:val="auto"/>
          <w:sz w:val="22"/>
        </w:rPr>
        <w:t>7</w:t>
      </w:r>
      <w:r>
        <w:rPr>
          <w:color w:val="auto"/>
          <w:sz w:val="22"/>
        </w:rPr>
        <w:fldChar w:fldCharType="end"/>
      </w:r>
      <w:bookmarkEnd w:id="0"/>
      <w:r>
        <w:rPr>
          <w:color w:val="auto"/>
          <w:sz w:val="22"/>
        </w:rPr>
        <w:t xml:space="preserve"> </w:t>
      </w:r>
      <w:r>
        <w:rPr>
          <w:color w:val="000000" w:themeColor="text1"/>
          <w:sz w:val="22"/>
          <w:szCs w:val="22"/>
          <w:lang w:val="en-GB"/>
        </w:rPr>
        <w:t>Estimates of unweighted Cox Proportional Hazard Models for two-year mortality and one-year hospitalisation after confirmed diagnosis for main analysis and subgroups</w:t>
      </w:r>
    </w:p>
    <w:tbl>
      <w:tblPr>
        <w:tblStyle w:val="Table11"/>
        <w:tblW w:w="5000" w:type="pct"/>
        <w:tblInd w:w="0" w:type="dxa"/>
        <w:tblCellMar>
          <w:left w:w="57" w:type="dxa"/>
          <w:right w:w="57" w:type="dxa"/>
        </w:tblCellMar>
        <w:tblLook w:val="07E0" w:firstRow="1" w:lastRow="1" w:firstColumn="1" w:lastColumn="1" w:noHBand="1" w:noVBand="1"/>
      </w:tblPr>
      <w:tblGrid>
        <w:gridCol w:w="2977"/>
        <w:gridCol w:w="565"/>
        <w:gridCol w:w="1037"/>
        <w:gridCol w:w="565"/>
        <w:gridCol w:w="1030"/>
        <w:gridCol w:w="563"/>
        <w:gridCol w:w="1030"/>
        <w:gridCol w:w="1593"/>
      </w:tblGrid>
      <w:tr>
        <w:tc>
          <w:tcPr>
            <w:tcW w:w="1590" w:type="pct"/>
            <w:vAlign w:val="bottom"/>
          </w:tcPr>
          <w:p>
            <w:pPr>
              <w:spacing w:before="36" w:after="36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856" w:type="pct"/>
            <w:gridSpan w:val="2"/>
            <w:tcBorders>
              <w:right w:val="single" w:sz="12" w:space="0" w:color="auto"/>
            </w:tcBorders>
            <w:vAlign w:val="center"/>
          </w:tcPr>
          <w:p>
            <w:pPr>
              <w:spacing w:before="36" w:after="36"/>
              <w:jc w:val="center"/>
              <w:rPr>
                <w:rFonts w:cstheme="minorHAnsi"/>
                <w:i/>
                <w:sz w:val="20"/>
                <w:szCs w:val="20"/>
                <w:lang w:val="en-GB"/>
              </w:rPr>
            </w:pPr>
          </w:p>
        </w:tc>
        <w:tc>
          <w:tcPr>
            <w:tcW w:w="2554" w:type="pct"/>
            <w:gridSpan w:val="5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>
            <w:pPr>
              <w:spacing w:before="36" w:after="36"/>
              <w:jc w:val="center"/>
              <w:rPr>
                <w:rFonts w:cstheme="minorHAnsi"/>
                <w:i/>
                <w:sz w:val="20"/>
                <w:szCs w:val="20"/>
                <w:lang w:val="en-GB"/>
              </w:rPr>
            </w:pPr>
            <w:r>
              <w:rPr>
                <w:rFonts w:cstheme="minorHAnsi"/>
                <w:i/>
                <w:sz w:val="20"/>
                <w:szCs w:val="20"/>
                <w:lang w:val="en-GB"/>
              </w:rPr>
              <w:t>Subgroup Analyses</w:t>
            </w:r>
          </w:p>
        </w:tc>
      </w:tr>
      <w:tr>
        <w:tc>
          <w:tcPr>
            <w:tcW w:w="1590" w:type="pct"/>
            <w:tcBorders>
              <w:bottom w:val="single" w:sz="4" w:space="0" w:color="auto"/>
            </w:tcBorders>
            <w:vAlign w:val="bottom"/>
          </w:tcPr>
          <w:p>
            <w:pPr>
              <w:spacing w:before="36" w:after="36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856" w:type="pct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>
            <w:pPr>
              <w:spacing w:before="36" w:after="36"/>
              <w:jc w:val="center"/>
              <w:rPr>
                <w:rFonts w:cstheme="minorHAnsi"/>
                <w:i/>
                <w:sz w:val="20"/>
                <w:szCs w:val="20"/>
                <w:lang w:val="en-GB"/>
              </w:rPr>
            </w:pPr>
            <w:r>
              <w:rPr>
                <w:rFonts w:cstheme="minorHAnsi"/>
                <w:i/>
                <w:sz w:val="20"/>
                <w:szCs w:val="20"/>
                <w:lang w:val="en-GB"/>
              </w:rPr>
              <w:t>All patients</w:t>
            </w:r>
          </w:p>
        </w:tc>
        <w:tc>
          <w:tcPr>
            <w:tcW w:w="852" w:type="pct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>
            <w:pPr>
              <w:spacing w:before="36" w:after="36"/>
              <w:jc w:val="center"/>
              <w:rPr>
                <w:rFonts w:cstheme="minorHAnsi"/>
                <w:i/>
                <w:sz w:val="20"/>
                <w:szCs w:val="20"/>
                <w:lang w:val="en-GB"/>
              </w:rPr>
            </w:pPr>
            <w:r>
              <w:rPr>
                <w:rFonts w:cstheme="minorHAnsi"/>
                <w:i/>
                <w:sz w:val="20"/>
                <w:szCs w:val="20"/>
                <w:lang w:val="en-GB"/>
              </w:rPr>
              <w:t>Idiopathic Interstitial Pneumonia</w:t>
            </w:r>
          </w:p>
        </w:tc>
        <w:tc>
          <w:tcPr>
            <w:tcW w:w="851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spacing w:before="36" w:after="36"/>
              <w:jc w:val="center"/>
              <w:rPr>
                <w:rFonts w:cstheme="minorHAnsi"/>
                <w:i/>
                <w:sz w:val="20"/>
                <w:szCs w:val="20"/>
                <w:lang w:val="en-GB"/>
              </w:rPr>
            </w:pPr>
            <w:r>
              <w:rPr>
                <w:rFonts w:cstheme="minorHAnsi"/>
                <w:i/>
                <w:sz w:val="20"/>
                <w:szCs w:val="20"/>
                <w:lang w:val="en-GB"/>
              </w:rPr>
              <w:t>Sarcoidosis</w:t>
            </w:r>
          </w:p>
        </w:tc>
        <w:tc>
          <w:tcPr>
            <w:tcW w:w="851" w:type="pct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spacing w:before="36" w:after="36"/>
              <w:jc w:val="center"/>
              <w:rPr>
                <w:rFonts w:cstheme="minorHAnsi"/>
                <w:i/>
                <w:sz w:val="20"/>
                <w:szCs w:val="20"/>
                <w:lang w:val="en-GB"/>
              </w:rPr>
            </w:pPr>
            <w:r>
              <w:rPr>
                <w:rFonts w:cstheme="minorHAnsi"/>
                <w:i/>
                <w:sz w:val="20"/>
                <w:szCs w:val="20"/>
                <w:lang w:val="en-GB"/>
              </w:rPr>
              <w:t>Other interstitial lung diseases</w:t>
            </w:r>
          </w:p>
        </w:tc>
      </w:tr>
      <w:tr>
        <w:tc>
          <w:tcPr>
            <w:tcW w:w="1590" w:type="pct"/>
            <w:tcBorders>
              <w:bottom w:val="single" w:sz="4" w:space="0" w:color="auto"/>
            </w:tcBorders>
            <w:vAlign w:val="bottom"/>
          </w:tcPr>
          <w:p>
            <w:pPr>
              <w:spacing w:before="36" w:after="36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856" w:type="pct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>
            <w:pPr>
              <w:spacing w:before="36" w:after="36"/>
              <w:rPr>
                <w:rFonts w:cstheme="minorHAnsi"/>
                <w:i/>
                <w:sz w:val="20"/>
                <w:szCs w:val="20"/>
                <w:lang w:val="en-GB"/>
              </w:rPr>
            </w:pPr>
            <w:r>
              <w:rPr>
                <w:rFonts w:cstheme="minorHAnsi"/>
                <w:i/>
                <w:sz w:val="20"/>
                <w:szCs w:val="20"/>
                <w:lang w:val="en-GB"/>
              </w:rPr>
              <w:t>HR (95%-CI)</w:t>
            </w:r>
          </w:p>
        </w:tc>
        <w:tc>
          <w:tcPr>
            <w:tcW w:w="852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36" w:after="36"/>
              <w:rPr>
                <w:rFonts w:cstheme="minorHAnsi"/>
                <w:i/>
                <w:sz w:val="20"/>
                <w:szCs w:val="20"/>
                <w:lang w:val="en-GB"/>
              </w:rPr>
            </w:pPr>
            <w:r>
              <w:rPr>
                <w:rFonts w:cstheme="minorHAnsi"/>
                <w:i/>
                <w:sz w:val="20"/>
                <w:szCs w:val="20"/>
                <w:lang w:val="en-GB"/>
              </w:rPr>
              <w:t>HR (95%-CI)</w:t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36" w:after="36"/>
              <w:rPr>
                <w:rFonts w:cstheme="minorHAnsi"/>
                <w:i/>
                <w:sz w:val="20"/>
                <w:szCs w:val="20"/>
                <w:lang w:val="en-GB"/>
              </w:rPr>
            </w:pPr>
            <w:r>
              <w:rPr>
                <w:rFonts w:cstheme="minorHAnsi"/>
                <w:i/>
                <w:sz w:val="20"/>
                <w:szCs w:val="20"/>
                <w:lang w:val="en-GB"/>
              </w:rPr>
              <w:t>HR (95%-CI)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spacing w:before="36" w:after="36"/>
              <w:rPr>
                <w:rFonts w:cstheme="minorHAnsi"/>
                <w:i/>
                <w:sz w:val="20"/>
                <w:szCs w:val="20"/>
                <w:lang w:val="en-GB"/>
              </w:rPr>
            </w:pPr>
            <w:r>
              <w:rPr>
                <w:rFonts w:cstheme="minorHAnsi"/>
                <w:i/>
                <w:sz w:val="20"/>
                <w:szCs w:val="20"/>
                <w:lang w:val="en-GB"/>
              </w:rPr>
              <w:t>HR (95%-CI)</w:t>
            </w:r>
          </w:p>
        </w:tc>
      </w:tr>
      <w:tr>
        <w:trPr>
          <w:trHeight w:val="20"/>
        </w:trPr>
        <w:tc>
          <w:tcPr>
            <w:tcW w:w="1590" w:type="pct"/>
            <w:tcBorders>
              <w:top w:val="single" w:sz="4" w:space="0" w:color="auto"/>
            </w:tcBorders>
            <w:hideMark/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sz w:val="20"/>
                <w:szCs w:val="20"/>
                <w:lang w:val="en-GB"/>
              </w:rPr>
              <w:t>2-year all-cause survival</w:t>
            </w:r>
          </w:p>
        </w:tc>
        <w:tc>
          <w:tcPr>
            <w:tcW w:w="302" w:type="pct"/>
            <w:tcBorders>
              <w:top w:val="single" w:sz="4" w:space="0" w:color="auto"/>
            </w:tcBorders>
            <w:hideMark/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554" w:type="pct"/>
            <w:tcBorders>
              <w:top w:val="single" w:sz="4" w:space="0" w:color="auto"/>
              <w:right w:val="single" w:sz="12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12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550" w:type="pct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550" w:type="pct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>
        <w:trPr>
          <w:trHeight w:val="510"/>
        </w:trPr>
        <w:tc>
          <w:tcPr>
            <w:tcW w:w="1590" w:type="pct"/>
            <w:tcBorders>
              <w:bottom w:val="single" w:sz="4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Specialised ILD-centre vs. non-specialised centre</w:t>
            </w:r>
          </w:p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856" w:type="pct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0.69 (0.62, 0.76)*</w:t>
            </w:r>
          </w:p>
        </w:tc>
        <w:tc>
          <w:tcPr>
            <w:tcW w:w="852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0.64 (0.55, 0.74)*</w:t>
            </w:r>
          </w:p>
        </w:tc>
        <w:tc>
          <w:tcPr>
            <w:tcW w:w="85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0.58 (0.39, 0.87)*</w:t>
            </w:r>
          </w:p>
        </w:tc>
        <w:tc>
          <w:tcPr>
            <w:tcW w:w="851" w:type="pct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0.79 (0.69, 0.92)*</w:t>
            </w:r>
          </w:p>
        </w:tc>
      </w:tr>
      <w:tr>
        <w:trPr>
          <w:trHeight w:val="20"/>
        </w:trPr>
        <w:tc>
          <w:tcPr>
            <w:tcW w:w="1590" w:type="pct"/>
            <w:tcBorders>
              <w:top w:val="single" w:sz="4" w:space="0" w:color="auto"/>
            </w:tcBorders>
            <w:vAlign w:val="center"/>
          </w:tcPr>
          <w:p>
            <w:pPr>
              <w:spacing w:before="36" w:after="36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sz w:val="20"/>
                <w:szCs w:val="20"/>
                <w:lang w:val="en-GB"/>
              </w:rPr>
              <w:t>1-year all-cause hospitalisation</w:t>
            </w:r>
          </w:p>
        </w:tc>
        <w:tc>
          <w:tcPr>
            <w:tcW w:w="302" w:type="pct"/>
            <w:tcBorders>
              <w:top w:val="single" w:sz="4" w:space="0" w:color="auto"/>
            </w:tcBorders>
            <w:vAlign w:val="center"/>
          </w:tcPr>
          <w:p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554" w:type="pc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55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55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</w:tcBorders>
          </w:tcPr>
          <w:p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>
        <w:trPr>
          <w:trHeight w:val="510"/>
        </w:trPr>
        <w:tc>
          <w:tcPr>
            <w:tcW w:w="1590" w:type="pct"/>
            <w:tcBorders>
              <w:bottom w:val="single" w:sz="4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Specialised ILD-centre vs. non-specialised centre</w:t>
            </w:r>
          </w:p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856" w:type="pct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0.83 (0.79, 0.88)*</w:t>
            </w:r>
          </w:p>
        </w:tc>
        <w:tc>
          <w:tcPr>
            <w:tcW w:w="852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0.82 (0.74, 0.90)*</w:t>
            </w:r>
          </w:p>
        </w:tc>
        <w:tc>
          <w:tcPr>
            <w:tcW w:w="85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0.79 (0.68, 0.92)*</w:t>
            </w:r>
          </w:p>
        </w:tc>
        <w:tc>
          <w:tcPr>
            <w:tcW w:w="851" w:type="pct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0.86 (0.79, 0.94)*</w:t>
            </w:r>
          </w:p>
        </w:tc>
      </w:tr>
      <w:tr>
        <w:trPr>
          <w:trHeight w:val="288"/>
        </w:trPr>
        <w:tc>
          <w:tcPr>
            <w:tcW w:w="1590" w:type="pct"/>
            <w:tcBorders>
              <w:top w:val="single" w:sz="4" w:space="0" w:color="auto"/>
            </w:tcBorders>
            <w:vAlign w:val="center"/>
          </w:tcPr>
          <w:p>
            <w:pPr>
              <w:spacing w:before="36" w:after="36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sz w:val="20"/>
                <w:szCs w:val="20"/>
                <w:lang w:val="en-GB"/>
              </w:rPr>
              <w:t>1-year respiratory-related hospitalisation</w:t>
            </w:r>
          </w:p>
        </w:tc>
        <w:tc>
          <w:tcPr>
            <w:tcW w:w="302" w:type="pct"/>
            <w:tcBorders>
              <w:top w:val="single" w:sz="4" w:space="0" w:color="auto"/>
            </w:tcBorders>
            <w:vAlign w:val="center"/>
          </w:tcPr>
          <w:p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554" w:type="pc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55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55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</w:tcBorders>
          </w:tcPr>
          <w:p>
            <w:pPr>
              <w:spacing w:before="36" w:after="36"/>
              <w:jc w:val="right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>
        <w:trPr>
          <w:trHeight w:val="510"/>
        </w:trPr>
        <w:tc>
          <w:tcPr>
            <w:tcW w:w="1590" w:type="pct"/>
            <w:tcBorders>
              <w:bottom w:val="single" w:sz="4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Specialised ILD-centre vs. non-specialised centre</w:t>
            </w:r>
          </w:p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856" w:type="pct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0.90 (0.82, 0.98)*</w:t>
            </w:r>
          </w:p>
        </w:tc>
        <w:tc>
          <w:tcPr>
            <w:tcW w:w="852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0.89 (0.78, 1.01)</w:t>
            </w:r>
          </w:p>
        </w:tc>
        <w:tc>
          <w:tcPr>
            <w:tcW w:w="85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0.75 (0.59, 0.95)*</w:t>
            </w:r>
          </w:p>
        </w:tc>
        <w:tc>
          <w:tcPr>
            <w:tcW w:w="851" w:type="pct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1.02 (0.89, 1.17)</w:t>
            </w:r>
          </w:p>
        </w:tc>
      </w:tr>
    </w:tbl>
    <w:p>
      <w:pPr>
        <w:spacing w:after="0"/>
        <w:rPr>
          <w:i/>
          <w:noProof/>
          <w:sz w:val="20"/>
          <w:szCs w:val="20"/>
          <w:lang w:val="en-GB"/>
        </w:rPr>
      </w:pPr>
      <w:r>
        <w:rPr>
          <w:i/>
          <w:noProof/>
          <w:sz w:val="20"/>
          <w:szCs w:val="20"/>
          <w:lang w:val="en-GB"/>
        </w:rPr>
        <w:t>CI: confidence interval, HR: Hazard Ratio</w:t>
      </w:r>
    </w:p>
    <w:p>
      <w:pPr>
        <w:rPr>
          <w:i/>
          <w:noProof/>
          <w:sz w:val="20"/>
          <w:szCs w:val="20"/>
          <w:lang w:val="en-GB"/>
        </w:rPr>
      </w:pPr>
      <w:r>
        <w:rPr>
          <w:i/>
          <w:noProof/>
          <w:sz w:val="20"/>
          <w:szCs w:val="20"/>
          <w:lang w:val="en-GB"/>
        </w:rPr>
        <w:t>* Statistically significant results</w:t>
      </w:r>
      <w:r>
        <w:rPr>
          <w:lang w:val="en-GB"/>
        </w:rPr>
        <w:br w:type="page"/>
      </w:r>
    </w:p>
    <w:p>
      <w:pPr>
        <w:pStyle w:val="Caption"/>
        <w:rPr>
          <w:lang w:val="en-GB"/>
        </w:rPr>
      </w:pPr>
      <w:r>
        <w:rPr>
          <w:color w:val="auto"/>
          <w:sz w:val="22"/>
        </w:rPr>
        <w:lastRenderedPageBreak/>
        <w:t>Additional file 3: Table S</w:t>
      </w:r>
      <w:r>
        <w:rPr>
          <w:color w:val="auto"/>
          <w:sz w:val="22"/>
        </w:rPr>
        <w:fldChar w:fldCharType="begin"/>
      </w:r>
      <w:r>
        <w:rPr>
          <w:color w:val="auto"/>
          <w:sz w:val="22"/>
        </w:rPr>
        <w:instrText xml:space="preserve"> SEQ Table_E \* ARABIC </w:instrText>
      </w:r>
      <w:r>
        <w:rPr>
          <w:color w:val="auto"/>
          <w:sz w:val="22"/>
        </w:rPr>
        <w:fldChar w:fldCharType="separate"/>
      </w:r>
      <w:r>
        <w:rPr>
          <w:noProof/>
          <w:color w:val="auto"/>
          <w:sz w:val="22"/>
        </w:rPr>
        <w:t>8</w:t>
      </w:r>
      <w:r>
        <w:rPr>
          <w:color w:val="auto"/>
          <w:sz w:val="22"/>
        </w:rPr>
        <w:fldChar w:fldCharType="end"/>
      </w:r>
      <w:r>
        <w:t xml:space="preserve"> </w:t>
      </w:r>
      <w:r>
        <w:rPr>
          <w:color w:val="000000" w:themeColor="text1"/>
          <w:sz w:val="22"/>
          <w:lang w:val="en-GB"/>
        </w:rPr>
        <w:t xml:space="preserve">IPTW-weighted model estimated expenditures of one-year costs and related cost differences for patients with </w:t>
      </w:r>
      <w:r>
        <w:rPr>
          <w:b/>
          <w:color w:val="auto"/>
          <w:sz w:val="22"/>
        </w:rPr>
        <w:t>idiopathic interstitial pneumonia</w:t>
      </w:r>
    </w:p>
    <w:tbl>
      <w:tblPr>
        <w:tblStyle w:val="Table1"/>
        <w:tblW w:w="4970" w:type="pct"/>
        <w:tblInd w:w="0" w:type="dxa"/>
        <w:tblCellMar>
          <w:left w:w="57" w:type="dxa"/>
          <w:right w:w="57" w:type="dxa"/>
        </w:tblCellMar>
        <w:tblLook w:val="07E0" w:firstRow="1" w:lastRow="1" w:firstColumn="1" w:lastColumn="1" w:noHBand="1" w:noVBand="1"/>
      </w:tblPr>
      <w:tblGrid>
        <w:gridCol w:w="2947"/>
        <w:gridCol w:w="2159"/>
        <w:gridCol w:w="2159"/>
        <w:gridCol w:w="2039"/>
      </w:tblGrid>
      <w:tr>
        <w:tc>
          <w:tcPr>
            <w:tcW w:w="1584" w:type="pct"/>
            <w:tcBorders>
              <w:bottom w:val="single" w:sz="4" w:space="0" w:color="auto"/>
            </w:tcBorders>
            <w:vAlign w:val="bottom"/>
          </w:tcPr>
          <w:p>
            <w:pPr>
              <w:spacing w:before="36" w:after="36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160" w:type="pct"/>
            <w:tcBorders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Non-specialised centre</w:t>
            </w:r>
          </w:p>
        </w:tc>
        <w:tc>
          <w:tcPr>
            <w:tcW w:w="116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Specialised ILD-centre</w:t>
            </w:r>
          </w:p>
        </w:tc>
        <w:tc>
          <w:tcPr>
            <w:tcW w:w="109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i/>
                <w:sz w:val="20"/>
                <w:szCs w:val="20"/>
                <w:lang w:val="en-GB"/>
              </w:rPr>
            </w:pPr>
          </w:p>
        </w:tc>
      </w:tr>
      <w:tr>
        <w:tc>
          <w:tcPr>
            <w:tcW w:w="1584" w:type="pct"/>
            <w:tcBorders>
              <w:bottom w:val="single" w:sz="4" w:space="0" w:color="auto"/>
            </w:tcBorders>
            <w:vAlign w:val="bottom"/>
          </w:tcPr>
          <w:p>
            <w:pPr>
              <w:spacing w:before="36" w:after="36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1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Costs in € (95% CI)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Costs in € (95% CI)</w:t>
            </w:r>
          </w:p>
        </w:tc>
        <w:tc>
          <w:tcPr>
            <w:tcW w:w="109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i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  <w:lang w:val="en-GB"/>
              </w:rPr>
              <w:t>Difference (in €)</w:t>
            </w:r>
          </w:p>
        </w:tc>
      </w:tr>
      <w:tr>
        <w:tc>
          <w:tcPr>
            <w:tcW w:w="1584" w:type="pct"/>
            <w:tcBorders>
              <w:top w:val="single" w:sz="4" w:space="0" w:color="auto"/>
            </w:tcBorders>
          </w:tcPr>
          <w:p>
            <w:pPr>
              <w:pStyle w:val="Compact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Overall</w:t>
            </w:r>
          </w:p>
        </w:tc>
        <w:tc>
          <w:tcPr>
            <w:tcW w:w="1160" w:type="pct"/>
            <w:tcBorders>
              <w:top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>
        <w:tc>
          <w:tcPr>
            <w:tcW w:w="1584" w:type="pct"/>
            <w:hideMark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1160" w:type="pct"/>
            <w:vAlign w:val="center"/>
            <w:hideMark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16,478 (15,708; 17,402)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  <w:hideMark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16,667 (15,184; 18,267)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189 (-1,525; 1,884)</w:t>
            </w:r>
          </w:p>
        </w:tc>
      </w:tr>
      <w:tr>
        <w:tc>
          <w:tcPr>
            <w:tcW w:w="1584" w:type="pct"/>
            <w:hideMark/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Inpatient</w:t>
            </w:r>
          </w:p>
        </w:tc>
        <w:tc>
          <w:tcPr>
            <w:tcW w:w="1160" w:type="pct"/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9,829 (9,188; 10,615)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8,059 (6,869; 9,401)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-1,770 (-3,131; -343)*</w:t>
            </w:r>
          </w:p>
        </w:tc>
      </w:tr>
      <w:tr>
        <w:tc>
          <w:tcPr>
            <w:tcW w:w="1584" w:type="pct"/>
            <w:hideMark/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Outpatient</w:t>
            </w:r>
          </w:p>
        </w:tc>
        <w:tc>
          <w:tcPr>
            <w:tcW w:w="1160" w:type="pct"/>
            <w:vAlign w:val="center"/>
            <w:hideMark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1,425 (1,364; 1,488)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  <w:hideMark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1,318 (1,219; 1,446)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-106 (-225; 27)</w:t>
            </w:r>
          </w:p>
        </w:tc>
      </w:tr>
      <w:tr>
        <w:tc>
          <w:tcPr>
            <w:tcW w:w="1584" w:type="pct"/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Pharmaceuticals</w:t>
            </w:r>
          </w:p>
        </w:tc>
        <w:tc>
          <w:tcPr>
            <w:tcW w:w="1160" w:type="pct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5,225 (4,813; 5,717)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7,282 (6,396; 8,181)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2,058 (1,083; 3,106)*</w:t>
            </w:r>
          </w:p>
        </w:tc>
      </w:tr>
      <w:tr>
        <w:tc>
          <w:tcPr>
            <w:tcW w:w="1584" w:type="pct"/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160" w:type="pct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>
        <w:tc>
          <w:tcPr>
            <w:tcW w:w="1584" w:type="pct"/>
          </w:tcPr>
          <w:p>
            <w:pPr>
              <w:pStyle w:val="Compact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Respiratory-related</w:t>
            </w:r>
          </w:p>
        </w:tc>
        <w:tc>
          <w:tcPr>
            <w:tcW w:w="1160" w:type="pct"/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>
        <w:tc>
          <w:tcPr>
            <w:tcW w:w="1584" w:type="pct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1160" w:type="pct"/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6,381 (5,799; 7,110)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7,695 (6,809; 8,711)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1314 (177; 2,500)*</w:t>
            </w:r>
          </w:p>
        </w:tc>
      </w:tr>
      <w:tr>
        <w:tc>
          <w:tcPr>
            <w:tcW w:w="1584" w:type="pct"/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Inpatient</w:t>
            </w:r>
          </w:p>
        </w:tc>
        <w:tc>
          <w:tcPr>
            <w:tcW w:w="1160" w:type="pct"/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3,311 (</w:t>
            </w: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ab/>
              <w:t>2,895; 3,911)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2,336 (1,906; 2,842)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-975 (-1,708; -302)*</w:t>
            </w:r>
          </w:p>
        </w:tc>
      </w:tr>
      <w:tr>
        <w:tc>
          <w:tcPr>
            <w:tcW w:w="1584" w:type="pct"/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Outpatient</w:t>
            </w:r>
          </w:p>
        </w:tc>
        <w:tc>
          <w:tcPr>
            <w:tcW w:w="1160" w:type="pct"/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550 (513; 592)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502 (474; 531)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-47 (-96; 2)</w:t>
            </w:r>
          </w:p>
        </w:tc>
      </w:tr>
      <w:tr>
        <w:tc>
          <w:tcPr>
            <w:tcW w:w="1584" w:type="pct"/>
            <w:tcBorders>
              <w:bottom w:val="single" w:sz="4" w:space="0" w:color="auto"/>
            </w:tcBorders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Pharmaceuticals</w:t>
            </w:r>
          </w:p>
        </w:tc>
        <w:tc>
          <w:tcPr>
            <w:tcW w:w="1160" w:type="pct"/>
            <w:tcBorders>
              <w:bottom w:val="single" w:sz="4" w:space="0" w:color="auto"/>
            </w:tcBorders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2,520 (2,196; 2,907)</w:t>
            </w:r>
          </w:p>
        </w:tc>
        <w:tc>
          <w:tcPr>
            <w:tcW w:w="116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4,856 (4,093; 5,654)</w:t>
            </w:r>
          </w:p>
        </w:tc>
        <w:tc>
          <w:tcPr>
            <w:tcW w:w="109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2,336 (1,493; 3,209)*</w:t>
            </w:r>
          </w:p>
        </w:tc>
      </w:tr>
    </w:tbl>
    <w:p>
      <w:pPr>
        <w:spacing w:after="0"/>
        <w:rPr>
          <w:i/>
          <w:noProof/>
          <w:sz w:val="20"/>
          <w:szCs w:val="20"/>
          <w:lang w:val="en-GB"/>
        </w:rPr>
      </w:pPr>
      <w:r>
        <w:rPr>
          <w:i/>
          <w:noProof/>
          <w:sz w:val="20"/>
          <w:szCs w:val="20"/>
          <w:lang w:val="en-GB"/>
        </w:rPr>
        <w:t>CI: Confidence interval, ILD: interstitial lung disease</w:t>
      </w:r>
    </w:p>
    <w:p>
      <w:pPr>
        <w:spacing w:after="0"/>
        <w:rPr>
          <w:i/>
          <w:noProof/>
          <w:sz w:val="20"/>
          <w:szCs w:val="20"/>
          <w:lang w:val="en-GB"/>
        </w:rPr>
      </w:pPr>
      <w:r>
        <w:rPr>
          <w:i/>
          <w:noProof/>
          <w:sz w:val="20"/>
          <w:szCs w:val="20"/>
          <w:lang w:val="en-GB"/>
        </w:rPr>
        <w:t>Estimation based on weighted one and two-part generalized linear gamma models via recycled predictions approach with 1000 bootstrap replicates</w:t>
      </w:r>
    </w:p>
    <w:p>
      <w:pPr>
        <w:rPr>
          <w:i/>
          <w:noProof/>
          <w:sz w:val="20"/>
          <w:szCs w:val="20"/>
          <w:lang w:val="en-GB"/>
        </w:rPr>
      </w:pPr>
      <w:r>
        <w:rPr>
          <w:i/>
          <w:noProof/>
          <w:sz w:val="20"/>
          <w:szCs w:val="20"/>
          <w:lang w:val="en-GB"/>
        </w:rPr>
        <w:t>* Statistically significant results</w:t>
      </w:r>
    </w:p>
    <w:p>
      <w:pPr>
        <w:rPr>
          <w:lang w:val="en-GB"/>
        </w:rPr>
      </w:pPr>
    </w:p>
    <w:p>
      <w:pPr>
        <w:rPr>
          <w:i/>
          <w:iCs/>
          <w:szCs w:val="18"/>
        </w:rPr>
      </w:pPr>
      <w:r>
        <w:br w:type="page"/>
      </w:r>
    </w:p>
    <w:p>
      <w:pPr>
        <w:pStyle w:val="Caption"/>
        <w:rPr>
          <w:color w:val="auto"/>
          <w:sz w:val="22"/>
          <w:lang w:val="en-GB"/>
        </w:rPr>
      </w:pPr>
      <w:r>
        <w:rPr>
          <w:color w:val="auto"/>
          <w:sz w:val="22"/>
        </w:rPr>
        <w:lastRenderedPageBreak/>
        <w:t>Additional file 3: Table S</w:t>
      </w:r>
      <w:r>
        <w:rPr>
          <w:color w:val="auto"/>
          <w:sz w:val="22"/>
        </w:rPr>
        <w:fldChar w:fldCharType="begin"/>
      </w:r>
      <w:r>
        <w:rPr>
          <w:color w:val="auto"/>
          <w:sz w:val="22"/>
        </w:rPr>
        <w:instrText xml:space="preserve"> SEQ Table_E \* ARABIC </w:instrText>
      </w:r>
      <w:r>
        <w:rPr>
          <w:color w:val="auto"/>
          <w:sz w:val="22"/>
        </w:rPr>
        <w:fldChar w:fldCharType="separate"/>
      </w:r>
      <w:r>
        <w:rPr>
          <w:noProof/>
          <w:color w:val="auto"/>
          <w:sz w:val="22"/>
        </w:rPr>
        <w:t>9</w:t>
      </w:r>
      <w:r>
        <w:rPr>
          <w:color w:val="auto"/>
          <w:sz w:val="22"/>
        </w:rPr>
        <w:fldChar w:fldCharType="end"/>
      </w:r>
      <w:r>
        <w:rPr>
          <w:color w:val="auto"/>
          <w:sz w:val="22"/>
        </w:rPr>
        <w:t xml:space="preserve"> </w:t>
      </w:r>
      <w:r>
        <w:rPr>
          <w:color w:val="000000" w:themeColor="text1"/>
          <w:sz w:val="22"/>
          <w:lang w:val="en-GB"/>
        </w:rPr>
        <w:t xml:space="preserve">IPTW-weighted model estimated expenditures of one-year costs and related cost differences for patients with </w:t>
      </w:r>
      <w:r>
        <w:rPr>
          <w:b/>
          <w:color w:val="auto"/>
          <w:sz w:val="22"/>
        </w:rPr>
        <w:t>sarcoidosis</w:t>
      </w:r>
    </w:p>
    <w:tbl>
      <w:tblPr>
        <w:tblStyle w:val="Table1"/>
        <w:tblW w:w="4970" w:type="pct"/>
        <w:tblInd w:w="0" w:type="dxa"/>
        <w:tblCellMar>
          <w:left w:w="57" w:type="dxa"/>
          <w:right w:w="57" w:type="dxa"/>
        </w:tblCellMar>
        <w:tblLook w:val="07E0" w:firstRow="1" w:lastRow="1" w:firstColumn="1" w:lastColumn="1" w:noHBand="1" w:noVBand="1"/>
      </w:tblPr>
      <w:tblGrid>
        <w:gridCol w:w="2947"/>
        <w:gridCol w:w="2159"/>
        <w:gridCol w:w="2159"/>
        <w:gridCol w:w="2039"/>
      </w:tblGrid>
      <w:tr>
        <w:tc>
          <w:tcPr>
            <w:tcW w:w="1584" w:type="pct"/>
            <w:tcBorders>
              <w:bottom w:val="single" w:sz="4" w:space="0" w:color="auto"/>
            </w:tcBorders>
            <w:vAlign w:val="bottom"/>
          </w:tcPr>
          <w:p>
            <w:pPr>
              <w:spacing w:before="36" w:after="36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160" w:type="pct"/>
            <w:tcBorders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Non-specialised centre</w:t>
            </w:r>
          </w:p>
        </w:tc>
        <w:tc>
          <w:tcPr>
            <w:tcW w:w="116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Specialised ILD-centre</w:t>
            </w:r>
          </w:p>
        </w:tc>
        <w:tc>
          <w:tcPr>
            <w:tcW w:w="109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i/>
                <w:sz w:val="20"/>
                <w:szCs w:val="20"/>
                <w:lang w:val="en-GB"/>
              </w:rPr>
            </w:pPr>
          </w:p>
        </w:tc>
      </w:tr>
      <w:tr>
        <w:tc>
          <w:tcPr>
            <w:tcW w:w="1584" w:type="pct"/>
            <w:tcBorders>
              <w:bottom w:val="single" w:sz="4" w:space="0" w:color="auto"/>
            </w:tcBorders>
            <w:vAlign w:val="bottom"/>
          </w:tcPr>
          <w:p>
            <w:pPr>
              <w:spacing w:before="36" w:after="36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1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Costs in € (95% CI)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Costs in € (95% CI)</w:t>
            </w:r>
          </w:p>
        </w:tc>
        <w:tc>
          <w:tcPr>
            <w:tcW w:w="109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i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  <w:lang w:val="en-GB"/>
              </w:rPr>
              <w:t>Difference (in €)</w:t>
            </w:r>
          </w:p>
        </w:tc>
      </w:tr>
      <w:tr>
        <w:tc>
          <w:tcPr>
            <w:tcW w:w="1584" w:type="pct"/>
            <w:tcBorders>
              <w:top w:val="single" w:sz="4" w:space="0" w:color="auto"/>
            </w:tcBorders>
          </w:tcPr>
          <w:p>
            <w:pPr>
              <w:pStyle w:val="Compact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Overall</w:t>
            </w:r>
          </w:p>
        </w:tc>
        <w:tc>
          <w:tcPr>
            <w:tcW w:w="1160" w:type="pct"/>
            <w:tcBorders>
              <w:top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>
        <w:tc>
          <w:tcPr>
            <w:tcW w:w="1584" w:type="pct"/>
            <w:hideMark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1160" w:type="pct"/>
            <w:vAlign w:val="center"/>
            <w:hideMark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7,478 (6,999; 7,869)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  <w:hideMark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5,836 (5,165; 6,989)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-1,642 (-2,398; -10)*</w:t>
            </w:r>
          </w:p>
        </w:tc>
      </w:tr>
      <w:tr>
        <w:tc>
          <w:tcPr>
            <w:tcW w:w="1584" w:type="pct"/>
            <w:hideMark/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Inpatient</w:t>
            </w:r>
          </w:p>
        </w:tc>
        <w:tc>
          <w:tcPr>
            <w:tcW w:w="1160" w:type="pct"/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4,648 (4,195; 5,151)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3,119 (2,471; 3,872)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-1,529 (-2,383; -641)*</w:t>
            </w:r>
          </w:p>
        </w:tc>
      </w:tr>
      <w:tr>
        <w:tc>
          <w:tcPr>
            <w:tcW w:w="1584" w:type="pct"/>
            <w:hideMark/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Outpatient</w:t>
            </w:r>
          </w:p>
        </w:tc>
        <w:tc>
          <w:tcPr>
            <w:tcW w:w="1160" w:type="pct"/>
            <w:vAlign w:val="center"/>
            <w:hideMark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1,218 (1,177; 1,263)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  <w:hideMark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1,177 (1,057; 1,327)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-42 (-173; 116)</w:t>
            </w:r>
          </w:p>
        </w:tc>
      </w:tr>
      <w:tr>
        <w:tc>
          <w:tcPr>
            <w:tcW w:w="1584" w:type="pct"/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Pharmaceuticals</w:t>
            </w:r>
          </w:p>
        </w:tc>
        <w:tc>
          <w:tcPr>
            <w:tcW w:w="1160" w:type="pct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1,861 (1,652; 2,127)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1,841 (1,289; 2,458)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-19 (-618; 663)</w:t>
            </w:r>
          </w:p>
        </w:tc>
      </w:tr>
      <w:tr>
        <w:tc>
          <w:tcPr>
            <w:tcW w:w="1584" w:type="pct"/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160" w:type="pct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>
        <w:tc>
          <w:tcPr>
            <w:tcW w:w="1584" w:type="pct"/>
          </w:tcPr>
          <w:p>
            <w:pPr>
              <w:pStyle w:val="Compact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Respiratory-related</w:t>
            </w:r>
          </w:p>
        </w:tc>
        <w:tc>
          <w:tcPr>
            <w:tcW w:w="1160" w:type="pct"/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>
        <w:tc>
          <w:tcPr>
            <w:tcW w:w="1584" w:type="pct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1160" w:type="pct"/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1,755 (1,608; 1,915)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1,544 (1,208; 1,978)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-211 (-571; 228)</w:t>
            </w:r>
          </w:p>
        </w:tc>
      </w:tr>
      <w:tr>
        <w:tc>
          <w:tcPr>
            <w:tcW w:w="1584" w:type="pct"/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Inpatient</w:t>
            </w:r>
          </w:p>
        </w:tc>
        <w:tc>
          <w:tcPr>
            <w:tcW w:w="1160" w:type="pct"/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1,059 (</w:t>
            </w: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ab/>
              <w:t>927; 1,195)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849 (588; 1,149)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-210 (-481; 117)</w:t>
            </w:r>
          </w:p>
        </w:tc>
      </w:tr>
      <w:tr>
        <w:tc>
          <w:tcPr>
            <w:tcW w:w="1584" w:type="pct"/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Outpatient</w:t>
            </w:r>
          </w:p>
        </w:tc>
        <w:tc>
          <w:tcPr>
            <w:tcW w:w="1160" w:type="pct"/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519 (499; 541)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499 (470; 530)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-20 (-57; 17)</w:t>
            </w:r>
          </w:p>
        </w:tc>
      </w:tr>
      <w:tr>
        <w:tc>
          <w:tcPr>
            <w:tcW w:w="1584" w:type="pct"/>
            <w:tcBorders>
              <w:bottom w:val="single" w:sz="4" w:space="0" w:color="auto"/>
            </w:tcBorders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Pharmaceuticals</w:t>
            </w:r>
          </w:p>
        </w:tc>
        <w:tc>
          <w:tcPr>
            <w:tcW w:w="1160" w:type="pct"/>
            <w:tcBorders>
              <w:bottom w:val="single" w:sz="4" w:space="0" w:color="auto"/>
            </w:tcBorders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177 (120; 251)</w:t>
            </w:r>
          </w:p>
        </w:tc>
        <w:tc>
          <w:tcPr>
            <w:tcW w:w="116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195 (36; 525)</w:t>
            </w:r>
          </w:p>
        </w:tc>
        <w:tc>
          <w:tcPr>
            <w:tcW w:w="109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19 (-176; 342)</w:t>
            </w:r>
          </w:p>
        </w:tc>
      </w:tr>
    </w:tbl>
    <w:p>
      <w:pPr>
        <w:spacing w:after="0"/>
        <w:rPr>
          <w:i/>
          <w:noProof/>
          <w:sz w:val="20"/>
          <w:szCs w:val="20"/>
          <w:lang w:val="en-GB"/>
        </w:rPr>
      </w:pPr>
      <w:r>
        <w:rPr>
          <w:i/>
          <w:noProof/>
          <w:sz w:val="20"/>
          <w:szCs w:val="20"/>
          <w:lang w:val="en-GB"/>
        </w:rPr>
        <w:t>CI: Confidence interval, ILD: interstitial lung disease</w:t>
      </w:r>
    </w:p>
    <w:p>
      <w:pPr>
        <w:spacing w:after="0"/>
        <w:rPr>
          <w:i/>
          <w:noProof/>
          <w:sz w:val="20"/>
          <w:szCs w:val="20"/>
          <w:lang w:val="en-GB"/>
        </w:rPr>
      </w:pPr>
      <w:r>
        <w:rPr>
          <w:i/>
          <w:noProof/>
          <w:sz w:val="20"/>
          <w:szCs w:val="20"/>
          <w:lang w:val="en-GB"/>
        </w:rPr>
        <w:t>Estimation based on weighted one and two-part generalized linear gamma models via recycled predictions approach with 1000 bootstrap replicates</w:t>
      </w:r>
    </w:p>
    <w:p>
      <w:pPr>
        <w:rPr>
          <w:i/>
          <w:noProof/>
          <w:sz w:val="20"/>
          <w:szCs w:val="20"/>
          <w:lang w:val="en-GB"/>
        </w:rPr>
      </w:pPr>
      <w:r>
        <w:rPr>
          <w:i/>
          <w:noProof/>
          <w:sz w:val="20"/>
          <w:szCs w:val="20"/>
          <w:lang w:val="en-GB"/>
        </w:rPr>
        <w:t>* Statistically significant results</w:t>
      </w:r>
    </w:p>
    <w:p>
      <w:pPr>
        <w:rPr>
          <w:i/>
          <w:noProof/>
          <w:sz w:val="20"/>
          <w:szCs w:val="20"/>
          <w:lang w:val="en-GB"/>
        </w:rPr>
      </w:pPr>
    </w:p>
    <w:p>
      <w:pPr>
        <w:rPr>
          <w:lang w:val="en-GB"/>
        </w:rPr>
      </w:pPr>
    </w:p>
    <w:p>
      <w:pPr>
        <w:rPr>
          <w:i/>
          <w:iCs/>
        </w:rPr>
      </w:pPr>
      <w:r>
        <w:br w:type="page"/>
      </w:r>
    </w:p>
    <w:p>
      <w:pPr>
        <w:pStyle w:val="Caption"/>
        <w:rPr>
          <w:color w:val="auto"/>
          <w:sz w:val="22"/>
          <w:szCs w:val="22"/>
          <w:lang w:val="en-GB"/>
        </w:rPr>
      </w:pPr>
      <w:r>
        <w:rPr>
          <w:color w:val="auto"/>
          <w:sz w:val="22"/>
        </w:rPr>
        <w:lastRenderedPageBreak/>
        <w:t xml:space="preserve">Additional file 3: </w:t>
      </w:r>
      <w:r>
        <w:rPr>
          <w:color w:val="auto"/>
          <w:sz w:val="22"/>
          <w:szCs w:val="22"/>
        </w:rPr>
        <w:t>Table S</w:t>
      </w:r>
      <w:r>
        <w:rPr>
          <w:color w:val="auto"/>
          <w:sz w:val="22"/>
          <w:szCs w:val="22"/>
        </w:rPr>
        <w:fldChar w:fldCharType="begin"/>
      </w:r>
      <w:r>
        <w:rPr>
          <w:color w:val="auto"/>
          <w:sz w:val="22"/>
          <w:szCs w:val="22"/>
        </w:rPr>
        <w:instrText xml:space="preserve"> SEQ Table_E \* ARABIC </w:instrText>
      </w:r>
      <w:r>
        <w:rPr>
          <w:color w:val="auto"/>
          <w:sz w:val="22"/>
          <w:szCs w:val="22"/>
        </w:rPr>
        <w:fldChar w:fldCharType="separate"/>
      </w:r>
      <w:r>
        <w:rPr>
          <w:noProof/>
          <w:color w:val="auto"/>
          <w:sz w:val="22"/>
          <w:szCs w:val="22"/>
        </w:rPr>
        <w:t>10</w:t>
      </w:r>
      <w:r>
        <w:rPr>
          <w:color w:val="auto"/>
          <w:sz w:val="22"/>
          <w:szCs w:val="22"/>
        </w:rPr>
        <w:fldChar w:fldCharType="end"/>
      </w:r>
      <w:r>
        <w:rPr>
          <w:color w:val="auto"/>
          <w:sz w:val="22"/>
          <w:szCs w:val="22"/>
        </w:rPr>
        <w:t xml:space="preserve"> </w:t>
      </w:r>
      <w:r>
        <w:rPr>
          <w:color w:val="000000" w:themeColor="text1"/>
          <w:sz w:val="22"/>
          <w:lang w:val="en-GB"/>
        </w:rPr>
        <w:t xml:space="preserve">IPTW-weighted model estimated expenditures of one-year costs and related cost differences for patients with </w:t>
      </w:r>
      <w:r>
        <w:rPr>
          <w:b/>
          <w:color w:val="auto"/>
          <w:sz w:val="22"/>
        </w:rPr>
        <w:t>other interstitial lung diseases</w:t>
      </w:r>
    </w:p>
    <w:tbl>
      <w:tblPr>
        <w:tblStyle w:val="Table1"/>
        <w:tblW w:w="4970" w:type="pct"/>
        <w:tblInd w:w="0" w:type="dxa"/>
        <w:tblCellMar>
          <w:left w:w="57" w:type="dxa"/>
          <w:right w:w="57" w:type="dxa"/>
        </w:tblCellMar>
        <w:tblLook w:val="07E0" w:firstRow="1" w:lastRow="1" w:firstColumn="1" w:lastColumn="1" w:noHBand="1" w:noVBand="1"/>
      </w:tblPr>
      <w:tblGrid>
        <w:gridCol w:w="2947"/>
        <w:gridCol w:w="2159"/>
        <w:gridCol w:w="2159"/>
        <w:gridCol w:w="2039"/>
      </w:tblGrid>
      <w:tr>
        <w:tc>
          <w:tcPr>
            <w:tcW w:w="1584" w:type="pct"/>
            <w:tcBorders>
              <w:bottom w:val="single" w:sz="4" w:space="0" w:color="auto"/>
            </w:tcBorders>
            <w:vAlign w:val="bottom"/>
          </w:tcPr>
          <w:p>
            <w:pPr>
              <w:spacing w:before="36" w:after="36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160" w:type="pct"/>
            <w:tcBorders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Non-specialised centre</w:t>
            </w:r>
          </w:p>
        </w:tc>
        <w:tc>
          <w:tcPr>
            <w:tcW w:w="116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Specialised ILD-centre</w:t>
            </w:r>
            <w:bookmarkStart w:id="1" w:name="_GoBack"/>
            <w:bookmarkEnd w:id="1"/>
          </w:p>
        </w:tc>
        <w:tc>
          <w:tcPr>
            <w:tcW w:w="109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i/>
                <w:sz w:val="20"/>
                <w:szCs w:val="20"/>
                <w:lang w:val="en-GB"/>
              </w:rPr>
            </w:pPr>
          </w:p>
        </w:tc>
      </w:tr>
      <w:tr>
        <w:tc>
          <w:tcPr>
            <w:tcW w:w="1584" w:type="pct"/>
            <w:tcBorders>
              <w:bottom w:val="single" w:sz="4" w:space="0" w:color="auto"/>
            </w:tcBorders>
            <w:vAlign w:val="bottom"/>
          </w:tcPr>
          <w:p>
            <w:pPr>
              <w:spacing w:before="36" w:after="36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1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Costs in € (95% CI)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Costs in € (95% CI)</w:t>
            </w:r>
          </w:p>
        </w:tc>
        <w:tc>
          <w:tcPr>
            <w:tcW w:w="109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i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  <w:lang w:val="en-GB"/>
              </w:rPr>
              <w:t>Difference (in €)</w:t>
            </w:r>
          </w:p>
        </w:tc>
      </w:tr>
      <w:tr>
        <w:tc>
          <w:tcPr>
            <w:tcW w:w="1584" w:type="pct"/>
            <w:tcBorders>
              <w:top w:val="single" w:sz="4" w:space="0" w:color="auto"/>
            </w:tcBorders>
          </w:tcPr>
          <w:p>
            <w:pPr>
              <w:pStyle w:val="Compact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Overall</w:t>
            </w:r>
          </w:p>
        </w:tc>
        <w:tc>
          <w:tcPr>
            <w:tcW w:w="1160" w:type="pct"/>
            <w:tcBorders>
              <w:top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>
        <w:tc>
          <w:tcPr>
            <w:tcW w:w="1584" w:type="pct"/>
            <w:hideMark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1160" w:type="pct"/>
            <w:vAlign w:val="center"/>
            <w:hideMark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15,555 (14,892; 16,207)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  <w:hideMark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13,732 (12,477; 15,042)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-1,823 (-3,220; -369)*</w:t>
            </w:r>
          </w:p>
        </w:tc>
      </w:tr>
      <w:tr>
        <w:tc>
          <w:tcPr>
            <w:tcW w:w="1584" w:type="pct"/>
            <w:hideMark/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Inpatient</w:t>
            </w:r>
          </w:p>
        </w:tc>
        <w:tc>
          <w:tcPr>
            <w:tcW w:w="1160" w:type="pct"/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10,245 (9,721; 10,772)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8,069 (7,215; 9,024)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-2,176 (-3,260; -1,123)*</w:t>
            </w:r>
          </w:p>
        </w:tc>
      </w:tr>
      <w:tr>
        <w:tc>
          <w:tcPr>
            <w:tcW w:w="1584" w:type="pct"/>
            <w:hideMark/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Outpatient</w:t>
            </w:r>
          </w:p>
        </w:tc>
        <w:tc>
          <w:tcPr>
            <w:tcW w:w="1160" w:type="pct"/>
            <w:vAlign w:val="center"/>
            <w:hideMark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1,436 (1,389; 1,486)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  <w:hideMark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1,491 (1,314; 1,706)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55 (-136; 267)</w:t>
            </w:r>
          </w:p>
        </w:tc>
      </w:tr>
      <w:tr>
        <w:tc>
          <w:tcPr>
            <w:tcW w:w="1584" w:type="pct"/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Pharmaceuticals</w:t>
            </w:r>
          </w:p>
        </w:tc>
        <w:tc>
          <w:tcPr>
            <w:tcW w:w="1160" w:type="pct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3,874 (3,547; 4,236)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4,171 (3,458; 4,976)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297 (-508; 1,138)</w:t>
            </w:r>
          </w:p>
        </w:tc>
      </w:tr>
      <w:tr>
        <w:tc>
          <w:tcPr>
            <w:tcW w:w="1584" w:type="pct"/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160" w:type="pct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>
        <w:tc>
          <w:tcPr>
            <w:tcW w:w="1584" w:type="pct"/>
          </w:tcPr>
          <w:p>
            <w:pPr>
              <w:pStyle w:val="Compact"/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Respiratory-related</w:t>
            </w:r>
          </w:p>
        </w:tc>
        <w:tc>
          <w:tcPr>
            <w:tcW w:w="1160" w:type="pct"/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  <w:tr>
        <w:tc>
          <w:tcPr>
            <w:tcW w:w="1584" w:type="pct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1160" w:type="pct"/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2,943 (2,770; 3,137)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3,100 (2,561; 3,707)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157 (-409; 783)</w:t>
            </w:r>
          </w:p>
        </w:tc>
      </w:tr>
      <w:tr>
        <w:tc>
          <w:tcPr>
            <w:tcW w:w="1584" w:type="pct"/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Inpatient</w:t>
            </w:r>
          </w:p>
        </w:tc>
        <w:tc>
          <w:tcPr>
            <w:tcW w:w="1160" w:type="pct"/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2,046 (</w:t>
            </w: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ab/>
              <w:t>1,881; 2,229)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1,764 (1,442; 2,148)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-282 (-660; 150)</w:t>
            </w:r>
          </w:p>
        </w:tc>
      </w:tr>
      <w:tr>
        <w:tc>
          <w:tcPr>
            <w:tcW w:w="1584" w:type="pct"/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Outpatient</w:t>
            </w:r>
          </w:p>
        </w:tc>
        <w:tc>
          <w:tcPr>
            <w:tcW w:w="1160" w:type="pct"/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422 (402; 445)</w:t>
            </w:r>
          </w:p>
        </w:tc>
        <w:tc>
          <w:tcPr>
            <w:tcW w:w="1160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493 (390; 633)</w:t>
            </w:r>
          </w:p>
        </w:tc>
        <w:tc>
          <w:tcPr>
            <w:tcW w:w="1096" w:type="pct"/>
            <w:tcBorders>
              <w:left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71 (-32; 213)</w:t>
            </w:r>
          </w:p>
        </w:tc>
      </w:tr>
      <w:tr>
        <w:tc>
          <w:tcPr>
            <w:tcW w:w="1584" w:type="pct"/>
            <w:tcBorders>
              <w:bottom w:val="single" w:sz="4" w:space="0" w:color="auto"/>
            </w:tcBorders>
          </w:tcPr>
          <w:p>
            <w:pPr>
              <w:pStyle w:val="Compact"/>
              <w:ind w:left="284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Pharmaceuticals</w:t>
            </w:r>
          </w:p>
        </w:tc>
        <w:tc>
          <w:tcPr>
            <w:tcW w:w="1160" w:type="pct"/>
            <w:tcBorders>
              <w:bottom w:val="single" w:sz="4" w:space="0" w:color="auto"/>
            </w:tcBorders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475 (411; 542)</w:t>
            </w:r>
          </w:p>
        </w:tc>
        <w:tc>
          <w:tcPr>
            <w:tcW w:w="116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843 (486; 1,261)</w:t>
            </w:r>
          </w:p>
        </w:tc>
        <w:tc>
          <w:tcPr>
            <w:tcW w:w="109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369 (-7; 790)</w:t>
            </w:r>
          </w:p>
        </w:tc>
      </w:tr>
    </w:tbl>
    <w:p>
      <w:pPr>
        <w:spacing w:after="0"/>
        <w:rPr>
          <w:i/>
          <w:noProof/>
          <w:sz w:val="20"/>
          <w:szCs w:val="20"/>
          <w:lang w:val="en-GB"/>
        </w:rPr>
      </w:pPr>
      <w:r>
        <w:rPr>
          <w:i/>
          <w:noProof/>
          <w:sz w:val="20"/>
          <w:szCs w:val="20"/>
          <w:lang w:val="en-GB"/>
        </w:rPr>
        <w:t>CI: Confidence interval, ILD: interstitial lung disease</w:t>
      </w:r>
    </w:p>
    <w:p>
      <w:pPr>
        <w:spacing w:after="0"/>
        <w:rPr>
          <w:i/>
          <w:noProof/>
          <w:sz w:val="20"/>
          <w:szCs w:val="20"/>
          <w:lang w:val="en-GB"/>
        </w:rPr>
      </w:pPr>
      <w:r>
        <w:rPr>
          <w:i/>
          <w:noProof/>
          <w:sz w:val="20"/>
          <w:szCs w:val="20"/>
          <w:lang w:val="en-GB"/>
        </w:rPr>
        <w:t>Estimation based on weighted one and two-part generalized linear gamma models via recycled predictions approach with 1000 bootstrap replicates</w:t>
      </w:r>
    </w:p>
    <w:p>
      <w:pPr>
        <w:rPr>
          <w:i/>
          <w:noProof/>
          <w:sz w:val="20"/>
          <w:szCs w:val="20"/>
          <w:lang w:val="en-GB"/>
        </w:rPr>
      </w:pPr>
      <w:r>
        <w:rPr>
          <w:i/>
          <w:noProof/>
          <w:sz w:val="20"/>
          <w:szCs w:val="20"/>
          <w:lang w:val="en-GB"/>
        </w:rPr>
        <w:t>* Statistically significant results</w:t>
      </w:r>
    </w:p>
    <w:p>
      <w:pPr>
        <w:rPr>
          <w:i/>
          <w:noProof/>
          <w:sz w:val="20"/>
          <w:szCs w:val="20"/>
          <w:lang w:val="en-GB"/>
        </w:rPr>
      </w:pPr>
    </w:p>
    <w:p>
      <w:pPr>
        <w:rPr>
          <w:lang w:val="en-GB"/>
        </w:rPr>
      </w:pPr>
    </w:p>
    <w:p>
      <w:pPr>
        <w:rPr>
          <w:lang w:val="en-GB"/>
        </w:rPr>
      </w:pPr>
    </w:p>
    <w:p>
      <w:pPr>
        <w:rPr>
          <w:lang w:val="en-GB"/>
        </w:rPr>
      </w:pPr>
      <w:bookmarkStart w:id="2" w:name="_Ref92288235"/>
    </w:p>
    <w:bookmarkEnd w:id="2"/>
    <w:sectPr>
      <w:pgSz w:w="12240" w:h="15840" w:code="1"/>
      <w:pgMar w:top="1440" w:right="1440" w:bottom="1440" w:left="1440" w:header="709" w:footer="709" w:gutter="0"/>
      <w:lnNumType w:countBy="1" w:restart="continuous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A2CB1A" w16cex:dateUtc="2022-01-31T19:54:00Z"/>
  <w16cex:commentExtensible w16cex:durableId="25A2C8F5" w16cex:dateUtc="2022-01-19T11:26:00Z"/>
  <w16cex:commentExtensible w16cex:durableId="25A2CAF5" w16cex:dateUtc="2022-01-31T19:54:00Z"/>
  <w16cex:commentExtensible w16cex:durableId="25A2C8F6" w16cex:dateUtc="2022-01-24T09:36:00Z"/>
  <w16cex:commentExtensible w16cex:durableId="25A2C8F7" w16cex:dateUtc="2022-01-24T09:43:00Z"/>
  <w16cex:commentExtensible w16cex:durableId="25A2CA2D" w16cex:dateUtc="2022-01-31T19:50:00Z"/>
  <w16cex:commentExtensible w16cex:durableId="25A2D192" w16cex:dateUtc="2022-01-31T20:22:00Z"/>
  <w16cex:commentExtensible w16cex:durableId="25A2C8F8" w16cex:dateUtc="2022-01-25T09:14:00Z"/>
  <w16cex:commentExtensible w16cex:durableId="25A2D209" w16cex:dateUtc="2022-01-31T20:24:00Z"/>
  <w16cex:commentExtensible w16cex:durableId="25A2C8F9" w16cex:dateUtc="2022-01-21T12:18:00Z"/>
  <w16cex:commentExtensible w16cex:durableId="25A2C8FA" w16cex:dateUtc="2022-01-21T08:31:00Z"/>
  <w16cex:commentExtensible w16cex:durableId="25A2C8FB" w16cex:dateUtc="2022-01-21T08:28:00Z"/>
  <w16cex:commentExtensible w16cex:durableId="25A2C8FC" w16cex:dateUtc="2022-01-24T09:56:00Z"/>
  <w16cex:commentExtensible w16cex:durableId="25A2D8E0" w16cex:dateUtc="2022-01-31T20:53:00Z"/>
  <w16cex:commentExtensible w16cex:durableId="25A2C8FD" w16cex:dateUtc="2022-01-05T08:14:00Z"/>
  <w16cex:commentExtensible w16cex:durableId="25A2DADA" w16cex:dateUtc="2022-01-31T21:02:00Z"/>
  <w16cex:commentExtensible w16cex:durableId="25A2C8FE" w16cex:dateUtc="2022-01-24T12:23:00Z"/>
  <w16cex:commentExtensible w16cex:durableId="25A2DAEC" w16cex:dateUtc="2022-01-31T21:02:00Z"/>
  <w16cex:commentExtensible w16cex:durableId="25A2C8FF" w16cex:dateUtc="2022-01-19T06:04:00Z"/>
  <w16cex:commentExtensible w16cex:durableId="25A2C900" w16cex:dateUtc="2022-01-19T11:51:00Z"/>
  <w16cex:commentExtensible w16cex:durableId="25A2C901" w16cex:dateUtc="2022-01-19T06:05:00Z"/>
  <w16cex:commentExtensible w16cex:durableId="25A2C902" w16cex:dateUtc="2022-01-19T11:53:00Z"/>
  <w16cex:commentExtensible w16cex:durableId="25A2C903" w16cex:dateUtc="2022-01-04T11:00:00Z"/>
  <w16cex:commentExtensible w16cex:durableId="25A2DB50" w16cex:dateUtc="2022-01-31T21:04:00Z"/>
  <w16cex:commentExtensible w16cex:durableId="25A2C904" w16cex:dateUtc="2022-01-18T08:59:00Z"/>
  <w16cex:commentExtensible w16cex:durableId="25A2C905" w16cex:dateUtc="2022-01-20T08:21:00Z"/>
  <w16cex:commentExtensible w16cex:durableId="25A2DB5B" w16cex:dateUtc="2022-01-31T21:04:00Z"/>
  <w16cex:commentExtensible w16cex:durableId="25A2C906" w16cex:dateUtc="2022-01-19T06:48:00Z"/>
  <w16cex:commentExtensible w16cex:durableId="25A2C907" w16cex:dateUtc="2022-01-21T08:59:00Z"/>
  <w16cex:commentExtensible w16cex:durableId="25A2C908" w16cex:dateUtc="2022-01-20T14:08:00Z"/>
  <w16cex:commentExtensible w16cex:durableId="25A2C909" w16cex:dateUtc="2022-01-20T11:02:00Z"/>
  <w16cex:commentExtensible w16cex:durableId="25A2DBD9" w16cex:dateUtc="2022-01-31T21:06:00Z"/>
  <w16cex:commentExtensible w16cex:durableId="25A2DCA6" w16cex:dateUtc="2022-01-31T21:09:00Z"/>
  <w16cex:commentExtensible w16cex:durableId="25A2C90A" w16cex:dateUtc="2022-01-24T10:19:00Z"/>
  <w16cex:commentExtensible w16cex:durableId="25A2DCCF" w16cex:dateUtc="2022-01-31T21:10:00Z"/>
  <w16cex:commentExtensible w16cex:durableId="25A2DE82" w16cex:dateUtc="2022-01-31T21:17:00Z"/>
  <w16cex:commentExtensible w16cex:durableId="25A2C90B" w16cex:dateUtc="2022-01-21T12:27:00Z"/>
  <w16cex:commentExtensible w16cex:durableId="25A2E0E2" w16cex:dateUtc="2022-01-31T21:27:00Z"/>
  <w16cex:commentExtensible w16cex:durableId="25A2E151" w16cex:dateUtc="2022-01-31T21:29:00Z"/>
  <w16cex:commentExtensible w16cex:durableId="25A2C90C" w16cex:dateUtc="2022-01-19T07:36:00Z"/>
  <w16cex:commentExtensible w16cex:durableId="25A2E187" w16cex:dateUtc="2022-01-31T21:30:00Z"/>
  <w16cex:commentExtensible w16cex:durableId="25A2C90D" w16cex:dateUtc="2022-01-20T08:46:00Z"/>
  <w16cex:commentExtensible w16cex:durableId="25A2E1B5" w16cex:dateUtc="2022-01-31T21:31:00Z"/>
  <w16cex:commentExtensible w16cex:durableId="25A2C90E" w16cex:dateUtc="2022-01-19T07:40:00Z"/>
  <w16cex:commentExtensible w16cex:durableId="25A2C90F" w16cex:dateUtc="2022-01-24T11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7E1D7FA" w16cid:durableId="25A2CB1A"/>
  <w16cid:commentId w16cid:paraId="119645C1" w16cid:durableId="25A2C8F5"/>
  <w16cid:commentId w16cid:paraId="0C0C7E9A" w16cid:durableId="25A2CAF5"/>
  <w16cid:commentId w16cid:paraId="4CFEC079" w16cid:durableId="25A2C8F6"/>
  <w16cid:commentId w16cid:paraId="642AC71C" w16cid:durableId="25A2C8F7"/>
  <w16cid:commentId w16cid:paraId="4C74A3B3" w16cid:durableId="25A2CA2D"/>
  <w16cid:commentId w16cid:paraId="44B36FCA" w16cid:durableId="25A2D192"/>
  <w16cid:commentId w16cid:paraId="58255F40" w16cid:durableId="25A2C8F8"/>
  <w16cid:commentId w16cid:paraId="1A7C6CE6" w16cid:durableId="25A2D209"/>
  <w16cid:commentId w16cid:paraId="2CC4118A" w16cid:durableId="25A2C8F9"/>
  <w16cid:commentId w16cid:paraId="66D4363B" w16cid:durableId="25A2C8FA"/>
  <w16cid:commentId w16cid:paraId="763167CF" w16cid:durableId="25A2C8FB"/>
  <w16cid:commentId w16cid:paraId="606867C8" w16cid:durableId="25A2C8FC"/>
  <w16cid:commentId w16cid:paraId="754F2939" w16cid:durableId="25A2D8E0"/>
  <w16cid:commentId w16cid:paraId="4DA4DE4B" w16cid:durableId="25A2C8FD"/>
  <w16cid:commentId w16cid:paraId="184AF6BF" w16cid:durableId="25A2DADA"/>
  <w16cid:commentId w16cid:paraId="48F0C46E" w16cid:durableId="25A2C8FE"/>
  <w16cid:commentId w16cid:paraId="027E3504" w16cid:durableId="25A2DAEC"/>
  <w16cid:commentId w16cid:paraId="7AF2D0E6" w16cid:durableId="25A2C8FF"/>
  <w16cid:commentId w16cid:paraId="5044F9D2" w16cid:durableId="25A2C900"/>
  <w16cid:commentId w16cid:paraId="4759CE67" w16cid:durableId="25A2C901"/>
  <w16cid:commentId w16cid:paraId="5B501691" w16cid:durableId="25A2C902"/>
  <w16cid:commentId w16cid:paraId="2A7E931E" w16cid:durableId="25A2C903"/>
  <w16cid:commentId w16cid:paraId="6C9BCB21" w16cid:durableId="25A2DB50"/>
  <w16cid:commentId w16cid:paraId="54DEA297" w16cid:durableId="25A2C904"/>
  <w16cid:commentId w16cid:paraId="7C1059A3" w16cid:durableId="25A2C905"/>
  <w16cid:commentId w16cid:paraId="1572EDDF" w16cid:durableId="25A2DB5B"/>
  <w16cid:commentId w16cid:paraId="6623C36A" w16cid:durableId="25A2C906"/>
  <w16cid:commentId w16cid:paraId="5074985F" w16cid:durableId="25A2C907"/>
  <w16cid:commentId w16cid:paraId="2406559F" w16cid:durableId="25A2C908"/>
  <w16cid:commentId w16cid:paraId="220F77D3" w16cid:durableId="25A2C909"/>
  <w16cid:commentId w16cid:paraId="250D99D7" w16cid:durableId="25A2DBD9"/>
  <w16cid:commentId w16cid:paraId="197CA50D" w16cid:durableId="25A2DCA6"/>
  <w16cid:commentId w16cid:paraId="4674A2EF" w16cid:durableId="25A2C90A"/>
  <w16cid:commentId w16cid:paraId="3DBAB07F" w16cid:durableId="25A2DCCF"/>
  <w16cid:commentId w16cid:paraId="520D1FDE" w16cid:durableId="25A2DE82"/>
  <w16cid:commentId w16cid:paraId="039B7708" w16cid:durableId="25A2C90B"/>
  <w16cid:commentId w16cid:paraId="635826BE" w16cid:durableId="25A2E0E2"/>
  <w16cid:commentId w16cid:paraId="7772076F" w16cid:durableId="25A2E151"/>
  <w16cid:commentId w16cid:paraId="34E1774F" w16cid:durableId="25A2C90C"/>
  <w16cid:commentId w16cid:paraId="4DBD4DBD" w16cid:durableId="25A2E187"/>
  <w16cid:commentId w16cid:paraId="5C1E6CB7" w16cid:durableId="25A2C90D"/>
  <w16cid:commentId w16cid:paraId="613038B5" w16cid:durableId="25A2E1B5"/>
  <w16cid:commentId w16cid:paraId="163D870B" w16cid:durableId="25A2C90E"/>
  <w16cid:commentId w16cid:paraId="51726D50" w16cid:durableId="25A2C9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C2109"/>
    <w:multiLevelType w:val="hybridMultilevel"/>
    <w:tmpl w:val="504CF0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BF205C"/>
    <w:multiLevelType w:val="hybridMultilevel"/>
    <w:tmpl w:val="1FB00D62"/>
    <w:lvl w:ilvl="0" w:tplc="47AC0E76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C0B6D"/>
    <w:multiLevelType w:val="hybridMultilevel"/>
    <w:tmpl w:val="24A4EF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4782C"/>
    <w:multiLevelType w:val="hybridMultilevel"/>
    <w:tmpl w:val="B11C0A68"/>
    <w:lvl w:ilvl="0" w:tplc="7D62B9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de-D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A054D"/>
    <w:multiLevelType w:val="hybridMultilevel"/>
    <w:tmpl w:val="B032E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133C0"/>
    <w:multiLevelType w:val="hybridMultilevel"/>
    <w:tmpl w:val="9C40B516"/>
    <w:lvl w:ilvl="0" w:tplc="BEEE552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3760C"/>
    <w:multiLevelType w:val="hybridMultilevel"/>
    <w:tmpl w:val="CFF22ED8"/>
    <w:lvl w:ilvl="0" w:tplc="EB689C0A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F7E31"/>
    <w:multiLevelType w:val="hybridMultilevel"/>
    <w:tmpl w:val="1C9CD2B0"/>
    <w:lvl w:ilvl="0" w:tplc="E3B637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6652B"/>
    <w:multiLevelType w:val="hybridMultilevel"/>
    <w:tmpl w:val="0DFE05CA"/>
    <w:lvl w:ilvl="0" w:tplc="BDECA39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8D148B"/>
    <w:multiLevelType w:val="hybridMultilevel"/>
    <w:tmpl w:val="5B6488B2"/>
    <w:lvl w:ilvl="0" w:tplc="22D6C44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93799A"/>
    <w:multiLevelType w:val="hybridMultilevel"/>
    <w:tmpl w:val="E300180A"/>
    <w:lvl w:ilvl="0" w:tplc="8BACF1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9020BA"/>
    <w:multiLevelType w:val="hybridMultilevel"/>
    <w:tmpl w:val="B4E2B3F8"/>
    <w:lvl w:ilvl="0" w:tplc="A1941284">
      <w:start w:val="4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27066"/>
    <w:multiLevelType w:val="hybridMultilevel"/>
    <w:tmpl w:val="E9C26DA0"/>
    <w:lvl w:ilvl="0" w:tplc="C602AFB2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357A8"/>
    <w:multiLevelType w:val="hybridMultilevel"/>
    <w:tmpl w:val="393E71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CF71A1"/>
    <w:multiLevelType w:val="hybridMultilevel"/>
    <w:tmpl w:val="77741312"/>
    <w:lvl w:ilvl="0" w:tplc="5D40C8C2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A55DB8"/>
    <w:multiLevelType w:val="hybridMultilevel"/>
    <w:tmpl w:val="2DAEFA4A"/>
    <w:lvl w:ilvl="0" w:tplc="26F26E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DE1B9C"/>
    <w:multiLevelType w:val="hybridMultilevel"/>
    <w:tmpl w:val="843ED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6B30BA"/>
    <w:multiLevelType w:val="hybridMultilevel"/>
    <w:tmpl w:val="689A4698"/>
    <w:lvl w:ilvl="0" w:tplc="68BEC47C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4304B9"/>
    <w:multiLevelType w:val="hybridMultilevel"/>
    <w:tmpl w:val="2EF02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F165F7"/>
    <w:multiLevelType w:val="hybridMultilevel"/>
    <w:tmpl w:val="8E8E43DE"/>
    <w:lvl w:ilvl="0" w:tplc="C062298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120EB"/>
    <w:multiLevelType w:val="hybridMultilevel"/>
    <w:tmpl w:val="016A92F2"/>
    <w:lvl w:ilvl="0" w:tplc="93C46AC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4"/>
  </w:num>
  <w:num w:numId="4">
    <w:abstractNumId w:val="11"/>
  </w:num>
  <w:num w:numId="5">
    <w:abstractNumId w:val="20"/>
  </w:num>
  <w:num w:numId="6">
    <w:abstractNumId w:val="0"/>
  </w:num>
  <w:num w:numId="7">
    <w:abstractNumId w:val="15"/>
  </w:num>
  <w:num w:numId="8">
    <w:abstractNumId w:val="7"/>
  </w:num>
  <w:num w:numId="9">
    <w:abstractNumId w:val="16"/>
  </w:num>
  <w:num w:numId="10">
    <w:abstractNumId w:val="3"/>
  </w:num>
  <w:num w:numId="11">
    <w:abstractNumId w:val="19"/>
  </w:num>
  <w:num w:numId="12">
    <w:abstractNumId w:val="18"/>
  </w:num>
  <w:num w:numId="13">
    <w:abstractNumId w:val="5"/>
  </w:num>
  <w:num w:numId="14">
    <w:abstractNumId w:val="9"/>
  </w:num>
  <w:num w:numId="15">
    <w:abstractNumId w:val="8"/>
  </w:num>
  <w:num w:numId="16">
    <w:abstractNumId w:val="10"/>
  </w:num>
  <w:num w:numId="17">
    <w:abstractNumId w:val="6"/>
  </w:num>
  <w:num w:numId="18">
    <w:abstractNumId w:val="12"/>
  </w:num>
  <w:num w:numId="19">
    <w:abstractNumId w:val="1"/>
  </w:num>
  <w:num w:numId="20">
    <w:abstractNumId w:val="14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6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it-IT" w:vendorID="64" w:dllVersion="4096" w:nlCheck="1" w:checkStyle="0"/>
  <w:activeWritingStyle w:appName="MSWord" w:lang="it-IT" w:vendorID="64" w:dllVersion="0" w:nlCheck="1" w:checkStyle="0"/>
  <w:activeWritingStyle w:appName="MSWord" w:lang="en-GB" w:vendorID="64" w:dllVersion="131078" w:nlCheck="1" w:checkStyle="1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it-IT" w:vendorID="64" w:dllVersion="131078" w:nlCheck="1" w:checkStyle="0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dtd50szuatrz4e5twv5vtr4zapfxd9vrrpp&quot;&gt;MeineBib&lt;record-ids&gt;&lt;item&gt;33&lt;/item&gt;&lt;item&gt;51&lt;/item&gt;&lt;item&gt;59&lt;/item&gt;&lt;item&gt;196&lt;/item&gt;&lt;item&gt;386&lt;/item&gt;&lt;item&gt;462&lt;/item&gt;&lt;item&gt;483&lt;/item&gt;&lt;item&gt;543&lt;/item&gt;&lt;item&gt;548&lt;/item&gt;&lt;item&gt;549&lt;/item&gt;&lt;item&gt;611&lt;/item&gt;&lt;item&gt;613&lt;/item&gt;&lt;item&gt;619&lt;/item&gt;&lt;item&gt;621&lt;/item&gt;&lt;item&gt;626&lt;/item&gt;&lt;item&gt;641&lt;/item&gt;&lt;item&gt;642&lt;/item&gt;&lt;item&gt;680&lt;/item&gt;&lt;item&gt;703&lt;/item&gt;&lt;item&gt;704&lt;/item&gt;&lt;item&gt;709&lt;/item&gt;&lt;item&gt;710&lt;/item&gt;&lt;item&gt;711&lt;/item&gt;&lt;item&gt;712&lt;/item&gt;&lt;item&gt;713&lt;/item&gt;&lt;item&gt;716&lt;/item&gt;&lt;item&gt;718&lt;/item&gt;&lt;item&gt;730&lt;/item&gt;&lt;item&gt;731&lt;/item&gt;&lt;item&gt;732&lt;/item&gt;&lt;item&gt;738&lt;/item&gt;&lt;item&gt;739&lt;/item&gt;&lt;item&gt;740&lt;/item&gt;&lt;/record-ids&gt;&lt;/item&gt;&lt;/Libraries&gt;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927B7D4-1108-40A3-A54F-6757EE922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Zchn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DefaultParagraphFont"/>
    <w:link w:val="EndNoteBibliographyTitl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Zchn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DefaultParagraphFont"/>
    <w:link w:val="EndNoteBibliography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Compact">
    <w:name w:val="Compact"/>
    <w:basedOn w:val="BodyText"/>
    <w:qFormat/>
    <w:pPr>
      <w:spacing w:before="36" w:after="36" w:line="240" w:lineRule="auto"/>
    </w:pPr>
    <w:rPr>
      <w:sz w:val="24"/>
      <w:szCs w:val="24"/>
    </w:rPr>
  </w:style>
  <w:style w:type="table" w:customStyle="1" w:styleId="Table">
    <w:name w:val="Table"/>
    <w:semiHidden/>
    <w:qFormat/>
    <w:pPr>
      <w:spacing w:after="200" w:line="240" w:lineRule="auto"/>
    </w:pPr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character" w:customStyle="1" w:styleId="textcell">
    <w:name w:val="textcell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table" w:customStyle="1" w:styleId="Table1">
    <w:name w:val="Table1"/>
    <w:semiHidden/>
    <w:qFormat/>
    <w:pPr>
      <w:spacing w:after="200" w:line="240" w:lineRule="auto"/>
    </w:pPr>
    <w:rPr>
      <w:rFonts w:ascii="Calibri" w:eastAsia="Calibri" w:hAnsi="Calibri" w:cs="Times New Roman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rcid-id-https">
    <w:name w:val="orcid-id-https"/>
    <w:basedOn w:val="DefaultParagraphFont"/>
  </w:style>
  <w:style w:type="table" w:customStyle="1" w:styleId="Table11">
    <w:name w:val="Table11"/>
    <w:semiHidden/>
    <w:qFormat/>
    <w:pPr>
      <w:spacing w:after="200" w:line="240" w:lineRule="auto"/>
    </w:pPr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Table12">
    <w:name w:val="Table12"/>
    <w:semiHidden/>
    <w:qFormat/>
    <w:pPr>
      <w:spacing w:after="200" w:line="240" w:lineRule="auto"/>
    </w:pPr>
    <w:rPr>
      <w:rFonts w:ascii="Calibri" w:eastAsia="Calibri" w:hAnsi="Calibri" w:cs="Times New Roman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0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7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81810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42742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917301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44677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95869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9679623">
          <w:marLeft w:val="0"/>
          <w:marRight w:val="0"/>
          <w:marTop w:val="0"/>
          <w:marBottom w:val="0"/>
          <w:divBdr>
            <w:top w:val="single" w:sz="6" w:space="4" w:color="D6DADC"/>
            <w:left w:val="none" w:sz="0" w:space="4" w:color="D6DADC"/>
            <w:bottom w:val="none" w:sz="0" w:space="4" w:color="D6DADC"/>
            <w:right w:val="none" w:sz="0" w:space="4" w:color="D6DADC"/>
          </w:divBdr>
        </w:div>
      </w:divsChild>
    </w:div>
    <w:div w:id="6056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1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85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9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CC360-F29A-492F-B5C8-6E0639550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654</Words>
  <Characters>3730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Helmholtz Zentrum München</Company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Marijic, Pavo</dc:creator>
  <cp:keywords/>
  <dc:description/>
  <cp:lastModifiedBy>pavo.marijic</cp:lastModifiedBy>
  <cp:revision>4</cp:revision>
  <dcterms:created xsi:type="dcterms:W3CDTF">2022-04-25T07:54:00Z</dcterms:created>
  <dcterms:modified xsi:type="dcterms:W3CDTF">2022-08-26T10:56:00Z</dcterms:modified>
</cp:coreProperties>
</file>