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0F1" w:rsidRDefault="003B0959">
      <w:pPr>
        <w:pStyle w:val="Caption"/>
        <w:rPr>
          <w:color w:val="auto"/>
          <w:sz w:val="22"/>
          <w:lang w:val="en-GB"/>
        </w:rPr>
      </w:pPr>
      <w:bookmarkStart w:id="0" w:name="_Ref92288235"/>
      <w:r>
        <w:rPr>
          <w:color w:val="auto"/>
          <w:sz w:val="22"/>
        </w:rPr>
        <w:t>Additional file 4: Table S</w:t>
      </w:r>
      <w:r>
        <w:rPr>
          <w:color w:val="auto"/>
          <w:sz w:val="22"/>
        </w:rPr>
        <w:fldChar w:fldCharType="begin"/>
      </w:r>
      <w:r>
        <w:rPr>
          <w:color w:val="auto"/>
          <w:sz w:val="22"/>
        </w:rPr>
        <w:instrText xml:space="preserve"> SEQ Table_E \* ARABIC </w:instrText>
      </w:r>
      <w:r>
        <w:rPr>
          <w:color w:val="auto"/>
          <w:sz w:val="22"/>
        </w:rPr>
        <w:fldChar w:fldCharType="separate"/>
      </w:r>
      <w:r>
        <w:rPr>
          <w:noProof/>
          <w:color w:val="auto"/>
          <w:sz w:val="22"/>
        </w:rPr>
        <w:t>11</w:t>
      </w:r>
      <w:r>
        <w:rPr>
          <w:color w:val="auto"/>
          <w:sz w:val="22"/>
        </w:rPr>
        <w:fldChar w:fldCharType="end"/>
      </w:r>
      <w:r>
        <w:rPr>
          <w:color w:val="auto"/>
          <w:sz w:val="22"/>
          <w:lang w:val="en-GB"/>
        </w:rPr>
        <w:t xml:space="preserve"> Explorative analysis for change in pharmaceutical treatment patterns in the three month after </w:t>
      </w:r>
      <w:bookmarkStart w:id="1" w:name="_GoBack"/>
      <w:bookmarkEnd w:id="1"/>
      <w:r>
        <w:rPr>
          <w:color w:val="auto"/>
          <w:sz w:val="22"/>
          <w:lang w:val="en-GB"/>
        </w:rPr>
        <w:t>confirmed diagnosis</w:t>
      </w:r>
    </w:p>
    <w:tbl>
      <w:tblPr>
        <w:tblStyle w:val="Table1"/>
        <w:tblW w:w="5000" w:type="pct"/>
        <w:tblInd w:w="0" w:type="dxa"/>
        <w:tblCellMar>
          <w:left w:w="57" w:type="dxa"/>
          <w:right w:w="57" w:type="dxa"/>
        </w:tblCellMar>
        <w:tblLook w:val="07E0" w:firstRow="1" w:lastRow="1" w:firstColumn="1" w:lastColumn="1" w:noHBand="1" w:noVBand="1"/>
      </w:tblPr>
      <w:tblGrid>
        <w:gridCol w:w="2572"/>
        <w:gridCol w:w="1833"/>
        <w:gridCol w:w="1831"/>
        <w:gridCol w:w="1561"/>
        <w:gridCol w:w="1563"/>
      </w:tblGrid>
      <w:tr w:rsidR="006820F1">
        <w:tc>
          <w:tcPr>
            <w:tcW w:w="1374" w:type="pct"/>
            <w:vAlign w:val="center"/>
          </w:tcPr>
          <w:p w:rsidR="006820F1" w:rsidRDefault="006820F1">
            <w:pPr>
              <w:spacing w:before="36" w:after="36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957" w:type="pct"/>
            <w:gridSpan w:val="2"/>
            <w:tcBorders>
              <w:bottom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Percentage </w:t>
            </w: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treated with drugs before confirmed diagnosis, n (%)</w:t>
            </w:r>
          </w:p>
        </w:tc>
        <w:tc>
          <w:tcPr>
            <w:tcW w:w="1669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rPr>
                <w:rFonts w:cstheme="minorHAnsi"/>
                <w:i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Percentage treated with drugs after confirmed discharge, n (%)</w:t>
            </w:r>
          </w:p>
        </w:tc>
      </w:tr>
      <w:tr w:rsidR="006820F1">
        <w:tc>
          <w:tcPr>
            <w:tcW w:w="1374" w:type="pct"/>
            <w:tcBorders>
              <w:bottom w:val="single" w:sz="4" w:space="0" w:color="auto"/>
            </w:tcBorders>
            <w:vAlign w:val="center"/>
          </w:tcPr>
          <w:p w:rsidR="006820F1" w:rsidRDefault="006820F1">
            <w:pPr>
              <w:spacing w:before="36" w:after="36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Non-specialised ILD-centre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Specialised ILD-centre</w:t>
            </w:r>
          </w:p>
        </w:tc>
        <w:tc>
          <w:tcPr>
            <w:tcW w:w="8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Non-specialised ILD-centre</w:t>
            </w:r>
          </w:p>
        </w:tc>
        <w:tc>
          <w:tcPr>
            <w:tcW w:w="83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Specialised ILD-centre</w:t>
            </w:r>
          </w:p>
        </w:tc>
      </w:tr>
      <w:tr w:rsidR="006820F1">
        <w:tc>
          <w:tcPr>
            <w:tcW w:w="1374" w:type="pct"/>
            <w:tcBorders>
              <w:top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Antifibrotics</w:t>
            </w:r>
          </w:p>
        </w:tc>
        <w:tc>
          <w:tcPr>
            <w:tcW w:w="979" w:type="pct"/>
            <w:tcBorders>
              <w:top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0 (0)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350 (1.2)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84 (4.2)</w:t>
            </w:r>
          </w:p>
        </w:tc>
      </w:tr>
      <w:tr w:rsidR="006820F1">
        <w:tc>
          <w:tcPr>
            <w:tcW w:w="1374" w:type="pct"/>
            <w:vAlign w:val="center"/>
            <w:hideMark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Immunosuppressants</w:t>
            </w:r>
          </w:p>
        </w:tc>
        <w:tc>
          <w:tcPr>
            <w:tcW w:w="979" w:type="pct"/>
            <w:vAlign w:val="center"/>
            <w:hideMark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672 (2.3)</w:t>
            </w:r>
          </w:p>
        </w:tc>
        <w:tc>
          <w:tcPr>
            <w:tcW w:w="978" w:type="pct"/>
            <w:tcBorders>
              <w:left w:val="single" w:sz="4" w:space="0" w:color="auto"/>
            </w:tcBorders>
            <w:vAlign w:val="center"/>
            <w:hideMark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39 (1.9)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963 (3.3)</w:t>
            </w:r>
          </w:p>
        </w:tc>
        <w:tc>
          <w:tcPr>
            <w:tcW w:w="835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76 (3.8)</w:t>
            </w:r>
          </w:p>
        </w:tc>
      </w:tr>
      <w:tr w:rsidR="006820F1">
        <w:tc>
          <w:tcPr>
            <w:tcW w:w="1374" w:type="pct"/>
            <w:vAlign w:val="center"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Acetylcysteine</w:t>
            </w:r>
          </w:p>
        </w:tc>
        <w:tc>
          <w:tcPr>
            <w:tcW w:w="979" w:type="pct"/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803 (2.8)</w:t>
            </w:r>
          </w:p>
        </w:tc>
        <w:tc>
          <w:tcPr>
            <w:tcW w:w="978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79 (3.9)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1102 (3.8)</w:t>
            </w:r>
          </w:p>
        </w:tc>
        <w:tc>
          <w:tcPr>
            <w:tcW w:w="835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91 (4.5)</w:t>
            </w:r>
          </w:p>
        </w:tc>
      </w:tr>
      <w:tr w:rsidR="006820F1">
        <w:tc>
          <w:tcPr>
            <w:tcW w:w="1374" w:type="pct"/>
            <w:vAlign w:val="center"/>
            <w:hideMark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Glucocorticoids, Corticosteroids</w:t>
            </w:r>
          </w:p>
        </w:tc>
        <w:tc>
          <w:tcPr>
            <w:tcW w:w="979" w:type="pct"/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6107 (21.2)</w:t>
            </w:r>
          </w:p>
        </w:tc>
        <w:tc>
          <w:tcPr>
            <w:tcW w:w="978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417 (20.6)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12173 (42.3)</w:t>
            </w:r>
          </w:p>
        </w:tc>
        <w:tc>
          <w:tcPr>
            <w:tcW w:w="835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896 (44.3)</w:t>
            </w:r>
          </w:p>
        </w:tc>
      </w:tr>
      <w:tr w:rsidR="006820F1">
        <w:tc>
          <w:tcPr>
            <w:tcW w:w="1374" w:type="pct"/>
            <w:vAlign w:val="center"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anti-clotting drugs</w:t>
            </w:r>
          </w:p>
        </w:tc>
        <w:tc>
          <w:tcPr>
            <w:tcW w:w="979" w:type="pct"/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5850 (20.3)</w:t>
            </w:r>
          </w:p>
        </w:tc>
        <w:tc>
          <w:tcPr>
            <w:tcW w:w="978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322 </w:t>
            </w:r>
            <w:r>
              <w:rPr>
                <w:rFonts w:cstheme="minorHAnsi"/>
                <w:sz w:val="20"/>
                <w:szCs w:val="20"/>
                <w:lang w:val="en-GB"/>
              </w:rPr>
              <w:t>(15.9)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6962 (24.2)</w:t>
            </w:r>
          </w:p>
        </w:tc>
        <w:tc>
          <w:tcPr>
            <w:tcW w:w="835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357 (17.7)</w:t>
            </w:r>
          </w:p>
        </w:tc>
      </w:tr>
      <w:tr w:rsidR="006820F1">
        <w:tc>
          <w:tcPr>
            <w:tcW w:w="1374" w:type="pct"/>
            <w:vAlign w:val="center"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anti-acid drugs</w:t>
            </w:r>
          </w:p>
        </w:tc>
        <w:tc>
          <w:tcPr>
            <w:tcW w:w="979" w:type="pct"/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11101 (38.6)</w:t>
            </w:r>
          </w:p>
        </w:tc>
        <w:tc>
          <w:tcPr>
            <w:tcW w:w="978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695 (34.4)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15188 (52.8)</w:t>
            </w:r>
          </w:p>
        </w:tc>
        <w:tc>
          <w:tcPr>
            <w:tcW w:w="835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981 (48.5)</w:t>
            </w:r>
          </w:p>
        </w:tc>
      </w:tr>
      <w:tr w:rsidR="006820F1">
        <w:tc>
          <w:tcPr>
            <w:tcW w:w="1374" w:type="pct"/>
            <w:vAlign w:val="center"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anti-depressants</w:t>
            </w:r>
          </w:p>
        </w:tc>
        <w:tc>
          <w:tcPr>
            <w:tcW w:w="979" w:type="pct"/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3620 (12.6)</w:t>
            </w:r>
          </w:p>
        </w:tc>
        <w:tc>
          <w:tcPr>
            <w:tcW w:w="978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192 (9.5)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4033 (14.0)</w:t>
            </w:r>
          </w:p>
        </w:tc>
        <w:tc>
          <w:tcPr>
            <w:tcW w:w="835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212 (10.5)</w:t>
            </w:r>
          </w:p>
        </w:tc>
      </w:tr>
      <w:tr w:rsidR="006820F1">
        <w:tc>
          <w:tcPr>
            <w:tcW w:w="1374" w:type="pct"/>
            <w:vAlign w:val="center"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anti-diabetic drugs</w:t>
            </w:r>
          </w:p>
        </w:tc>
        <w:tc>
          <w:tcPr>
            <w:tcW w:w="979" w:type="pct"/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4877 (17.0)</w:t>
            </w:r>
          </w:p>
        </w:tc>
        <w:tc>
          <w:tcPr>
            <w:tcW w:w="978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298 (14.7)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5092 </w:t>
            </w:r>
            <w:r>
              <w:rPr>
                <w:rFonts w:cstheme="minorHAnsi"/>
                <w:sz w:val="20"/>
                <w:szCs w:val="20"/>
                <w:lang w:val="en-GB"/>
              </w:rPr>
              <w:t>(17.7)</w:t>
            </w:r>
          </w:p>
        </w:tc>
        <w:tc>
          <w:tcPr>
            <w:tcW w:w="835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320 (15.8)</w:t>
            </w:r>
          </w:p>
        </w:tc>
      </w:tr>
      <w:tr w:rsidR="006820F1">
        <w:tc>
          <w:tcPr>
            <w:tcW w:w="1374" w:type="pct"/>
            <w:vAlign w:val="center"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with drugs against obstructive airway disease</w:t>
            </w:r>
          </w:p>
        </w:tc>
        <w:tc>
          <w:tcPr>
            <w:tcW w:w="979" w:type="pct"/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6104 (21.2)</w:t>
            </w:r>
          </w:p>
        </w:tc>
        <w:tc>
          <w:tcPr>
            <w:tcW w:w="978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474 (23.4)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7024 (24.4)</w:t>
            </w:r>
          </w:p>
        </w:tc>
        <w:tc>
          <w:tcPr>
            <w:tcW w:w="835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418 (20.7)</w:t>
            </w:r>
          </w:p>
        </w:tc>
      </w:tr>
      <w:tr w:rsidR="006820F1">
        <w:tc>
          <w:tcPr>
            <w:tcW w:w="1374" w:type="pct"/>
            <w:vAlign w:val="center"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of pulmonary hypertension</w:t>
            </w:r>
          </w:p>
        </w:tc>
        <w:tc>
          <w:tcPr>
            <w:tcW w:w="979" w:type="pct"/>
            <w:vAlign w:val="center"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191 (0.7)</w:t>
            </w:r>
          </w:p>
        </w:tc>
        <w:tc>
          <w:tcPr>
            <w:tcW w:w="978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15 (0.7)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350 (1.2)</w:t>
            </w:r>
          </w:p>
        </w:tc>
        <w:tc>
          <w:tcPr>
            <w:tcW w:w="835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40 (2.0)</w:t>
            </w:r>
          </w:p>
        </w:tc>
      </w:tr>
      <w:tr w:rsidR="006820F1">
        <w:tc>
          <w:tcPr>
            <w:tcW w:w="1374" w:type="pct"/>
            <w:vAlign w:val="center"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of heart insufficiency/cardiac arrhythmia</w:t>
            </w:r>
          </w:p>
        </w:tc>
        <w:tc>
          <w:tcPr>
            <w:tcW w:w="979" w:type="pct"/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9019 </w:t>
            </w:r>
            <w:r>
              <w:rPr>
                <w:rFonts w:cstheme="minorHAnsi"/>
                <w:sz w:val="20"/>
                <w:szCs w:val="20"/>
                <w:lang w:val="en-GB"/>
              </w:rPr>
              <w:t>(31.3)</w:t>
            </w:r>
          </w:p>
        </w:tc>
        <w:tc>
          <w:tcPr>
            <w:tcW w:w="978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449 (22.2)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11200 (38.9)</w:t>
            </w:r>
          </w:p>
        </w:tc>
        <w:tc>
          <w:tcPr>
            <w:tcW w:w="835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519 (25.7)</w:t>
            </w:r>
          </w:p>
        </w:tc>
      </w:tr>
      <w:tr w:rsidR="006820F1">
        <w:tc>
          <w:tcPr>
            <w:tcW w:w="1374" w:type="pct"/>
            <w:vAlign w:val="center"/>
          </w:tcPr>
          <w:p w:rsidR="006820F1" w:rsidRDefault="003B0959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Treatment of cardiovascular disease</w:t>
            </w:r>
          </w:p>
        </w:tc>
        <w:tc>
          <w:tcPr>
            <w:tcW w:w="979" w:type="pct"/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16218 (56.4)</w:t>
            </w:r>
          </w:p>
        </w:tc>
        <w:tc>
          <w:tcPr>
            <w:tcW w:w="978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995 (49.2)</w:t>
            </w: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16746 (58.2)</w:t>
            </w:r>
          </w:p>
        </w:tc>
        <w:tc>
          <w:tcPr>
            <w:tcW w:w="835" w:type="pct"/>
            <w:tcBorders>
              <w:left w:val="single" w:sz="4" w:space="0" w:color="auto"/>
            </w:tcBorders>
            <w:vAlign w:val="center"/>
          </w:tcPr>
          <w:p w:rsidR="006820F1" w:rsidRDefault="003B0959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1030 (50.9)</w:t>
            </w:r>
          </w:p>
        </w:tc>
      </w:tr>
      <w:tr w:rsidR="006820F1">
        <w:tc>
          <w:tcPr>
            <w:tcW w:w="1374" w:type="pct"/>
            <w:tcBorders>
              <w:bottom w:val="single" w:sz="4" w:space="0" w:color="auto"/>
            </w:tcBorders>
            <w:vAlign w:val="center"/>
          </w:tcPr>
          <w:p w:rsidR="006820F1" w:rsidRDefault="006820F1">
            <w:pPr>
              <w:pStyle w:val="Compact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79" w:type="pct"/>
            <w:tcBorders>
              <w:bottom w:val="single" w:sz="4" w:space="0" w:color="auto"/>
            </w:tcBorders>
            <w:vAlign w:val="center"/>
          </w:tcPr>
          <w:p w:rsidR="006820F1" w:rsidRDefault="006820F1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7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20F1" w:rsidRDefault="006820F1">
            <w:pPr>
              <w:pStyle w:val="Compact"/>
              <w:spacing w:after="0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8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0F1" w:rsidRDefault="006820F1">
            <w:pPr>
              <w:pStyle w:val="Compact"/>
              <w:spacing w:after="0"/>
              <w:rPr>
                <w:sz w:val="20"/>
                <w:szCs w:val="20"/>
                <w:lang w:val="en-GB"/>
              </w:rPr>
            </w:pPr>
          </w:p>
        </w:tc>
        <w:tc>
          <w:tcPr>
            <w:tcW w:w="83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820F1" w:rsidRDefault="006820F1">
            <w:pPr>
              <w:pStyle w:val="Compact"/>
              <w:spacing w:after="0"/>
              <w:rPr>
                <w:sz w:val="20"/>
                <w:szCs w:val="20"/>
                <w:lang w:val="en-GB"/>
              </w:rPr>
            </w:pPr>
          </w:p>
        </w:tc>
      </w:tr>
    </w:tbl>
    <w:p w:rsidR="006820F1" w:rsidRDefault="003B0959">
      <w:pPr>
        <w:rPr>
          <w:i/>
          <w:iCs/>
          <w:szCs w:val="18"/>
          <w:lang w:val="en-GB"/>
        </w:rPr>
      </w:pPr>
      <w:r>
        <w:rPr>
          <w:i/>
          <w:sz w:val="20"/>
          <w:lang w:val="en-GB"/>
        </w:rPr>
        <w:t>ILD: Interstitial lung disease</w:t>
      </w:r>
      <w:r>
        <w:rPr>
          <w:i/>
          <w:lang w:val="en-GB"/>
        </w:rPr>
        <w:t xml:space="preserve"> </w:t>
      </w:r>
      <w:bookmarkEnd w:id="0"/>
    </w:p>
    <w:sectPr w:rsidR="006820F1" w:rsidSect="003D6F77">
      <w:pgSz w:w="12240" w:h="15840" w:code="1"/>
      <w:pgMar w:top="1440" w:right="1440" w:bottom="1440" w:left="1440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A2CB1A" w16cex:dateUtc="2022-01-31T19:54:00Z"/>
  <w16cex:commentExtensible w16cex:durableId="25A2C8F5" w16cex:dateUtc="2022-01-19T11:26:00Z"/>
  <w16cex:commentExtensible w16cex:durableId="25A2CAF5" w16cex:dateUtc="2022-01-31T19:54:00Z"/>
  <w16cex:commentExtensible w16cex:durableId="25A2C8F6" w16cex:dateUtc="2022-01-24T09:36:00Z"/>
  <w16cex:commentExtensible w16cex:durableId="25A2C8F7" w16cex:dateUtc="2022-01-24T09:43:00Z"/>
  <w16cex:commentExtensible w16cex:durableId="25A2CA2D" w16cex:dateUtc="2022-01-31T19:50:00Z"/>
  <w16cex:commentExtensible w16cex:durableId="25A2D192" w16cex:dateUtc="2022-01-31T20:22:00Z"/>
  <w16cex:commentExtensible w16cex:durableId="25A2C8F8" w16cex:dateUtc="2022-01-25T09:14:00Z"/>
  <w16cex:commentExtensible w16cex:durableId="25A2D209" w16cex:dateUtc="2022-01-31T20:24:00Z"/>
  <w16cex:commentExtensible w16cex:durableId="25A2C8F9" w16cex:dateUtc="2022-01-21T12:18:00Z"/>
  <w16cex:commentExtensible w16cex:durableId="25A2C8FA" w16cex:dateUtc="2022-01-21T08:31:00Z"/>
  <w16cex:commentExtensible w16cex:durableId="25A2C8FB" w16cex:dateUtc="2022-01-21T08:28:00Z"/>
  <w16cex:commentExtensible w16cex:durableId="25A2C8FC" w16cex:dateUtc="2022-01-24T09:56:00Z"/>
  <w16cex:commentExtensible w16cex:durableId="25A2D8E0" w16cex:dateUtc="2022-01-31T20:53:00Z"/>
  <w16cex:commentExtensible w16cex:durableId="25A2C8FD" w16cex:dateUtc="2022-01-05T08:14:00Z"/>
  <w16cex:commentExtensible w16cex:durableId="25A2DADA" w16cex:dateUtc="2022-01-31T21:02:00Z"/>
  <w16cex:commentExtensible w16cex:durableId="25A2C8FE" w16cex:dateUtc="2022-01-24T12:23:00Z"/>
  <w16cex:commentExtensible w16cex:durableId="25A2DAEC" w16cex:dateUtc="2022-01-31T21:02:00Z"/>
  <w16cex:commentExtensible w16cex:durableId="25A2C8FF" w16cex:dateUtc="2022-01-19T06:04:00Z"/>
  <w16cex:commentExtensible w16cex:durableId="25A2C900" w16cex:dateUtc="2022-01-19T11:51:00Z"/>
  <w16cex:commentExtensible w16cex:durableId="25A2C901" w16cex:dateUtc="2022-01-19T06:05:00Z"/>
  <w16cex:commentExtensible w16cex:durableId="25A2C902" w16cex:dateUtc="2022-01-19T11:53:00Z"/>
  <w16cex:commentExtensible w16cex:durableId="25A2C903" w16cex:dateUtc="2022-01-04T11:00:00Z"/>
  <w16cex:commentExtensible w16cex:durableId="25A2DB50" w16cex:dateUtc="2022-01-31T21:04:00Z"/>
  <w16cex:commentExtensible w16cex:durableId="25A2C904" w16cex:dateUtc="2022-01-18T08:59:00Z"/>
  <w16cex:commentExtensible w16cex:durableId="25A2C905" w16cex:dateUtc="2022-01-20T08:21:00Z"/>
  <w16cex:commentExtensible w16cex:durableId="25A2DB5B" w16cex:dateUtc="2022-01-31T21:04:00Z"/>
  <w16cex:commentExtensible w16cex:durableId="25A2C906" w16cex:dateUtc="2022-01-19T06:48:00Z"/>
  <w16cex:commentExtensible w16cex:durableId="25A2C907" w16cex:dateUtc="2022-01-21T08:59:00Z"/>
  <w16cex:commentExtensible w16cex:durableId="25A2C908" w16cex:dateUtc="2022-01-20T14:08:00Z"/>
  <w16cex:commentExtensible w16cex:durableId="25A2C909" w16cex:dateUtc="2022-01-20T11:02:00Z"/>
  <w16cex:commentExtensible w16cex:durableId="25A2DBD9" w16cex:dateUtc="2022-01-31T21:06:00Z"/>
  <w16cex:commentExtensible w16cex:durableId="25A2DCA6" w16cex:dateUtc="2022-01-31T21:09:00Z"/>
  <w16cex:commentExtensible w16cex:durableId="25A2C90A" w16cex:dateUtc="2022-01-24T10:19:00Z"/>
  <w16cex:commentExtensible w16cex:durableId="25A2DCCF" w16cex:dateUtc="2022-01-31T21:10:00Z"/>
  <w16cex:commentExtensible w16cex:durableId="25A2DE82" w16cex:dateUtc="2022-01-31T21:17:00Z"/>
  <w16cex:commentExtensible w16cex:durableId="25A2C90B" w16cex:dateUtc="2022-01-21T12:27:00Z"/>
  <w16cex:commentExtensible w16cex:durableId="25A2E0E2" w16cex:dateUtc="2022-01-31T21:27:00Z"/>
  <w16cex:commentExtensible w16cex:durableId="25A2E151" w16cex:dateUtc="2022-01-31T21:29:00Z"/>
  <w16cex:commentExtensible w16cex:durableId="25A2C90C" w16cex:dateUtc="2022-01-19T07:36:00Z"/>
  <w16cex:commentExtensible w16cex:durableId="25A2E187" w16cex:dateUtc="2022-01-31T21:30:00Z"/>
  <w16cex:commentExtensible w16cex:durableId="25A2C90D" w16cex:dateUtc="2022-01-20T08:46:00Z"/>
  <w16cex:commentExtensible w16cex:durableId="25A2E1B5" w16cex:dateUtc="2022-01-31T21:31:00Z"/>
  <w16cex:commentExtensible w16cex:durableId="25A2C90E" w16cex:dateUtc="2022-01-19T07:40:00Z"/>
  <w16cex:commentExtensible w16cex:durableId="25A2C90F" w16cex:dateUtc="2022-01-24T11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7E1D7FA" w16cid:durableId="25A2CB1A"/>
  <w16cid:commentId w16cid:paraId="119645C1" w16cid:durableId="25A2C8F5"/>
  <w16cid:commentId w16cid:paraId="0C0C7E9A" w16cid:durableId="25A2CAF5"/>
  <w16cid:commentId w16cid:paraId="4CFEC079" w16cid:durableId="25A2C8F6"/>
  <w16cid:commentId w16cid:paraId="642AC71C" w16cid:durableId="25A2C8F7"/>
  <w16cid:commentId w16cid:paraId="4C74A3B3" w16cid:durableId="25A2CA2D"/>
  <w16cid:commentId w16cid:paraId="44B36FCA" w16cid:durableId="25A2D192"/>
  <w16cid:commentId w16cid:paraId="58255F40" w16cid:durableId="25A2C8F8"/>
  <w16cid:commentId w16cid:paraId="1A7C6CE6" w16cid:durableId="25A2D209"/>
  <w16cid:commentId w16cid:paraId="2CC4118A" w16cid:durableId="25A2C8F9"/>
  <w16cid:commentId w16cid:paraId="66D4363B" w16cid:durableId="25A2C8FA"/>
  <w16cid:commentId w16cid:paraId="763167CF" w16cid:durableId="25A2C8FB"/>
  <w16cid:commentId w16cid:paraId="606867C8" w16cid:durableId="25A2C8FC"/>
  <w16cid:commentId w16cid:paraId="754F2939" w16cid:durableId="25A2D8E0"/>
  <w16cid:commentId w16cid:paraId="4DA4DE4B" w16cid:durableId="25A2C8FD"/>
  <w16cid:commentId w16cid:paraId="184AF6BF" w16cid:durableId="25A2DADA"/>
  <w16cid:commentId w16cid:paraId="48F0C46E" w16cid:durableId="25A2C8FE"/>
  <w16cid:commentId w16cid:paraId="027E3504" w16cid:durableId="25A2DAEC"/>
  <w16cid:commentId w16cid:paraId="7AF2D0E6" w16cid:durableId="25A2C8FF"/>
  <w16cid:commentId w16cid:paraId="5044F9D2" w16cid:durableId="25A2C900"/>
  <w16cid:commentId w16cid:paraId="4759CE67" w16cid:durableId="25A2C901"/>
  <w16cid:commentId w16cid:paraId="5B501691" w16cid:durableId="25A2C902"/>
  <w16cid:commentId w16cid:paraId="2A7E931E" w16cid:durableId="25A2C903"/>
  <w16cid:commentId w16cid:paraId="6C9BCB21" w16cid:durableId="25A2DB50"/>
  <w16cid:commentId w16cid:paraId="54DEA297" w16cid:durableId="25A2C904"/>
  <w16cid:commentId w16cid:paraId="7C1059A3" w16cid:durableId="25A2C905"/>
  <w16cid:commentId w16cid:paraId="1572EDDF" w16cid:durableId="25A2DB5B"/>
  <w16cid:commentId w16cid:paraId="6623C36A" w16cid:durableId="25A2C906"/>
  <w16cid:commentId w16cid:paraId="5074985F" w16cid:durableId="25A2C907"/>
  <w16cid:commentId w16cid:paraId="2406559F" w16cid:durableId="25A2C908"/>
  <w16cid:commentId w16cid:paraId="220F77D3" w16cid:durableId="25A2C909"/>
  <w16cid:commentId w16cid:paraId="250D99D7" w16cid:durableId="25A2DBD9"/>
  <w16cid:commentId w16cid:paraId="197CA50D" w16cid:durableId="25A2DCA6"/>
  <w16cid:commentId w16cid:paraId="4674A2EF" w16cid:durableId="25A2C90A"/>
  <w16cid:commentId w16cid:paraId="3DBAB07F" w16cid:durableId="25A2DCCF"/>
  <w16cid:commentId w16cid:paraId="520D1FDE" w16cid:durableId="25A2DE82"/>
  <w16cid:commentId w16cid:paraId="039B7708" w16cid:durableId="25A2C90B"/>
  <w16cid:commentId w16cid:paraId="635826BE" w16cid:durableId="25A2E0E2"/>
  <w16cid:commentId w16cid:paraId="7772076F" w16cid:durableId="25A2E151"/>
  <w16cid:commentId w16cid:paraId="34E1774F" w16cid:durableId="25A2C90C"/>
  <w16cid:commentId w16cid:paraId="4DBD4DBD" w16cid:durableId="25A2E187"/>
  <w16cid:commentId w16cid:paraId="5C1E6CB7" w16cid:durableId="25A2C90D"/>
  <w16cid:commentId w16cid:paraId="613038B5" w16cid:durableId="25A2E1B5"/>
  <w16cid:commentId w16cid:paraId="163D870B" w16cid:durableId="25A2C90E"/>
  <w16cid:commentId w16cid:paraId="51726D50" w16cid:durableId="25A2C90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959" w:rsidRDefault="003B0959">
      <w:pPr>
        <w:spacing w:after="0" w:line="240" w:lineRule="auto"/>
      </w:pPr>
      <w:r>
        <w:separator/>
      </w:r>
    </w:p>
  </w:endnote>
  <w:endnote w:type="continuationSeparator" w:id="0">
    <w:p w:rsidR="003B0959" w:rsidRDefault="003B0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959" w:rsidRDefault="003B0959">
      <w:pPr>
        <w:spacing w:after="0" w:line="240" w:lineRule="auto"/>
      </w:pPr>
      <w:r>
        <w:separator/>
      </w:r>
    </w:p>
  </w:footnote>
  <w:footnote w:type="continuationSeparator" w:id="0">
    <w:p w:rsidR="003B0959" w:rsidRDefault="003B09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C2109"/>
    <w:multiLevelType w:val="hybridMultilevel"/>
    <w:tmpl w:val="504CF0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BF205C"/>
    <w:multiLevelType w:val="hybridMultilevel"/>
    <w:tmpl w:val="1FB00D62"/>
    <w:lvl w:ilvl="0" w:tplc="47AC0E76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C0B6D"/>
    <w:multiLevelType w:val="hybridMultilevel"/>
    <w:tmpl w:val="24A4EF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4782C"/>
    <w:multiLevelType w:val="hybridMultilevel"/>
    <w:tmpl w:val="B11C0A68"/>
    <w:lvl w:ilvl="0" w:tplc="7D62B9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de-D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A054D"/>
    <w:multiLevelType w:val="hybridMultilevel"/>
    <w:tmpl w:val="B032E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133C0"/>
    <w:multiLevelType w:val="hybridMultilevel"/>
    <w:tmpl w:val="9C40B516"/>
    <w:lvl w:ilvl="0" w:tplc="BEEE55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3760C"/>
    <w:multiLevelType w:val="hybridMultilevel"/>
    <w:tmpl w:val="CFF22ED8"/>
    <w:lvl w:ilvl="0" w:tplc="EB689C0A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9F7E31"/>
    <w:multiLevelType w:val="hybridMultilevel"/>
    <w:tmpl w:val="1C9CD2B0"/>
    <w:lvl w:ilvl="0" w:tplc="E3B637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6652B"/>
    <w:multiLevelType w:val="hybridMultilevel"/>
    <w:tmpl w:val="0DFE05CA"/>
    <w:lvl w:ilvl="0" w:tplc="BDECA39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8D148B"/>
    <w:multiLevelType w:val="hybridMultilevel"/>
    <w:tmpl w:val="5B6488B2"/>
    <w:lvl w:ilvl="0" w:tplc="22D6C44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93799A"/>
    <w:multiLevelType w:val="hybridMultilevel"/>
    <w:tmpl w:val="E300180A"/>
    <w:lvl w:ilvl="0" w:tplc="8BACF1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020BA"/>
    <w:multiLevelType w:val="hybridMultilevel"/>
    <w:tmpl w:val="B4E2B3F8"/>
    <w:lvl w:ilvl="0" w:tplc="A1941284">
      <w:start w:val="4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27066"/>
    <w:multiLevelType w:val="hybridMultilevel"/>
    <w:tmpl w:val="E9C26DA0"/>
    <w:lvl w:ilvl="0" w:tplc="C602AFB2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357A8"/>
    <w:multiLevelType w:val="hybridMultilevel"/>
    <w:tmpl w:val="393E71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F71A1"/>
    <w:multiLevelType w:val="hybridMultilevel"/>
    <w:tmpl w:val="77741312"/>
    <w:lvl w:ilvl="0" w:tplc="5D40C8C2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A55DB8"/>
    <w:multiLevelType w:val="hybridMultilevel"/>
    <w:tmpl w:val="2DAEFA4A"/>
    <w:lvl w:ilvl="0" w:tplc="26F26E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DE1B9C"/>
    <w:multiLevelType w:val="hybridMultilevel"/>
    <w:tmpl w:val="843ED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6B30BA"/>
    <w:multiLevelType w:val="hybridMultilevel"/>
    <w:tmpl w:val="689A4698"/>
    <w:lvl w:ilvl="0" w:tplc="68BEC47C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4304B9"/>
    <w:multiLevelType w:val="hybridMultilevel"/>
    <w:tmpl w:val="2EF02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F165F7"/>
    <w:multiLevelType w:val="hybridMultilevel"/>
    <w:tmpl w:val="8E8E43DE"/>
    <w:lvl w:ilvl="0" w:tplc="C062298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0EB"/>
    <w:multiLevelType w:val="hybridMultilevel"/>
    <w:tmpl w:val="016A92F2"/>
    <w:lvl w:ilvl="0" w:tplc="93C46A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4"/>
  </w:num>
  <w:num w:numId="4">
    <w:abstractNumId w:val="11"/>
  </w:num>
  <w:num w:numId="5">
    <w:abstractNumId w:val="20"/>
  </w:num>
  <w:num w:numId="6">
    <w:abstractNumId w:val="0"/>
  </w:num>
  <w:num w:numId="7">
    <w:abstractNumId w:val="15"/>
  </w:num>
  <w:num w:numId="8">
    <w:abstractNumId w:val="7"/>
  </w:num>
  <w:num w:numId="9">
    <w:abstractNumId w:val="16"/>
  </w:num>
  <w:num w:numId="10">
    <w:abstractNumId w:val="3"/>
  </w:num>
  <w:num w:numId="11">
    <w:abstractNumId w:val="19"/>
  </w:num>
  <w:num w:numId="12">
    <w:abstractNumId w:val="18"/>
  </w:num>
  <w:num w:numId="13">
    <w:abstractNumId w:val="5"/>
  </w:num>
  <w:num w:numId="14">
    <w:abstractNumId w:val="9"/>
  </w:num>
  <w:num w:numId="15">
    <w:abstractNumId w:val="8"/>
  </w:num>
  <w:num w:numId="16">
    <w:abstractNumId w:val="10"/>
  </w:num>
  <w:num w:numId="17">
    <w:abstractNumId w:val="6"/>
  </w:num>
  <w:num w:numId="18">
    <w:abstractNumId w:val="12"/>
  </w:num>
  <w:num w:numId="19">
    <w:abstractNumId w:val="1"/>
  </w:num>
  <w:num w:numId="20">
    <w:abstractNumId w:val="1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activeWritingStyle w:appName="MSWord" w:lang="en-GB" w:vendorID="64" w:dllVersion="131078" w:nlCheck="1" w:checkStyle="1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it-IT" w:vendorID="64" w:dllVersion="131078" w:nlCheck="1" w:checkStyle="0"/>
  <w:defaultTabStop w:val="28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dtd50szuatrz4e5twv5vtr4zapfxd9vrrpp&quot;&gt;MeineBib&lt;record-ids&gt;&lt;item&gt;33&lt;/item&gt;&lt;item&gt;51&lt;/item&gt;&lt;item&gt;59&lt;/item&gt;&lt;item&gt;196&lt;/item&gt;&lt;item&gt;386&lt;/item&gt;&lt;item&gt;462&lt;/item&gt;&lt;item&gt;483&lt;/item&gt;&lt;item&gt;543&lt;/item&gt;&lt;item&gt;548&lt;/item&gt;&lt;item&gt;549&lt;/item&gt;&lt;item&gt;611&lt;/item&gt;&lt;item&gt;613&lt;/item&gt;&lt;item&gt;619&lt;/item&gt;&lt;item&gt;621&lt;/item&gt;&lt;item&gt;626&lt;/item&gt;&lt;item&gt;641&lt;/item&gt;&lt;item&gt;642&lt;/item&gt;&lt;item&gt;680&lt;/item&gt;&lt;item&gt;703&lt;/item&gt;&lt;item&gt;704&lt;/item&gt;&lt;item&gt;709&lt;/item&gt;&lt;item&gt;710&lt;/item&gt;&lt;item&gt;711&lt;/item&gt;&lt;item&gt;712&lt;/item&gt;&lt;item&gt;713&lt;/item&gt;&lt;item&gt;716&lt;/item&gt;&lt;item&gt;718&lt;/item&gt;&lt;item&gt;730&lt;/item&gt;&lt;item&gt;731&lt;/item&gt;&lt;item&gt;732&lt;/item&gt;&lt;item&gt;738&lt;/item&gt;&lt;item&gt;739&lt;/item&gt;&lt;item&gt;740&lt;/item&gt;&lt;/record-ids&gt;&lt;/item&gt;&lt;/Libraries&gt;"/>
  </w:docVars>
  <w:rsids>
    <w:rsidRoot w:val="006820F1"/>
    <w:rsid w:val="003B0959"/>
    <w:rsid w:val="003D6F77"/>
    <w:rsid w:val="0068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927B7D4-1108-40A3-A54F-6757EE922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Zchn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Zchn">
    <w:name w:val="EndNote Bibliography Title Zchn"/>
    <w:basedOn w:val="DefaultParagraphFont"/>
    <w:link w:val="EndNoteBibliographyTitle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Zchn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Zchn">
    <w:name w:val="EndNote Bibliography Zchn"/>
    <w:basedOn w:val="DefaultParagraphFont"/>
    <w:link w:val="EndNoteBibliography"/>
    <w:rPr>
      <w:rFonts w:ascii="Calibri" w:hAnsi="Calibri" w:cs="Calibri"/>
      <w:noProof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ompact">
    <w:name w:val="Compact"/>
    <w:basedOn w:val="BodyText"/>
    <w:qFormat/>
    <w:pPr>
      <w:spacing w:before="36" w:after="36" w:line="240" w:lineRule="auto"/>
    </w:pPr>
    <w:rPr>
      <w:sz w:val="24"/>
      <w:szCs w:val="24"/>
    </w:rPr>
  </w:style>
  <w:style w:type="table" w:customStyle="1" w:styleId="Table">
    <w:name w:val="Table"/>
    <w:semiHidden/>
    <w:qFormat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customStyle="1" w:styleId="textcell">
    <w:name w:val="textcell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table" w:customStyle="1" w:styleId="Table1">
    <w:name w:val="Table1"/>
    <w:semiHidden/>
    <w:qFormat/>
    <w:pPr>
      <w:spacing w:after="200" w:line="240" w:lineRule="auto"/>
    </w:pPr>
    <w:rPr>
      <w:rFonts w:ascii="Calibri" w:eastAsia="Calibri" w:hAnsi="Calibri" w:cs="Times New Roman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rcid-id-https">
    <w:name w:val="orcid-id-https"/>
    <w:basedOn w:val="DefaultParagraphFont"/>
  </w:style>
  <w:style w:type="table" w:customStyle="1" w:styleId="Table11">
    <w:name w:val="Table11"/>
    <w:semiHidden/>
    <w:qFormat/>
    <w:pPr>
      <w:spacing w:after="200" w:line="240" w:lineRule="auto"/>
    </w:pPr>
    <w:rPr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Table12">
    <w:name w:val="Table12"/>
    <w:semiHidden/>
    <w:qFormat/>
    <w:pPr>
      <w:spacing w:after="200" w:line="240" w:lineRule="auto"/>
    </w:pPr>
    <w:rPr>
      <w:rFonts w:ascii="Calibri" w:eastAsia="Calibri" w:hAnsi="Calibri" w:cs="Times New Roman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5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0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7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1810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42742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917301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44677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95869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9679623">
          <w:marLeft w:val="0"/>
          <w:marRight w:val="0"/>
          <w:marTop w:val="0"/>
          <w:marBottom w:val="0"/>
          <w:divBdr>
            <w:top w:val="single" w:sz="6" w:space="4" w:color="D6DADC"/>
            <w:left w:val="none" w:sz="0" w:space="4" w:color="D6DADC"/>
            <w:bottom w:val="none" w:sz="0" w:space="4" w:color="D6DADC"/>
            <w:right w:val="none" w:sz="0" w:space="4" w:color="D6DADC"/>
          </w:divBdr>
        </w:div>
      </w:divsChild>
    </w:div>
    <w:div w:id="6056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2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9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45970-6489-4554-9A1A-ABD9EA9B1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Helmholtz Zentrum München</Company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Marijic, Pavo</dc:creator>
  <cp:keywords/>
  <dc:description/>
  <cp:lastModifiedBy>Rajeshwari A.</cp:lastModifiedBy>
  <cp:revision>6</cp:revision>
  <dcterms:created xsi:type="dcterms:W3CDTF">2022-04-25T07:59:00Z</dcterms:created>
  <dcterms:modified xsi:type="dcterms:W3CDTF">2022-08-24T05:53:00Z</dcterms:modified>
</cp:coreProperties>
</file>