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D6E8" w14:textId="2ABF2122" w:rsidR="004B170E" w:rsidRPr="004B170E" w:rsidRDefault="004B170E" w:rsidP="004B170E">
      <w:pPr>
        <w:spacing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Additional file 1</w:t>
      </w:r>
    </w:p>
    <w:tbl>
      <w:tblPr>
        <w:tblStyle w:val="Gitternetztabelle1hellAkzent11"/>
        <w:tblpPr w:leftFromText="181" w:rightFromText="181" w:vertAnchor="text" w:horzAnchor="margin" w:tblpY="143"/>
        <w:tblOverlap w:val="never"/>
        <w:tblW w:w="5000" w:type="pct"/>
        <w:tblLook w:val="04A0" w:firstRow="1" w:lastRow="0" w:firstColumn="1" w:lastColumn="0" w:noHBand="0" w:noVBand="1"/>
      </w:tblPr>
      <w:tblGrid>
        <w:gridCol w:w="1118"/>
        <w:gridCol w:w="3402"/>
        <w:gridCol w:w="2261"/>
        <w:gridCol w:w="2261"/>
      </w:tblGrid>
      <w:tr w:rsidR="004B170E" w:rsidRPr="004B170E" w14:paraId="4A8AEEEF" w14:textId="77777777" w:rsidTr="00C35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2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</w:tcBorders>
            <w:shd w:val="clear" w:color="auto" w:fill="D9E2F3" w:themeFill="accent1" w:themeFillTint="33"/>
          </w:tcPr>
          <w:p w14:paraId="47842F17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Cs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Cs w:val="0"/>
                <w:lang w:val="en-US"/>
              </w:rPr>
              <w:t>Comorbidities</w:t>
            </w:r>
          </w:p>
        </w:tc>
        <w:tc>
          <w:tcPr>
            <w:tcW w:w="1250" w:type="pct"/>
            <w:tcBorders>
              <w:top w:val="double" w:sz="4" w:space="0" w:color="4472C4" w:themeColor="accent1"/>
              <w:bottom w:val="double" w:sz="4" w:space="0" w:color="4472C4" w:themeColor="accent1"/>
            </w:tcBorders>
            <w:shd w:val="clear" w:color="auto" w:fill="D9E2F3" w:themeFill="accent1" w:themeFillTint="33"/>
          </w:tcPr>
          <w:p w14:paraId="350F50A9" w14:textId="77777777" w:rsidR="004B170E" w:rsidRPr="004B170E" w:rsidRDefault="004B170E" w:rsidP="00C35D3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Cs w:val="0"/>
                <w:lang w:val="en-US"/>
              </w:rPr>
              <w:t>COPD</w:t>
            </w:r>
          </w:p>
          <w:p w14:paraId="27962BED" w14:textId="77777777" w:rsidR="004B170E" w:rsidRPr="004B170E" w:rsidRDefault="004B170E" w:rsidP="00C35D3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Cs w:val="0"/>
                <w:lang w:val="en-US"/>
              </w:rPr>
              <w:t>N=26</w:t>
            </w:r>
          </w:p>
        </w:tc>
        <w:tc>
          <w:tcPr>
            <w:tcW w:w="1250" w:type="pct"/>
            <w:tcBorders>
              <w:top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471FF658" w14:textId="77777777" w:rsidR="004B170E" w:rsidRPr="004B170E" w:rsidRDefault="004B170E" w:rsidP="00C35D3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Cs w:val="0"/>
                <w:lang w:val="en-US"/>
              </w:rPr>
              <w:t>Controls</w:t>
            </w:r>
          </w:p>
          <w:p w14:paraId="303A603E" w14:textId="77777777" w:rsidR="004B170E" w:rsidRPr="004B170E" w:rsidRDefault="004B170E" w:rsidP="00C35D3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Cs w:val="0"/>
                <w:lang w:val="en-US"/>
              </w:rPr>
              <w:t>N=26</w:t>
            </w:r>
          </w:p>
        </w:tc>
      </w:tr>
      <w:tr w:rsidR="004B170E" w:rsidRPr="004B170E" w14:paraId="293A8BDD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tcBorders>
              <w:left w:val="double" w:sz="4" w:space="0" w:color="4472C4" w:themeColor="accent1"/>
            </w:tcBorders>
            <w:shd w:val="clear" w:color="auto" w:fill="FFFFFF" w:themeFill="background1"/>
          </w:tcPr>
          <w:p w14:paraId="4EFD1A72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 w:val="0"/>
                <w:lang w:val="en-US"/>
              </w:rPr>
              <w:t>cardiac</w:t>
            </w:r>
          </w:p>
        </w:tc>
        <w:tc>
          <w:tcPr>
            <w:tcW w:w="1881" w:type="pct"/>
            <w:shd w:val="clear" w:color="auto" w:fill="FFFFFF" w:themeFill="background1"/>
          </w:tcPr>
          <w:p w14:paraId="5EEC562A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Systemic arterial hypertension</w:t>
            </w:r>
          </w:p>
        </w:tc>
        <w:tc>
          <w:tcPr>
            <w:tcW w:w="1250" w:type="pct"/>
            <w:shd w:val="clear" w:color="auto" w:fill="FFFFFF" w:themeFill="background1"/>
          </w:tcPr>
          <w:p w14:paraId="2BB25F6D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10</w:t>
            </w:r>
          </w:p>
        </w:tc>
        <w:tc>
          <w:tcPr>
            <w:tcW w:w="1250" w:type="pct"/>
            <w:tcBorders>
              <w:right w:val="double" w:sz="4" w:space="0" w:color="4472C4" w:themeColor="accent1"/>
            </w:tcBorders>
            <w:shd w:val="clear" w:color="auto" w:fill="FFFFFF" w:themeFill="background1"/>
          </w:tcPr>
          <w:p w14:paraId="7503AE17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10</w:t>
            </w:r>
          </w:p>
        </w:tc>
      </w:tr>
      <w:tr w:rsidR="004B170E" w:rsidRPr="004B170E" w14:paraId="2BA6EC3A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left w:val="double" w:sz="4" w:space="0" w:color="4472C4" w:themeColor="accent1"/>
            </w:tcBorders>
            <w:shd w:val="clear" w:color="auto" w:fill="FFFFFF" w:themeFill="background1"/>
          </w:tcPr>
          <w:p w14:paraId="46145927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1881" w:type="pct"/>
            <w:shd w:val="clear" w:color="auto" w:fill="FFFFFF" w:themeFill="background1"/>
          </w:tcPr>
          <w:p w14:paraId="15AD0C08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Atrial Fibrillation</w:t>
            </w:r>
          </w:p>
        </w:tc>
        <w:tc>
          <w:tcPr>
            <w:tcW w:w="1250" w:type="pct"/>
            <w:shd w:val="clear" w:color="auto" w:fill="FFFFFF" w:themeFill="background1"/>
          </w:tcPr>
          <w:p w14:paraId="2AB340BC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5</w:t>
            </w:r>
          </w:p>
        </w:tc>
        <w:tc>
          <w:tcPr>
            <w:tcW w:w="1250" w:type="pct"/>
            <w:tcBorders>
              <w:right w:val="double" w:sz="4" w:space="0" w:color="4472C4" w:themeColor="accent1"/>
            </w:tcBorders>
            <w:shd w:val="clear" w:color="auto" w:fill="FFFFFF" w:themeFill="background1"/>
          </w:tcPr>
          <w:p w14:paraId="39C73E1F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6</w:t>
            </w:r>
          </w:p>
        </w:tc>
      </w:tr>
      <w:tr w:rsidR="004B170E" w:rsidRPr="004B170E" w14:paraId="1BC80124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left w:val="double" w:sz="4" w:space="0" w:color="4472C4" w:themeColor="accent1"/>
            </w:tcBorders>
            <w:shd w:val="clear" w:color="auto" w:fill="FFFFFF" w:themeFill="background1"/>
          </w:tcPr>
          <w:p w14:paraId="3DC1330E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1881" w:type="pct"/>
            <w:shd w:val="clear" w:color="auto" w:fill="FFFFFF" w:themeFill="background1"/>
          </w:tcPr>
          <w:p w14:paraId="37D06C97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Coronary artery disease</w:t>
            </w:r>
          </w:p>
        </w:tc>
        <w:tc>
          <w:tcPr>
            <w:tcW w:w="1250" w:type="pct"/>
            <w:shd w:val="clear" w:color="auto" w:fill="FFFFFF" w:themeFill="background1"/>
          </w:tcPr>
          <w:p w14:paraId="51E2A1CA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1</w:t>
            </w:r>
          </w:p>
        </w:tc>
        <w:tc>
          <w:tcPr>
            <w:tcW w:w="1250" w:type="pct"/>
            <w:tcBorders>
              <w:right w:val="double" w:sz="4" w:space="0" w:color="4472C4" w:themeColor="accent1"/>
            </w:tcBorders>
            <w:shd w:val="clear" w:color="auto" w:fill="FFFFFF" w:themeFill="background1"/>
          </w:tcPr>
          <w:p w14:paraId="7E65A06A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6</w:t>
            </w:r>
          </w:p>
        </w:tc>
      </w:tr>
      <w:tr w:rsidR="004B170E" w:rsidRPr="004B170E" w14:paraId="22165134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left w:val="double" w:sz="4" w:space="0" w:color="4472C4" w:themeColor="accent1"/>
            </w:tcBorders>
            <w:shd w:val="clear" w:color="auto" w:fill="FFFFFF" w:themeFill="background1"/>
          </w:tcPr>
          <w:p w14:paraId="62E074A7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1881" w:type="pct"/>
            <w:shd w:val="clear" w:color="auto" w:fill="FFFFFF" w:themeFill="background1"/>
          </w:tcPr>
          <w:p w14:paraId="57E81BCF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 xml:space="preserve">Minor intracardiac shunt </w:t>
            </w:r>
          </w:p>
        </w:tc>
        <w:tc>
          <w:tcPr>
            <w:tcW w:w="1250" w:type="pct"/>
            <w:shd w:val="clear" w:color="auto" w:fill="FFFFFF" w:themeFill="background1"/>
          </w:tcPr>
          <w:p w14:paraId="7E7FB8AD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1</w:t>
            </w:r>
          </w:p>
        </w:tc>
        <w:tc>
          <w:tcPr>
            <w:tcW w:w="1250" w:type="pct"/>
            <w:tcBorders>
              <w:right w:val="double" w:sz="4" w:space="0" w:color="4472C4" w:themeColor="accent1"/>
            </w:tcBorders>
            <w:shd w:val="clear" w:color="auto" w:fill="FFFFFF" w:themeFill="background1"/>
          </w:tcPr>
          <w:p w14:paraId="04DCB4F2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1</w:t>
            </w:r>
          </w:p>
        </w:tc>
      </w:tr>
      <w:tr w:rsidR="004B170E" w:rsidRPr="004B170E" w14:paraId="62D0754E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tcBorders>
              <w:left w:val="double" w:sz="4" w:space="0" w:color="4472C4" w:themeColor="accent1"/>
            </w:tcBorders>
            <w:shd w:val="clear" w:color="auto" w:fill="D9E2F3" w:themeFill="accent1" w:themeFillTint="33"/>
          </w:tcPr>
          <w:p w14:paraId="4D35EE96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 w:val="0"/>
                <w:lang w:val="en-US"/>
              </w:rPr>
              <w:t>pulmonary</w:t>
            </w:r>
          </w:p>
        </w:tc>
        <w:tc>
          <w:tcPr>
            <w:tcW w:w="1881" w:type="pct"/>
            <w:shd w:val="clear" w:color="auto" w:fill="D9E2F3" w:themeFill="accent1" w:themeFillTint="33"/>
          </w:tcPr>
          <w:p w14:paraId="290EE143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Asthma bronchiale, controlled</w:t>
            </w:r>
          </w:p>
        </w:tc>
        <w:tc>
          <w:tcPr>
            <w:tcW w:w="1250" w:type="pct"/>
            <w:shd w:val="clear" w:color="auto" w:fill="D9E2F3" w:themeFill="accent1" w:themeFillTint="33"/>
          </w:tcPr>
          <w:p w14:paraId="3AE488FA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-</w:t>
            </w:r>
          </w:p>
        </w:tc>
        <w:tc>
          <w:tcPr>
            <w:tcW w:w="1250" w:type="pct"/>
            <w:tcBorders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6C67BD27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1</w:t>
            </w:r>
          </w:p>
        </w:tc>
      </w:tr>
      <w:tr w:rsidR="004B170E" w:rsidRPr="004B170E" w14:paraId="6675EC89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left w:val="double" w:sz="4" w:space="0" w:color="4472C4" w:themeColor="accent1"/>
            </w:tcBorders>
            <w:shd w:val="clear" w:color="auto" w:fill="D9E2F3" w:themeFill="accent1" w:themeFillTint="33"/>
          </w:tcPr>
          <w:p w14:paraId="72312027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1881" w:type="pct"/>
            <w:shd w:val="clear" w:color="auto" w:fill="D9E2F3" w:themeFill="accent1" w:themeFillTint="33"/>
          </w:tcPr>
          <w:p w14:paraId="61AB6ACE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Obstructive sleep apnea/ noninvasive ventilation therapy</w:t>
            </w:r>
          </w:p>
        </w:tc>
        <w:tc>
          <w:tcPr>
            <w:tcW w:w="1250" w:type="pct"/>
            <w:shd w:val="clear" w:color="auto" w:fill="D9E2F3" w:themeFill="accent1" w:themeFillTint="33"/>
          </w:tcPr>
          <w:p w14:paraId="082D5DBF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4/1</w:t>
            </w:r>
          </w:p>
        </w:tc>
        <w:tc>
          <w:tcPr>
            <w:tcW w:w="1250" w:type="pct"/>
            <w:tcBorders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4F7213FF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1/0</w:t>
            </w:r>
          </w:p>
        </w:tc>
      </w:tr>
      <w:tr w:rsidR="004B170E" w:rsidRPr="004B170E" w14:paraId="3EE9979D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left w:val="double" w:sz="4" w:space="0" w:color="4472C4" w:themeColor="accent1"/>
            </w:tcBorders>
            <w:shd w:val="clear" w:color="auto" w:fill="D9E2F3" w:themeFill="accent1" w:themeFillTint="33"/>
          </w:tcPr>
          <w:p w14:paraId="550027DF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1881" w:type="pct"/>
            <w:shd w:val="clear" w:color="auto" w:fill="D9E2F3" w:themeFill="accent1" w:themeFillTint="33"/>
          </w:tcPr>
          <w:p w14:paraId="020689A1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Systemic sclerosis with mild pulmonary involvement</w:t>
            </w:r>
          </w:p>
        </w:tc>
        <w:tc>
          <w:tcPr>
            <w:tcW w:w="1250" w:type="pct"/>
            <w:shd w:val="clear" w:color="auto" w:fill="D9E2F3" w:themeFill="accent1" w:themeFillTint="33"/>
          </w:tcPr>
          <w:p w14:paraId="4FDAA361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2</w:t>
            </w:r>
          </w:p>
        </w:tc>
        <w:tc>
          <w:tcPr>
            <w:tcW w:w="1250" w:type="pct"/>
            <w:tcBorders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11BA9B6E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2</w:t>
            </w:r>
          </w:p>
        </w:tc>
      </w:tr>
      <w:tr w:rsidR="004B170E" w:rsidRPr="004B170E" w14:paraId="7AB81341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left w:val="double" w:sz="4" w:space="0" w:color="4472C4" w:themeColor="accent1"/>
            </w:tcBorders>
            <w:shd w:val="clear" w:color="auto" w:fill="D9E2F3" w:themeFill="accent1" w:themeFillTint="33"/>
          </w:tcPr>
          <w:p w14:paraId="226A34E8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1881" w:type="pct"/>
            <w:shd w:val="clear" w:color="auto" w:fill="D9E2F3" w:themeFill="accent1" w:themeFillTint="33"/>
          </w:tcPr>
          <w:p w14:paraId="5F7C7E13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Chronic thromboembolic disease</w:t>
            </w:r>
          </w:p>
        </w:tc>
        <w:tc>
          <w:tcPr>
            <w:tcW w:w="1250" w:type="pct"/>
            <w:shd w:val="clear" w:color="auto" w:fill="D9E2F3" w:themeFill="accent1" w:themeFillTint="33"/>
          </w:tcPr>
          <w:p w14:paraId="45FD77EB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0</w:t>
            </w:r>
          </w:p>
        </w:tc>
        <w:tc>
          <w:tcPr>
            <w:tcW w:w="1250" w:type="pct"/>
            <w:tcBorders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27EE441F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3</w:t>
            </w:r>
          </w:p>
        </w:tc>
      </w:tr>
      <w:tr w:rsidR="004B170E" w:rsidRPr="004B170E" w14:paraId="6A101156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left w:val="double" w:sz="4" w:space="0" w:color="4472C4" w:themeColor="accent1"/>
            </w:tcBorders>
            <w:shd w:val="clear" w:color="auto" w:fill="auto"/>
          </w:tcPr>
          <w:p w14:paraId="02C79516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 w:val="0"/>
                <w:lang w:val="en-US"/>
              </w:rPr>
              <w:t>hepatic</w:t>
            </w:r>
          </w:p>
        </w:tc>
        <w:tc>
          <w:tcPr>
            <w:tcW w:w="1881" w:type="pct"/>
            <w:shd w:val="clear" w:color="auto" w:fill="auto"/>
          </w:tcPr>
          <w:p w14:paraId="3DAF12D5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Liver cirrhosis Child A/B/C</w:t>
            </w:r>
          </w:p>
        </w:tc>
        <w:tc>
          <w:tcPr>
            <w:tcW w:w="1250" w:type="pct"/>
            <w:shd w:val="clear" w:color="auto" w:fill="auto"/>
          </w:tcPr>
          <w:p w14:paraId="007244CF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1/0/0</w:t>
            </w:r>
          </w:p>
        </w:tc>
        <w:tc>
          <w:tcPr>
            <w:tcW w:w="1250" w:type="pct"/>
            <w:tcBorders>
              <w:right w:val="double" w:sz="4" w:space="0" w:color="4472C4" w:themeColor="accent1"/>
            </w:tcBorders>
          </w:tcPr>
          <w:p w14:paraId="3AC671FF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0/2/0</w:t>
            </w:r>
          </w:p>
        </w:tc>
      </w:tr>
      <w:tr w:rsidR="004B170E" w:rsidRPr="004B170E" w14:paraId="0C433791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left w:val="double" w:sz="4" w:space="0" w:color="4472C4" w:themeColor="accent1"/>
              <w:bottom w:val="double" w:sz="4" w:space="0" w:color="4472C4" w:themeColor="accent1"/>
            </w:tcBorders>
            <w:shd w:val="clear" w:color="auto" w:fill="D9E2F3" w:themeFill="accent1" w:themeFillTint="33"/>
          </w:tcPr>
          <w:p w14:paraId="05760369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 w:val="0"/>
                <w:lang w:val="en-US"/>
              </w:rPr>
              <w:t>renal</w:t>
            </w:r>
          </w:p>
        </w:tc>
        <w:tc>
          <w:tcPr>
            <w:tcW w:w="1881" w:type="pct"/>
            <w:tcBorders>
              <w:bottom w:val="double" w:sz="4" w:space="0" w:color="4472C4" w:themeColor="accent1"/>
            </w:tcBorders>
            <w:shd w:val="clear" w:color="auto" w:fill="D9E2F3" w:themeFill="accent1" w:themeFillTint="33"/>
          </w:tcPr>
          <w:p w14:paraId="1B6D8D97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Severely decreased kidney function (GFR &lt;30 ml/min)</w:t>
            </w:r>
          </w:p>
        </w:tc>
        <w:tc>
          <w:tcPr>
            <w:tcW w:w="1250" w:type="pct"/>
            <w:tcBorders>
              <w:bottom w:val="double" w:sz="4" w:space="0" w:color="4472C4" w:themeColor="accent1"/>
            </w:tcBorders>
            <w:shd w:val="clear" w:color="auto" w:fill="D9E2F3" w:themeFill="accent1" w:themeFillTint="33"/>
          </w:tcPr>
          <w:p w14:paraId="54DDA768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1</w:t>
            </w:r>
          </w:p>
        </w:tc>
        <w:tc>
          <w:tcPr>
            <w:tcW w:w="1250" w:type="pct"/>
            <w:tcBorders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566C1A8B" w14:textId="77777777" w:rsidR="004B170E" w:rsidRPr="004B170E" w:rsidRDefault="004B170E" w:rsidP="00C35D30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lang w:val="en-US"/>
              </w:rPr>
            </w:pPr>
            <w:r w:rsidRPr="004B170E">
              <w:rPr>
                <w:rFonts w:asciiTheme="majorHAnsi" w:hAnsiTheme="majorHAnsi" w:cstheme="majorHAnsi"/>
                <w:bCs/>
                <w:lang w:val="en-US"/>
              </w:rPr>
              <w:t>2</w:t>
            </w:r>
          </w:p>
        </w:tc>
      </w:tr>
    </w:tbl>
    <w:p w14:paraId="09B76CD4" w14:textId="62EACAE2" w:rsidR="004B170E" w:rsidRPr="004B170E" w:rsidRDefault="004B170E" w:rsidP="004B170E">
      <w:pPr>
        <w:framePr w:hSpace="181" w:wrap="around" w:vAnchor="text" w:hAnchor="page" w:x="1360" w:y="4094"/>
        <w:spacing w:line="240" w:lineRule="auto"/>
        <w:suppressOverlap/>
        <w:jc w:val="both"/>
        <w:rPr>
          <w:rFonts w:ascii="Calibri Light" w:eastAsia="Times New Roman" w:hAnsi="Calibri Light" w:cs="Calibri Light"/>
          <w:bCs/>
          <w:i/>
          <w:iCs/>
          <w:sz w:val="18"/>
          <w:szCs w:val="18"/>
          <w:lang w:eastAsia="de-DE"/>
        </w:rPr>
      </w:pPr>
      <w:r w:rsidRPr="004B170E">
        <w:rPr>
          <w:rFonts w:ascii="Calibri Light" w:eastAsia="Times New Roman" w:hAnsi="Calibri Light" w:cs="Calibri Light"/>
          <w:bCs/>
          <w:i/>
          <w:iCs/>
          <w:sz w:val="18"/>
          <w:szCs w:val="18"/>
          <w:lang w:eastAsia="de-DE"/>
        </w:rPr>
        <w:t xml:space="preserve">Table </w:t>
      </w:r>
      <w:r>
        <w:rPr>
          <w:rFonts w:ascii="Calibri Light" w:eastAsia="Times New Roman" w:hAnsi="Calibri Light" w:cs="Calibri Light"/>
          <w:bCs/>
          <w:i/>
          <w:iCs/>
          <w:sz w:val="18"/>
          <w:szCs w:val="18"/>
          <w:lang w:eastAsia="de-DE"/>
        </w:rPr>
        <w:t>S</w:t>
      </w:r>
      <w:r w:rsidRPr="004B170E">
        <w:rPr>
          <w:rFonts w:ascii="Calibri Light" w:eastAsia="Times New Roman" w:hAnsi="Calibri Light" w:cs="Calibri Light"/>
          <w:bCs/>
          <w:i/>
          <w:iCs/>
          <w:sz w:val="18"/>
          <w:szCs w:val="18"/>
          <w:lang w:eastAsia="de-DE"/>
        </w:rPr>
        <w:t>1 relevant cardiac, pulmonary, hepatic and renal comorbidities from both groups are listed. “Minor intracardiac shunt” was one atrial septum defect without indication for intervention (COPD), one status post occlusion of a foramen ovale 10 years before (control)</w:t>
      </w:r>
    </w:p>
    <w:p w14:paraId="5CD6A880" w14:textId="77777777" w:rsidR="004B170E" w:rsidRPr="004B170E" w:rsidRDefault="004B170E" w:rsidP="004B170E">
      <w:pPr>
        <w:spacing w:line="240" w:lineRule="auto"/>
        <w:jc w:val="both"/>
        <w:rPr>
          <w:rFonts w:eastAsiaTheme="minorEastAsia" w:cs="Times New Roman"/>
        </w:rPr>
      </w:pPr>
    </w:p>
    <w:tbl>
      <w:tblPr>
        <w:tblStyle w:val="Gitternetztabelle1hellAkzent11"/>
        <w:tblpPr w:leftFromText="181" w:rightFromText="181" w:vertAnchor="text" w:horzAnchor="margin" w:tblpY="143"/>
        <w:tblOverlap w:val="never"/>
        <w:tblW w:w="5000" w:type="pct"/>
        <w:tblLook w:val="04A0" w:firstRow="1" w:lastRow="0" w:firstColumn="1" w:lastColumn="0" w:noHBand="0" w:noVBand="1"/>
      </w:tblPr>
      <w:tblGrid>
        <w:gridCol w:w="3103"/>
        <w:gridCol w:w="2695"/>
        <w:gridCol w:w="3244"/>
      </w:tblGrid>
      <w:tr w:rsidR="004B170E" w:rsidRPr="004B170E" w14:paraId="4875C087" w14:textId="77777777" w:rsidTr="00C35D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pct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</w:tcBorders>
            <w:shd w:val="clear" w:color="auto" w:fill="D9E2F3" w:themeFill="accent1" w:themeFillTint="33"/>
          </w:tcPr>
          <w:p w14:paraId="320B2C23" w14:textId="77777777" w:rsidR="004B170E" w:rsidRPr="004B170E" w:rsidRDefault="004B170E" w:rsidP="00C35D30">
            <w:pPr>
              <w:jc w:val="both"/>
              <w:rPr>
                <w:rFonts w:asciiTheme="majorHAnsi" w:hAnsiTheme="majorHAnsi" w:cstheme="majorHAnsi"/>
                <w:bCs w:val="0"/>
                <w:lang w:val="en-US"/>
              </w:rPr>
            </w:pPr>
          </w:p>
        </w:tc>
        <w:tc>
          <w:tcPr>
            <w:tcW w:w="1490" w:type="pct"/>
            <w:tcBorders>
              <w:top w:val="double" w:sz="4" w:space="0" w:color="4472C4" w:themeColor="accent1"/>
              <w:bottom w:val="double" w:sz="4" w:space="0" w:color="4472C4" w:themeColor="accent1"/>
            </w:tcBorders>
            <w:shd w:val="clear" w:color="auto" w:fill="D9E2F3" w:themeFill="accent1" w:themeFillTint="33"/>
          </w:tcPr>
          <w:p w14:paraId="71A91B4B" w14:textId="77777777" w:rsidR="004B170E" w:rsidRPr="004B170E" w:rsidRDefault="004B170E" w:rsidP="00C35D3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Cs w:val="0"/>
                <w:lang w:val="en-US"/>
              </w:rPr>
              <w:t>COPD N=26</w:t>
            </w:r>
          </w:p>
        </w:tc>
        <w:tc>
          <w:tcPr>
            <w:tcW w:w="1794" w:type="pct"/>
            <w:tcBorders>
              <w:top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7F89119D" w14:textId="77777777" w:rsidR="004B170E" w:rsidRPr="004B170E" w:rsidRDefault="004B170E" w:rsidP="00C35D3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Cs w:val="0"/>
                <w:lang w:val="en-US"/>
              </w:rPr>
              <w:t>Controls N=26</w:t>
            </w:r>
          </w:p>
        </w:tc>
      </w:tr>
      <w:tr w:rsidR="004B170E" w:rsidRPr="004B170E" w14:paraId="4467484B" w14:textId="77777777" w:rsidTr="00C35D30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pct"/>
            <w:tcBorders>
              <w:left w:val="double" w:sz="4" w:space="0" w:color="4472C4" w:themeColor="accent1"/>
            </w:tcBorders>
            <w:shd w:val="clear" w:color="auto" w:fill="FFFFFF" w:themeFill="background1"/>
          </w:tcPr>
          <w:p w14:paraId="6867C4B2" w14:textId="77777777" w:rsidR="004B170E" w:rsidRPr="004B170E" w:rsidRDefault="004B170E" w:rsidP="00C35D30">
            <w:pPr>
              <w:spacing w:line="360" w:lineRule="auto"/>
              <w:jc w:val="both"/>
              <w:rPr>
                <w:rFonts w:asciiTheme="majorHAnsi" w:hAnsiTheme="majorHAnsi" w:cstheme="majorHAnsi"/>
                <w:b w:val="0"/>
                <w:bCs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 w:val="0"/>
                <w:bCs w:val="0"/>
                <w:lang w:val="en-US"/>
              </w:rPr>
              <w:t>Follow-up RHC</w:t>
            </w:r>
          </w:p>
        </w:tc>
        <w:tc>
          <w:tcPr>
            <w:tcW w:w="1490" w:type="pct"/>
            <w:shd w:val="clear" w:color="auto" w:fill="FFFFFF" w:themeFill="background1"/>
          </w:tcPr>
          <w:p w14:paraId="6FF1CFB5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4B170E">
              <w:rPr>
                <w:rFonts w:asciiTheme="majorHAnsi" w:hAnsiTheme="majorHAnsi" w:cstheme="majorHAnsi"/>
                <w:lang w:val="en-US"/>
              </w:rPr>
              <w:t>6</w:t>
            </w:r>
          </w:p>
        </w:tc>
        <w:tc>
          <w:tcPr>
            <w:tcW w:w="1794" w:type="pct"/>
            <w:tcBorders>
              <w:right w:val="double" w:sz="4" w:space="0" w:color="4472C4" w:themeColor="accent1"/>
            </w:tcBorders>
            <w:shd w:val="clear" w:color="auto" w:fill="FFFFFF" w:themeFill="background1"/>
          </w:tcPr>
          <w:p w14:paraId="2ABA33F0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4B170E">
              <w:rPr>
                <w:rFonts w:asciiTheme="majorHAnsi" w:hAnsiTheme="majorHAnsi" w:cstheme="majorHAnsi"/>
                <w:lang w:val="en-US"/>
              </w:rPr>
              <w:t>6</w:t>
            </w:r>
          </w:p>
        </w:tc>
      </w:tr>
      <w:tr w:rsidR="004B170E" w:rsidRPr="004B170E" w14:paraId="498D51EC" w14:textId="77777777" w:rsidTr="00C35D30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pct"/>
            <w:tcBorders>
              <w:left w:val="double" w:sz="4" w:space="0" w:color="4472C4" w:themeColor="accent1"/>
            </w:tcBorders>
            <w:shd w:val="clear" w:color="auto" w:fill="auto"/>
          </w:tcPr>
          <w:p w14:paraId="494D315F" w14:textId="77777777" w:rsidR="004B170E" w:rsidRPr="004B170E" w:rsidRDefault="004B170E" w:rsidP="00C35D30">
            <w:pPr>
              <w:spacing w:line="360" w:lineRule="auto"/>
              <w:jc w:val="both"/>
              <w:rPr>
                <w:rFonts w:asciiTheme="majorHAnsi" w:hAnsiTheme="majorHAnsi" w:cstheme="majorHAnsi"/>
                <w:b w:val="0"/>
                <w:bCs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 w:val="0"/>
                <w:bCs w:val="0"/>
                <w:lang w:val="en-US"/>
              </w:rPr>
              <w:t>Development of mPAP≥25mmHg/ Initiation of PAH Therapy</w:t>
            </w:r>
          </w:p>
        </w:tc>
        <w:tc>
          <w:tcPr>
            <w:tcW w:w="1490" w:type="pct"/>
            <w:shd w:val="clear" w:color="auto" w:fill="auto"/>
          </w:tcPr>
          <w:p w14:paraId="316BF855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4B170E">
              <w:rPr>
                <w:rFonts w:asciiTheme="majorHAnsi" w:hAnsiTheme="majorHAnsi" w:cstheme="majorHAnsi"/>
                <w:lang w:val="en-US"/>
              </w:rPr>
              <w:t>1/1</w:t>
            </w:r>
          </w:p>
        </w:tc>
        <w:tc>
          <w:tcPr>
            <w:tcW w:w="1794" w:type="pct"/>
            <w:tcBorders>
              <w:right w:val="double" w:sz="4" w:space="0" w:color="4472C4" w:themeColor="accent1"/>
            </w:tcBorders>
          </w:tcPr>
          <w:p w14:paraId="1622A129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4B170E">
              <w:rPr>
                <w:rFonts w:asciiTheme="majorHAnsi" w:hAnsiTheme="majorHAnsi" w:cstheme="majorHAnsi"/>
                <w:lang w:val="en-US"/>
              </w:rPr>
              <w:t>1/0</w:t>
            </w:r>
          </w:p>
        </w:tc>
      </w:tr>
      <w:tr w:rsidR="004B170E" w:rsidRPr="004B170E" w14:paraId="1C898749" w14:textId="77777777" w:rsidTr="00C35D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6" w:type="pct"/>
            <w:tcBorders>
              <w:left w:val="double" w:sz="4" w:space="0" w:color="4472C4" w:themeColor="accent1"/>
              <w:bottom w:val="double" w:sz="4" w:space="0" w:color="4472C4" w:themeColor="accent1"/>
            </w:tcBorders>
            <w:shd w:val="clear" w:color="auto" w:fill="D9E2F3" w:themeFill="accent1" w:themeFillTint="33"/>
          </w:tcPr>
          <w:p w14:paraId="4D8CB522" w14:textId="77777777" w:rsidR="004B170E" w:rsidRPr="004B170E" w:rsidRDefault="004B170E" w:rsidP="00C35D30">
            <w:pPr>
              <w:spacing w:line="360" w:lineRule="auto"/>
              <w:jc w:val="both"/>
              <w:rPr>
                <w:rFonts w:asciiTheme="majorHAnsi" w:hAnsiTheme="majorHAnsi" w:cstheme="majorHAnsi"/>
                <w:b w:val="0"/>
                <w:bCs w:val="0"/>
                <w:lang w:val="en-US"/>
              </w:rPr>
            </w:pPr>
            <w:r w:rsidRPr="004B170E">
              <w:rPr>
                <w:rFonts w:asciiTheme="majorHAnsi" w:hAnsiTheme="majorHAnsi" w:cstheme="majorHAnsi"/>
                <w:b w:val="0"/>
                <w:bCs w:val="0"/>
                <w:lang w:val="en-US"/>
              </w:rPr>
              <w:t>All-cause mortality during follow-up</w:t>
            </w:r>
          </w:p>
        </w:tc>
        <w:tc>
          <w:tcPr>
            <w:tcW w:w="1490" w:type="pct"/>
            <w:tcBorders>
              <w:bottom w:val="double" w:sz="4" w:space="0" w:color="4472C4" w:themeColor="accent1"/>
            </w:tcBorders>
            <w:shd w:val="clear" w:color="auto" w:fill="D9E2F3" w:themeFill="accent1" w:themeFillTint="33"/>
          </w:tcPr>
          <w:p w14:paraId="2A0DB07F" w14:textId="77777777" w:rsidR="004B170E" w:rsidRPr="004B170E" w:rsidRDefault="004B170E" w:rsidP="00C35D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4B170E">
              <w:rPr>
                <w:rFonts w:asciiTheme="majorHAnsi" w:hAnsiTheme="majorHAnsi" w:cstheme="majorHAnsi"/>
                <w:lang w:val="en-US"/>
              </w:rPr>
              <w:t>3</w:t>
            </w:r>
          </w:p>
        </w:tc>
        <w:tc>
          <w:tcPr>
            <w:tcW w:w="1794" w:type="pct"/>
            <w:tcBorders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D9E2F3" w:themeFill="accent1" w:themeFillTint="33"/>
          </w:tcPr>
          <w:p w14:paraId="6A38B520" w14:textId="77777777" w:rsidR="004B170E" w:rsidRPr="004B170E" w:rsidRDefault="004B170E" w:rsidP="00C35D30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4B170E">
              <w:rPr>
                <w:rFonts w:asciiTheme="majorHAnsi" w:hAnsiTheme="majorHAnsi" w:cstheme="majorHAnsi"/>
                <w:lang w:val="en-US"/>
              </w:rPr>
              <w:t>5</w:t>
            </w:r>
          </w:p>
        </w:tc>
      </w:tr>
    </w:tbl>
    <w:p w14:paraId="6317BC41" w14:textId="22ED82C2" w:rsidR="004B170E" w:rsidRPr="000874E1" w:rsidRDefault="004B170E" w:rsidP="004B170E">
      <w:pPr>
        <w:spacing w:line="240" w:lineRule="auto"/>
        <w:jc w:val="both"/>
        <w:rPr>
          <w:rFonts w:ascii="Calibri Light" w:eastAsia="Times New Roman" w:hAnsi="Calibri Light" w:cs="Calibri Light"/>
          <w:bCs/>
          <w:i/>
          <w:iCs/>
          <w:sz w:val="18"/>
          <w:szCs w:val="18"/>
          <w:lang w:eastAsia="de-DE"/>
        </w:rPr>
      </w:pPr>
      <w:r w:rsidRPr="004B170E">
        <w:rPr>
          <w:rFonts w:ascii="Calibri Light" w:eastAsia="Times New Roman" w:hAnsi="Calibri Light" w:cs="Calibri Light"/>
          <w:bCs/>
          <w:i/>
          <w:iCs/>
          <w:sz w:val="18"/>
          <w:szCs w:val="18"/>
          <w:lang w:eastAsia="de-DE"/>
        </w:rPr>
        <w:t xml:space="preserve">Table </w:t>
      </w:r>
      <w:r>
        <w:rPr>
          <w:rFonts w:ascii="Calibri Light" w:eastAsia="Times New Roman" w:hAnsi="Calibri Light" w:cs="Calibri Light"/>
          <w:bCs/>
          <w:i/>
          <w:iCs/>
          <w:sz w:val="18"/>
          <w:szCs w:val="18"/>
          <w:lang w:eastAsia="de-DE"/>
        </w:rPr>
        <w:t>S</w:t>
      </w:r>
      <w:r w:rsidRPr="004B170E">
        <w:rPr>
          <w:rFonts w:ascii="Calibri Light" w:eastAsia="Times New Roman" w:hAnsi="Calibri Light" w:cs="Calibri Light"/>
          <w:bCs/>
          <w:i/>
          <w:iCs/>
          <w:sz w:val="18"/>
          <w:szCs w:val="18"/>
          <w:lang w:eastAsia="de-DE"/>
        </w:rPr>
        <w:t>2 Follow-up right heart catheterization (RHC) and all-cause mortality in COPD patients and controls.</w:t>
      </w:r>
    </w:p>
    <w:p w14:paraId="209E076C" w14:textId="77777777" w:rsidR="004B170E" w:rsidRPr="003830E1" w:rsidRDefault="004B170E" w:rsidP="004B170E">
      <w:pPr>
        <w:spacing w:line="240" w:lineRule="auto"/>
        <w:jc w:val="both"/>
        <w:rPr>
          <w:rFonts w:eastAsiaTheme="minorEastAsia" w:cs="Times New Roman"/>
        </w:rPr>
      </w:pPr>
    </w:p>
    <w:p w14:paraId="2A28B804" w14:textId="77777777" w:rsidR="00DF0504" w:rsidRDefault="00DF0504"/>
    <w:sectPr w:rsidR="00DF0504">
      <w:footerReference w:type="default" r:id="rId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771315"/>
      <w:docPartObj>
        <w:docPartGallery w:val="Page Numbers (Bottom of Page)"/>
        <w:docPartUnique/>
      </w:docPartObj>
    </w:sdtPr>
    <w:sdtEndPr/>
    <w:sdtContent>
      <w:p w14:paraId="698F6CBC" w14:textId="77777777" w:rsidR="00D01C63" w:rsidRDefault="004B170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3E4B5278" w14:textId="77777777" w:rsidR="00D01C63" w:rsidRDefault="004B170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0E"/>
    <w:rsid w:val="00001707"/>
    <w:rsid w:val="000026FF"/>
    <w:rsid w:val="000037DC"/>
    <w:rsid w:val="00003B15"/>
    <w:rsid w:val="00003BCA"/>
    <w:rsid w:val="00003FE8"/>
    <w:rsid w:val="00006AED"/>
    <w:rsid w:val="00020760"/>
    <w:rsid w:val="00021B27"/>
    <w:rsid w:val="00023F7C"/>
    <w:rsid w:val="00026B92"/>
    <w:rsid w:val="00027F03"/>
    <w:rsid w:val="00032C4F"/>
    <w:rsid w:val="00032ED5"/>
    <w:rsid w:val="00033509"/>
    <w:rsid w:val="00036B84"/>
    <w:rsid w:val="0004388A"/>
    <w:rsid w:val="00045A4C"/>
    <w:rsid w:val="00045F15"/>
    <w:rsid w:val="0005220C"/>
    <w:rsid w:val="00055CCD"/>
    <w:rsid w:val="000564E8"/>
    <w:rsid w:val="00061349"/>
    <w:rsid w:val="0006229B"/>
    <w:rsid w:val="00063057"/>
    <w:rsid w:val="00067A6E"/>
    <w:rsid w:val="00072C89"/>
    <w:rsid w:val="00074889"/>
    <w:rsid w:val="00074D72"/>
    <w:rsid w:val="00076FF4"/>
    <w:rsid w:val="00084904"/>
    <w:rsid w:val="000849F2"/>
    <w:rsid w:val="00085141"/>
    <w:rsid w:val="000855FC"/>
    <w:rsid w:val="00086CED"/>
    <w:rsid w:val="0009633C"/>
    <w:rsid w:val="000A000E"/>
    <w:rsid w:val="000A17A2"/>
    <w:rsid w:val="000A4C31"/>
    <w:rsid w:val="000B1339"/>
    <w:rsid w:val="000B4665"/>
    <w:rsid w:val="000B7223"/>
    <w:rsid w:val="000C23D8"/>
    <w:rsid w:val="000C3CEC"/>
    <w:rsid w:val="000C5938"/>
    <w:rsid w:val="000C6B81"/>
    <w:rsid w:val="000D347F"/>
    <w:rsid w:val="000D61C2"/>
    <w:rsid w:val="000E129A"/>
    <w:rsid w:val="000E4850"/>
    <w:rsid w:val="000F04E3"/>
    <w:rsid w:val="000F14F6"/>
    <w:rsid w:val="000F1D98"/>
    <w:rsid w:val="000F3A57"/>
    <w:rsid w:val="00107012"/>
    <w:rsid w:val="00107B34"/>
    <w:rsid w:val="00114CDE"/>
    <w:rsid w:val="00117050"/>
    <w:rsid w:val="00120A83"/>
    <w:rsid w:val="00120DBA"/>
    <w:rsid w:val="00122420"/>
    <w:rsid w:val="001235B4"/>
    <w:rsid w:val="00123C60"/>
    <w:rsid w:val="00125A0A"/>
    <w:rsid w:val="00133D1A"/>
    <w:rsid w:val="00134977"/>
    <w:rsid w:val="00135DB8"/>
    <w:rsid w:val="00143AA1"/>
    <w:rsid w:val="00150D60"/>
    <w:rsid w:val="00151B1C"/>
    <w:rsid w:val="00157991"/>
    <w:rsid w:val="0016196F"/>
    <w:rsid w:val="001650C2"/>
    <w:rsid w:val="00165F81"/>
    <w:rsid w:val="0016750B"/>
    <w:rsid w:val="00167D9C"/>
    <w:rsid w:val="00172B79"/>
    <w:rsid w:val="00176282"/>
    <w:rsid w:val="00176C8D"/>
    <w:rsid w:val="0018536D"/>
    <w:rsid w:val="00185B1C"/>
    <w:rsid w:val="0019040F"/>
    <w:rsid w:val="00191A31"/>
    <w:rsid w:val="00192337"/>
    <w:rsid w:val="00194492"/>
    <w:rsid w:val="0019538E"/>
    <w:rsid w:val="00195C68"/>
    <w:rsid w:val="00197994"/>
    <w:rsid w:val="001A1E13"/>
    <w:rsid w:val="001A6654"/>
    <w:rsid w:val="001B1756"/>
    <w:rsid w:val="001B18EB"/>
    <w:rsid w:val="001B298D"/>
    <w:rsid w:val="001B3663"/>
    <w:rsid w:val="001C469C"/>
    <w:rsid w:val="001C5A25"/>
    <w:rsid w:val="001C64FC"/>
    <w:rsid w:val="001C6795"/>
    <w:rsid w:val="001D5C4D"/>
    <w:rsid w:val="001D66D8"/>
    <w:rsid w:val="001D6DFF"/>
    <w:rsid w:val="001E3D14"/>
    <w:rsid w:val="001F40CF"/>
    <w:rsid w:val="00201D8D"/>
    <w:rsid w:val="00216DFC"/>
    <w:rsid w:val="002216A1"/>
    <w:rsid w:val="0022228E"/>
    <w:rsid w:val="002225BD"/>
    <w:rsid w:val="002279C8"/>
    <w:rsid w:val="00236A7B"/>
    <w:rsid w:val="002379E0"/>
    <w:rsid w:val="00237A40"/>
    <w:rsid w:val="00252C38"/>
    <w:rsid w:val="0025645E"/>
    <w:rsid w:val="002572F1"/>
    <w:rsid w:val="002605E0"/>
    <w:rsid w:val="002616E1"/>
    <w:rsid w:val="00263F95"/>
    <w:rsid w:val="00264448"/>
    <w:rsid w:val="0026497B"/>
    <w:rsid w:val="00274E90"/>
    <w:rsid w:val="00281AAB"/>
    <w:rsid w:val="002878C1"/>
    <w:rsid w:val="00290622"/>
    <w:rsid w:val="0029110E"/>
    <w:rsid w:val="00293E17"/>
    <w:rsid w:val="002A1B8E"/>
    <w:rsid w:val="002B0C65"/>
    <w:rsid w:val="002B0E65"/>
    <w:rsid w:val="002B1E46"/>
    <w:rsid w:val="002B46E3"/>
    <w:rsid w:val="002C1980"/>
    <w:rsid w:val="002C25B2"/>
    <w:rsid w:val="002C2E6C"/>
    <w:rsid w:val="002C43A8"/>
    <w:rsid w:val="002D3652"/>
    <w:rsid w:val="002E0C91"/>
    <w:rsid w:val="002E1FF6"/>
    <w:rsid w:val="002F5663"/>
    <w:rsid w:val="003009ED"/>
    <w:rsid w:val="00301978"/>
    <w:rsid w:val="00304EB6"/>
    <w:rsid w:val="003076D6"/>
    <w:rsid w:val="003109BF"/>
    <w:rsid w:val="00313D72"/>
    <w:rsid w:val="003164C2"/>
    <w:rsid w:val="00323242"/>
    <w:rsid w:val="003266F1"/>
    <w:rsid w:val="0032672A"/>
    <w:rsid w:val="003276D8"/>
    <w:rsid w:val="00327FE4"/>
    <w:rsid w:val="00331987"/>
    <w:rsid w:val="00331D40"/>
    <w:rsid w:val="0033249F"/>
    <w:rsid w:val="00332C8B"/>
    <w:rsid w:val="00337DDD"/>
    <w:rsid w:val="00343B97"/>
    <w:rsid w:val="00350577"/>
    <w:rsid w:val="00351B5D"/>
    <w:rsid w:val="00354E43"/>
    <w:rsid w:val="0035675E"/>
    <w:rsid w:val="0036280D"/>
    <w:rsid w:val="003636A2"/>
    <w:rsid w:val="00380E75"/>
    <w:rsid w:val="0038342F"/>
    <w:rsid w:val="0038651C"/>
    <w:rsid w:val="00394119"/>
    <w:rsid w:val="003A1634"/>
    <w:rsid w:val="003A52F1"/>
    <w:rsid w:val="003A6554"/>
    <w:rsid w:val="003A7516"/>
    <w:rsid w:val="003B4C58"/>
    <w:rsid w:val="003B6517"/>
    <w:rsid w:val="003B70EE"/>
    <w:rsid w:val="003B7299"/>
    <w:rsid w:val="003B785F"/>
    <w:rsid w:val="003B7984"/>
    <w:rsid w:val="003D0846"/>
    <w:rsid w:val="003D46D9"/>
    <w:rsid w:val="003D50A7"/>
    <w:rsid w:val="003D5540"/>
    <w:rsid w:val="003D61E2"/>
    <w:rsid w:val="003D7CED"/>
    <w:rsid w:val="003E2654"/>
    <w:rsid w:val="003E42C0"/>
    <w:rsid w:val="003E77DB"/>
    <w:rsid w:val="003F3BDD"/>
    <w:rsid w:val="003F59BF"/>
    <w:rsid w:val="00403F8C"/>
    <w:rsid w:val="00410657"/>
    <w:rsid w:val="00413DAD"/>
    <w:rsid w:val="004170EF"/>
    <w:rsid w:val="004175A0"/>
    <w:rsid w:val="00420A15"/>
    <w:rsid w:val="00422224"/>
    <w:rsid w:val="00426162"/>
    <w:rsid w:val="00431F78"/>
    <w:rsid w:val="00433143"/>
    <w:rsid w:val="00437FC1"/>
    <w:rsid w:val="004436A7"/>
    <w:rsid w:val="00444678"/>
    <w:rsid w:val="00445C64"/>
    <w:rsid w:val="00446DA0"/>
    <w:rsid w:val="0045070E"/>
    <w:rsid w:val="00453039"/>
    <w:rsid w:val="0045477C"/>
    <w:rsid w:val="00455355"/>
    <w:rsid w:val="00455F4E"/>
    <w:rsid w:val="00456997"/>
    <w:rsid w:val="00464BD0"/>
    <w:rsid w:val="00464E54"/>
    <w:rsid w:val="00467732"/>
    <w:rsid w:val="00467C9D"/>
    <w:rsid w:val="00472063"/>
    <w:rsid w:val="004747ED"/>
    <w:rsid w:val="00476527"/>
    <w:rsid w:val="00476CF7"/>
    <w:rsid w:val="004904D8"/>
    <w:rsid w:val="00497560"/>
    <w:rsid w:val="004A4D21"/>
    <w:rsid w:val="004A5262"/>
    <w:rsid w:val="004B170E"/>
    <w:rsid w:val="004B3EE9"/>
    <w:rsid w:val="004B4F79"/>
    <w:rsid w:val="004B507C"/>
    <w:rsid w:val="004B5F28"/>
    <w:rsid w:val="004C3172"/>
    <w:rsid w:val="004C4E4B"/>
    <w:rsid w:val="004C54EF"/>
    <w:rsid w:val="004C70A2"/>
    <w:rsid w:val="004C7A3E"/>
    <w:rsid w:val="004D0E2E"/>
    <w:rsid w:val="004D5071"/>
    <w:rsid w:val="004E1EF7"/>
    <w:rsid w:val="004E57B1"/>
    <w:rsid w:val="004F00CE"/>
    <w:rsid w:val="004F53C5"/>
    <w:rsid w:val="004F7CE8"/>
    <w:rsid w:val="005002AA"/>
    <w:rsid w:val="005003AB"/>
    <w:rsid w:val="00502B38"/>
    <w:rsid w:val="005106C1"/>
    <w:rsid w:val="005170B4"/>
    <w:rsid w:val="00520317"/>
    <w:rsid w:val="00522C12"/>
    <w:rsid w:val="00525280"/>
    <w:rsid w:val="00525368"/>
    <w:rsid w:val="00525499"/>
    <w:rsid w:val="00530DF7"/>
    <w:rsid w:val="00531741"/>
    <w:rsid w:val="0053572C"/>
    <w:rsid w:val="005359B9"/>
    <w:rsid w:val="0053765A"/>
    <w:rsid w:val="005402B0"/>
    <w:rsid w:val="00540A7E"/>
    <w:rsid w:val="00544F86"/>
    <w:rsid w:val="00556538"/>
    <w:rsid w:val="00556E5C"/>
    <w:rsid w:val="00563BFF"/>
    <w:rsid w:val="00565D13"/>
    <w:rsid w:val="00566BAF"/>
    <w:rsid w:val="005676F3"/>
    <w:rsid w:val="00567817"/>
    <w:rsid w:val="0057589F"/>
    <w:rsid w:val="005820C3"/>
    <w:rsid w:val="00582553"/>
    <w:rsid w:val="00590728"/>
    <w:rsid w:val="00591AC6"/>
    <w:rsid w:val="005935EE"/>
    <w:rsid w:val="005936A0"/>
    <w:rsid w:val="0059475F"/>
    <w:rsid w:val="00597D90"/>
    <w:rsid w:val="005A14DC"/>
    <w:rsid w:val="005B2FF8"/>
    <w:rsid w:val="005B3174"/>
    <w:rsid w:val="005B428A"/>
    <w:rsid w:val="005B69CA"/>
    <w:rsid w:val="005B69DE"/>
    <w:rsid w:val="005C0B7D"/>
    <w:rsid w:val="005C11B2"/>
    <w:rsid w:val="005C5EC4"/>
    <w:rsid w:val="005C6017"/>
    <w:rsid w:val="005C7AE8"/>
    <w:rsid w:val="005D224B"/>
    <w:rsid w:val="005D52AF"/>
    <w:rsid w:val="005E2685"/>
    <w:rsid w:val="005E3119"/>
    <w:rsid w:val="005E56E7"/>
    <w:rsid w:val="005E5889"/>
    <w:rsid w:val="005E616E"/>
    <w:rsid w:val="005F0C16"/>
    <w:rsid w:val="005F5BB8"/>
    <w:rsid w:val="005F635A"/>
    <w:rsid w:val="005F7991"/>
    <w:rsid w:val="0060085B"/>
    <w:rsid w:val="00611221"/>
    <w:rsid w:val="006126DC"/>
    <w:rsid w:val="00612BC0"/>
    <w:rsid w:val="00622806"/>
    <w:rsid w:val="00630AED"/>
    <w:rsid w:val="00631DF4"/>
    <w:rsid w:val="0063355D"/>
    <w:rsid w:val="006350D3"/>
    <w:rsid w:val="00653C23"/>
    <w:rsid w:val="00655001"/>
    <w:rsid w:val="006558E9"/>
    <w:rsid w:val="00657352"/>
    <w:rsid w:val="00664545"/>
    <w:rsid w:val="006659C4"/>
    <w:rsid w:val="00666F19"/>
    <w:rsid w:val="00670903"/>
    <w:rsid w:val="00671E70"/>
    <w:rsid w:val="00674D30"/>
    <w:rsid w:val="00675A4D"/>
    <w:rsid w:val="006800AB"/>
    <w:rsid w:val="00685AF1"/>
    <w:rsid w:val="0069236B"/>
    <w:rsid w:val="00694025"/>
    <w:rsid w:val="00696598"/>
    <w:rsid w:val="006A14CA"/>
    <w:rsid w:val="006A23BD"/>
    <w:rsid w:val="006A28CD"/>
    <w:rsid w:val="006A3152"/>
    <w:rsid w:val="006A4050"/>
    <w:rsid w:val="006A46D4"/>
    <w:rsid w:val="006B213F"/>
    <w:rsid w:val="006B4590"/>
    <w:rsid w:val="006B6373"/>
    <w:rsid w:val="006B7491"/>
    <w:rsid w:val="006C3044"/>
    <w:rsid w:val="006C3F8E"/>
    <w:rsid w:val="006C46B6"/>
    <w:rsid w:val="006C4F7C"/>
    <w:rsid w:val="006C561A"/>
    <w:rsid w:val="006D0577"/>
    <w:rsid w:val="006D3EA0"/>
    <w:rsid w:val="006D65A6"/>
    <w:rsid w:val="006D73B9"/>
    <w:rsid w:val="006E0842"/>
    <w:rsid w:val="006E0D74"/>
    <w:rsid w:val="006E1EFC"/>
    <w:rsid w:val="006E2CE5"/>
    <w:rsid w:val="006E4FB5"/>
    <w:rsid w:val="006F1057"/>
    <w:rsid w:val="006F61C3"/>
    <w:rsid w:val="006F6951"/>
    <w:rsid w:val="006F71B1"/>
    <w:rsid w:val="006F7481"/>
    <w:rsid w:val="006F7A06"/>
    <w:rsid w:val="00705BEB"/>
    <w:rsid w:val="00710238"/>
    <w:rsid w:val="00711F9D"/>
    <w:rsid w:val="00712C36"/>
    <w:rsid w:val="00713036"/>
    <w:rsid w:val="00713599"/>
    <w:rsid w:val="00720468"/>
    <w:rsid w:val="0073073D"/>
    <w:rsid w:val="007313B1"/>
    <w:rsid w:val="0073200E"/>
    <w:rsid w:val="00734302"/>
    <w:rsid w:val="0073498F"/>
    <w:rsid w:val="007354A3"/>
    <w:rsid w:val="00740474"/>
    <w:rsid w:val="00741842"/>
    <w:rsid w:val="0074243B"/>
    <w:rsid w:val="0075013B"/>
    <w:rsid w:val="00750A8C"/>
    <w:rsid w:val="00755BA4"/>
    <w:rsid w:val="00756D7A"/>
    <w:rsid w:val="007653EF"/>
    <w:rsid w:val="007738A1"/>
    <w:rsid w:val="00774EAE"/>
    <w:rsid w:val="00776392"/>
    <w:rsid w:val="00777A3C"/>
    <w:rsid w:val="007873B9"/>
    <w:rsid w:val="00794945"/>
    <w:rsid w:val="007949B4"/>
    <w:rsid w:val="00794BF1"/>
    <w:rsid w:val="007A2FE8"/>
    <w:rsid w:val="007A5157"/>
    <w:rsid w:val="007B1A65"/>
    <w:rsid w:val="007B1F18"/>
    <w:rsid w:val="007B328E"/>
    <w:rsid w:val="007B523D"/>
    <w:rsid w:val="007B5CDD"/>
    <w:rsid w:val="007C1BFC"/>
    <w:rsid w:val="007C514E"/>
    <w:rsid w:val="007C6188"/>
    <w:rsid w:val="007C6E05"/>
    <w:rsid w:val="007D071F"/>
    <w:rsid w:val="007D074D"/>
    <w:rsid w:val="007D7F6D"/>
    <w:rsid w:val="007E02CD"/>
    <w:rsid w:val="007E2976"/>
    <w:rsid w:val="007E2995"/>
    <w:rsid w:val="007E2E78"/>
    <w:rsid w:val="007E6879"/>
    <w:rsid w:val="007E7320"/>
    <w:rsid w:val="007E7780"/>
    <w:rsid w:val="007E7DA9"/>
    <w:rsid w:val="007F201D"/>
    <w:rsid w:val="007F2B52"/>
    <w:rsid w:val="007F3045"/>
    <w:rsid w:val="007F3364"/>
    <w:rsid w:val="007F51B2"/>
    <w:rsid w:val="007F622B"/>
    <w:rsid w:val="007F6EE2"/>
    <w:rsid w:val="008148A4"/>
    <w:rsid w:val="00814F33"/>
    <w:rsid w:val="0082135E"/>
    <w:rsid w:val="00823A36"/>
    <w:rsid w:val="008242CF"/>
    <w:rsid w:val="008243F2"/>
    <w:rsid w:val="00826694"/>
    <w:rsid w:val="008307E8"/>
    <w:rsid w:val="0083108B"/>
    <w:rsid w:val="008319D3"/>
    <w:rsid w:val="00842BB8"/>
    <w:rsid w:val="00842ED9"/>
    <w:rsid w:val="00847853"/>
    <w:rsid w:val="00850BBD"/>
    <w:rsid w:val="00854653"/>
    <w:rsid w:val="00855847"/>
    <w:rsid w:val="008735EC"/>
    <w:rsid w:val="008764CD"/>
    <w:rsid w:val="00881555"/>
    <w:rsid w:val="008929C5"/>
    <w:rsid w:val="008A03E8"/>
    <w:rsid w:val="008A0F91"/>
    <w:rsid w:val="008A17CB"/>
    <w:rsid w:val="008A2D38"/>
    <w:rsid w:val="008B0B26"/>
    <w:rsid w:val="008B1C86"/>
    <w:rsid w:val="008B3871"/>
    <w:rsid w:val="008B706E"/>
    <w:rsid w:val="008C128D"/>
    <w:rsid w:val="008C7720"/>
    <w:rsid w:val="008D1C0D"/>
    <w:rsid w:val="008D53E5"/>
    <w:rsid w:val="008D5E66"/>
    <w:rsid w:val="008D5F5B"/>
    <w:rsid w:val="008E1F8D"/>
    <w:rsid w:val="008E2138"/>
    <w:rsid w:val="008E3C2F"/>
    <w:rsid w:val="008F4A3E"/>
    <w:rsid w:val="008F5DCA"/>
    <w:rsid w:val="0090167F"/>
    <w:rsid w:val="00902A59"/>
    <w:rsid w:val="00906DF5"/>
    <w:rsid w:val="00910B83"/>
    <w:rsid w:val="00920401"/>
    <w:rsid w:val="00923E0B"/>
    <w:rsid w:val="00924603"/>
    <w:rsid w:val="00926035"/>
    <w:rsid w:val="00926356"/>
    <w:rsid w:val="0092787E"/>
    <w:rsid w:val="0093379B"/>
    <w:rsid w:val="009347B4"/>
    <w:rsid w:val="00934F55"/>
    <w:rsid w:val="00937012"/>
    <w:rsid w:val="00940F60"/>
    <w:rsid w:val="00941AE4"/>
    <w:rsid w:val="009436A8"/>
    <w:rsid w:val="0094390E"/>
    <w:rsid w:val="00944FAE"/>
    <w:rsid w:val="00947D67"/>
    <w:rsid w:val="0095102E"/>
    <w:rsid w:val="00952F4A"/>
    <w:rsid w:val="00956A8E"/>
    <w:rsid w:val="009577C3"/>
    <w:rsid w:val="00962EE7"/>
    <w:rsid w:val="00965237"/>
    <w:rsid w:val="00966006"/>
    <w:rsid w:val="009706C4"/>
    <w:rsid w:val="00972144"/>
    <w:rsid w:val="009736CA"/>
    <w:rsid w:val="00974F56"/>
    <w:rsid w:val="00980BDB"/>
    <w:rsid w:val="00983012"/>
    <w:rsid w:val="0098344B"/>
    <w:rsid w:val="009842A4"/>
    <w:rsid w:val="00985066"/>
    <w:rsid w:val="009865F9"/>
    <w:rsid w:val="009904F5"/>
    <w:rsid w:val="0099319D"/>
    <w:rsid w:val="009935FD"/>
    <w:rsid w:val="00995255"/>
    <w:rsid w:val="009A0514"/>
    <w:rsid w:val="009A3B19"/>
    <w:rsid w:val="009A4217"/>
    <w:rsid w:val="009A6219"/>
    <w:rsid w:val="009A6923"/>
    <w:rsid w:val="009B12DB"/>
    <w:rsid w:val="009B3DB1"/>
    <w:rsid w:val="009B48E6"/>
    <w:rsid w:val="009B675C"/>
    <w:rsid w:val="009B757C"/>
    <w:rsid w:val="009C357E"/>
    <w:rsid w:val="009D0FE6"/>
    <w:rsid w:val="009D5567"/>
    <w:rsid w:val="009D57AD"/>
    <w:rsid w:val="009E140B"/>
    <w:rsid w:val="009E2EDC"/>
    <w:rsid w:val="009E6AE8"/>
    <w:rsid w:val="009F081A"/>
    <w:rsid w:val="00A0126C"/>
    <w:rsid w:val="00A01EF5"/>
    <w:rsid w:val="00A05655"/>
    <w:rsid w:val="00A10AA5"/>
    <w:rsid w:val="00A11F19"/>
    <w:rsid w:val="00A14007"/>
    <w:rsid w:val="00A1557E"/>
    <w:rsid w:val="00A161A5"/>
    <w:rsid w:val="00A26C42"/>
    <w:rsid w:val="00A27541"/>
    <w:rsid w:val="00A33797"/>
    <w:rsid w:val="00A40BA2"/>
    <w:rsid w:val="00A43322"/>
    <w:rsid w:val="00A46A34"/>
    <w:rsid w:val="00A51CAD"/>
    <w:rsid w:val="00A53C43"/>
    <w:rsid w:val="00A54F47"/>
    <w:rsid w:val="00A552C1"/>
    <w:rsid w:val="00A57420"/>
    <w:rsid w:val="00A60D6C"/>
    <w:rsid w:val="00A64671"/>
    <w:rsid w:val="00A64C5C"/>
    <w:rsid w:val="00A64FCD"/>
    <w:rsid w:val="00A716C5"/>
    <w:rsid w:val="00A75496"/>
    <w:rsid w:val="00A77471"/>
    <w:rsid w:val="00A806BE"/>
    <w:rsid w:val="00A818C5"/>
    <w:rsid w:val="00A822C8"/>
    <w:rsid w:val="00A85CEC"/>
    <w:rsid w:val="00A87D4C"/>
    <w:rsid w:val="00A90C0E"/>
    <w:rsid w:val="00A960FA"/>
    <w:rsid w:val="00A97CCF"/>
    <w:rsid w:val="00AA14BC"/>
    <w:rsid w:val="00AA38C0"/>
    <w:rsid w:val="00AA4CE6"/>
    <w:rsid w:val="00AA65E5"/>
    <w:rsid w:val="00AB3E68"/>
    <w:rsid w:val="00AC3475"/>
    <w:rsid w:val="00AC357E"/>
    <w:rsid w:val="00AC4C4C"/>
    <w:rsid w:val="00AC4F72"/>
    <w:rsid w:val="00AD0A79"/>
    <w:rsid w:val="00AD6D6B"/>
    <w:rsid w:val="00AD72F1"/>
    <w:rsid w:val="00AE0C0E"/>
    <w:rsid w:val="00AF59FE"/>
    <w:rsid w:val="00AF7979"/>
    <w:rsid w:val="00B00234"/>
    <w:rsid w:val="00B03122"/>
    <w:rsid w:val="00B0715A"/>
    <w:rsid w:val="00B1374C"/>
    <w:rsid w:val="00B209AB"/>
    <w:rsid w:val="00B22044"/>
    <w:rsid w:val="00B25B3C"/>
    <w:rsid w:val="00B32168"/>
    <w:rsid w:val="00B32FEE"/>
    <w:rsid w:val="00B3432D"/>
    <w:rsid w:val="00B34837"/>
    <w:rsid w:val="00B34C8C"/>
    <w:rsid w:val="00B41F29"/>
    <w:rsid w:val="00B43010"/>
    <w:rsid w:val="00B4546F"/>
    <w:rsid w:val="00B45902"/>
    <w:rsid w:val="00B46729"/>
    <w:rsid w:val="00B57EFD"/>
    <w:rsid w:val="00B61CCA"/>
    <w:rsid w:val="00B635BC"/>
    <w:rsid w:val="00B64BF8"/>
    <w:rsid w:val="00B67433"/>
    <w:rsid w:val="00B72396"/>
    <w:rsid w:val="00B768D6"/>
    <w:rsid w:val="00B80138"/>
    <w:rsid w:val="00B83C48"/>
    <w:rsid w:val="00B90259"/>
    <w:rsid w:val="00B91284"/>
    <w:rsid w:val="00B91D9F"/>
    <w:rsid w:val="00B941F4"/>
    <w:rsid w:val="00BA1A9C"/>
    <w:rsid w:val="00BA4556"/>
    <w:rsid w:val="00BA45D6"/>
    <w:rsid w:val="00BA68DC"/>
    <w:rsid w:val="00BA7954"/>
    <w:rsid w:val="00BB08DB"/>
    <w:rsid w:val="00BB2AF1"/>
    <w:rsid w:val="00BB49B9"/>
    <w:rsid w:val="00BB6451"/>
    <w:rsid w:val="00BB733C"/>
    <w:rsid w:val="00BC538B"/>
    <w:rsid w:val="00BC5390"/>
    <w:rsid w:val="00BC6468"/>
    <w:rsid w:val="00BD06D3"/>
    <w:rsid w:val="00BD5802"/>
    <w:rsid w:val="00BE1794"/>
    <w:rsid w:val="00BE20D6"/>
    <w:rsid w:val="00BE5E44"/>
    <w:rsid w:val="00BF1F2E"/>
    <w:rsid w:val="00BF46FB"/>
    <w:rsid w:val="00BF5118"/>
    <w:rsid w:val="00BF586F"/>
    <w:rsid w:val="00BF7E4D"/>
    <w:rsid w:val="00C0107F"/>
    <w:rsid w:val="00C05A2E"/>
    <w:rsid w:val="00C0648A"/>
    <w:rsid w:val="00C117E9"/>
    <w:rsid w:val="00C1253F"/>
    <w:rsid w:val="00C13747"/>
    <w:rsid w:val="00C1501B"/>
    <w:rsid w:val="00C16F08"/>
    <w:rsid w:val="00C17F4A"/>
    <w:rsid w:val="00C215DB"/>
    <w:rsid w:val="00C24954"/>
    <w:rsid w:val="00C25E89"/>
    <w:rsid w:val="00C26507"/>
    <w:rsid w:val="00C35C02"/>
    <w:rsid w:val="00C37B56"/>
    <w:rsid w:val="00C37EDD"/>
    <w:rsid w:val="00C422D6"/>
    <w:rsid w:val="00C42AA2"/>
    <w:rsid w:val="00C52530"/>
    <w:rsid w:val="00C5338C"/>
    <w:rsid w:val="00C53FC0"/>
    <w:rsid w:val="00C54673"/>
    <w:rsid w:val="00C55986"/>
    <w:rsid w:val="00C57B3C"/>
    <w:rsid w:val="00C6539A"/>
    <w:rsid w:val="00C653E6"/>
    <w:rsid w:val="00C715E3"/>
    <w:rsid w:val="00C723C0"/>
    <w:rsid w:val="00C7477A"/>
    <w:rsid w:val="00C867F1"/>
    <w:rsid w:val="00C90202"/>
    <w:rsid w:val="00C92B7E"/>
    <w:rsid w:val="00CA2529"/>
    <w:rsid w:val="00CA2D1E"/>
    <w:rsid w:val="00CA3446"/>
    <w:rsid w:val="00CA3D4F"/>
    <w:rsid w:val="00CA649A"/>
    <w:rsid w:val="00CB1F99"/>
    <w:rsid w:val="00CB4961"/>
    <w:rsid w:val="00CC2525"/>
    <w:rsid w:val="00CC77E9"/>
    <w:rsid w:val="00CD03BF"/>
    <w:rsid w:val="00CD20E3"/>
    <w:rsid w:val="00CD44C5"/>
    <w:rsid w:val="00CD61E5"/>
    <w:rsid w:val="00CD723E"/>
    <w:rsid w:val="00CD733A"/>
    <w:rsid w:val="00CE02B2"/>
    <w:rsid w:val="00CE25E6"/>
    <w:rsid w:val="00CE378A"/>
    <w:rsid w:val="00CE39E6"/>
    <w:rsid w:val="00CE42B2"/>
    <w:rsid w:val="00CE7A22"/>
    <w:rsid w:val="00CF1437"/>
    <w:rsid w:val="00CF3990"/>
    <w:rsid w:val="00D01B44"/>
    <w:rsid w:val="00D061B1"/>
    <w:rsid w:val="00D10907"/>
    <w:rsid w:val="00D141FE"/>
    <w:rsid w:val="00D17052"/>
    <w:rsid w:val="00D2300A"/>
    <w:rsid w:val="00D3056F"/>
    <w:rsid w:val="00D33613"/>
    <w:rsid w:val="00D34A3B"/>
    <w:rsid w:val="00D3509C"/>
    <w:rsid w:val="00D352A4"/>
    <w:rsid w:val="00D3741F"/>
    <w:rsid w:val="00D43143"/>
    <w:rsid w:val="00D43AA1"/>
    <w:rsid w:val="00D5097F"/>
    <w:rsid w:val="00D51CE7"/>
    <w:rsid w:val="00D579E6"/>
    <w:rsid w:val="00D663DB"/>
    <w:rsid w:val="00D67047"/>
    <w:rsid w:val="00D72580"/>
    <w:rsid w:val="00D72AA5"/>
    <w:rsid w:val="00D75B29"/>
    <w:rsid w:val="00D847F9"/>
    <w:rsid w:val="00D858DC"/>
    <w:rsid w:val="00D907AC"/>
    <w:rsid w:val="00D934F5"/>
    <w:rsid w:val="00DA6667"/>
    <w:rsid w:val="00DB0DB6"/>
    <w:rsid w:val="00DB1612"/>
    <w:rsid w:val="00DB691D"/>
    <w:rsid w:val="00DB6B88"/>
    <w:rsid w:val="00DC27E7"/>
    <w:rsid w:val="00DC788B"/>
    <w:rsid w:val="00DD1C43"/>
    <w:rsid w:val="00DD2F0A"/>
    <w:rsid w:val="00DD6A55"/>
    <w:rsid w:val="00DE0554"/>
    <w:rsid w:val="00DE3AF4"/>
    <w:rsid w:val="00DE65FF"/>
    <w:rsid w:val="00DF0504"/>
    <w:rsid w:val="00DF1281"/>
    <w:rsid w:val="00E012DF"/>
    <w:rsid w:val="00E049BB"/>
    <w:rsid w:val="00E04BD0"/>
    <w:rsid w:val="00E06F16"/>
    <w:rsid w:val="00E07874"/>
    <w:rsid w:val="00E20567"/>
    <w:rsid w:val="00E23081"/>
    <w:rsid w:val="00E26D89"/>
    <w:rsid w:val="00E337E2"/>
    <w:rsid w:val="00E357EF"/>
    <w:rsid w:val="00E41044"/>
    <w:rsid w:val="00E45996"/>
    <w:rsid w:val="00E46170"/>
    <w:rsid w:val="00E46DD8"/>
    <w:rsid w:val="00E554B5"/>
    <w:rsid w:val="00E5620F"/>
    <w:rsid w:val="00E600B4"/>
    <w:rsid w:val="00E6453C"/>
    <w:rsid w:val="00E7030C"/>
    <w:rsid w:val="00E71E3C"/>
    <w:rsid w:val="00E73AE9"/>
    <w:rsid w:val="00E74E68"/>
    <w:rsid w:val="00E75351"/>
    <w:rsid w:val="00E75815"/>
    <w:rsid w:val="00E8090A"/>
    <w:rsid w:val="00E820AA"/>
    <w:rsid w:val="00E85657"/>
    <w:rsid w:val="00E85FA1"/>
    <w:rsid w:val="00E87DD6"/>
    <w:rsid w:val="00E91234"/>
    <w:rsid w:val="00EA02EE"/>
    <w:rsid w:val="00EA20C6"/>
    <w:rsid w:val="00EA5863"/>
    <w:rsid w:val="00EB00F9"/>
    <w:rsid w:val="00EB050F"/>
    <w:rsid w:val="00EB5A44"/>
    <w:rsid w:val="00EB6E50"/>
    <w:rsid w:val="00EB7DA2"/>
    <w:rsid w:val="00EC0698"/>
    <w:rsid w:val="00EC06F3"/>
    <w:rsid w:val="00ED2BE4"/>
    <w:rsid w:val="00EE1872"/>
    <w:rsid w:val="00EE4183"/>
    <w:rsid w:val="00EE490E"/>
    <w:rsid w:val="00EE521F"/>
    <w:rsid w:val="00EE5484"/>
    <w:rsid w:val="00EF3612"/>
    <w:rsid w:val="00EF369E"/>
    <w:rsid w:val="00EF4CFA"/>
    <w:rsid w:val="00F0175E"/>
    <w:rsid w:val="00F0489F"/>
    <w:rsid w:val="00F15EA9"/>
    <w:rsid w:val="00F17EE2"/>
    <w:rsid w:val="00F20053"/>
    <w:rsid w:val="00F20AAB"/>
    <w:rsid w:val="00F22098"/>
    <w:rsid w:val="00F23AA5"/>
    <w:rsid w:val="00F2464E"/>
    <w:rsid w:val="00F302BE"/>
    <w:rsid w:val="00F3287B"/>
    <w:rsid w:val="00F33CC1"/>
    <w:rsid w:val="00F35398"/>
    <w:rsid w:val="00F42B4B"/>
    <w:rsid w:val="00F450CF"/>
    <w:rsid w:val="00F45115"/>
    <w:rsid w:val="00F455BB"/>
    <w:rsid w:val="00F574FF"/>
    <w:rsid w:val="00F5760D"/>
    <w:rsid w:val="00F61FC8"/>
    <w:rsid w:val="00F623A8"/>
    <w:rsid w:val="00F65DA2"/>
    <w:rsid w:val="00F705AE"/>
    <w:rsid w:val="00F8620D"/>
    <w:rsid w:val="00F87660"/>
    <w:rsid w:val="00F87D3D"/>
    <w:rsid w:val="00F93B11"/>
    <w:rsid w:val="00FA5C07"/>
    <w:rsid w:val="00FA6A2F"/>
    <w:rsid w:val="00FB10AE"/>
    <w:rsid w:val="00FB164D"/>
    <w:rsid w:val="00FB3635"/>
    <w:rsid w:val="00FB3FFC"/>
    <w:rsid w:val="00FB5747"/>
    <w:rsid w:val="00FB7507"/>
    <w:rsid w:val="00FC1F09"/>
    <w:rsid w:val="00FC26CE"/>
    <w:rsid w:val="00FD1FEE"/>
    <w:rsid w:val="00FD3373"/>
    <w:rsid w:val="00FD3C45"/>
    <w:rsid w:val="00FD6DB3"/>
    <w:rsid w:val="00FE3E79"/>
    <w:rsid w:val="00FE5F9B"/>
    <w:rsid w:val="00FF0F64"/>
    <w:rsid w:val="00FF3FC4"/>
    <w:rsid w:val="00FF6708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C044A"/>
  <w15:chartTrackingRefBased/>
  <w15:docId w15:val="{485D0776-6702-4FE5-ADCD-9B0C0F4C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170E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4B170E"/>
    <w:rPr>
      <w:lang w:val="de-DE"/>
    </w:rPr>
  </w:style>
  <w:style w:type="table" w:customStyle="1" w:styleId="Gitternetztabelle1hellAkzent11">
    <w:name w:val="Gitternetztabelle 1 hell  – Akzent 11"/>
    <w:basedOn w:val="TableNormal"/>
    <w:uiPriority w:val="46"/>
    <w:rsid w:val="004B1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</dc:creator>
  <cp:keywords/>
  <dc:description/>
  <cp:lastModifiedBy>Jini Mol</cp:lastModifiedBy>
  <cp:revision>1</cp:revision>
  <dcterms:created xsi:type="dcterms:W3CDTF">2022-11-07T18:38:00Z</dcterms:created>
  <dcterms:modified xsi:type="dcterms:W3CDTF">2022-11-07T18:39:00Z</dcterms:modified>
</cp:coreProperties>
</file>