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49E91" w14:textId="2CDC8564" w:rsidR="00A7448F" w:rsidRDefault="00B22209" w:rsidP="00697EAC">
      <w:pPr>
        <w:wordWrap/>
        <w:spacing w:line="480" w:lineRule="auto"/>
        <w:jc w:val="center"/>
        <w:outlineLvl w:val="0"/>
        <w:rPr>
          <w:b/>
          <w:color w:val="000000" w:themeColor="text1"/>
          <w:sz w:val="22"/>
        </w:rPr>
      </w:pPr>
      <w:r>
        <w:rPr>
          <w:b/>
          <w:noProof/>
          <w:color w:val="000000" w:themeColor="text1"/>
          <w:sz w:val="22"/>
        </w:rPr>
        <w:drawing>
          <wp:inline distT="0" distB="0" distL="0" distR="0" wp14:anchorId="22F625AC" wp14:editId="5E105362">
            <wp:extent cx="5727700" cy="279463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CF147" w14:textId="6A00B496" w:rsidR="00697EAC" w:rsidRPr="00B22209" w:rsidRDefault="00697EAC" w:rsidP="00697EAC">
      <w:pPr>
        <w:wordWrap/>
        <w:spacing w:line="480" w:lineRule="auto"/>
        <w:outlineLvl w:val="0"/>
        <w:rPr>
          <w:rFonts w:eastAsia="Times New Roman"/>
          <w:sz w:val="22"/>
        </w:rPr>
      </w:pPr>
      <w:r w:rsidRPr="00A97B5E">
        <w:rPr>
          <w:b/>
          <w:color w:val="000000" w:themeColor="text1"/>
          <w:sz w:val="22"/>
        </w:rPr>
        <w:t xml:space="preserve">Figure </w:t>
      </w:r>
      <w:r w:rsidRPr="00A97B5E">
        <w:rPr>
          <w:rFonts w:hint="eastAsia"/>
          <w:b/>
          <w:color w:val="000000" w:themeColor="text1"/>
          <w:sz w:val="22"/>
        </w:rPr>
        <w:t>S</w:t>
      </w:r>
      <w:r w:rsidRPr="00A97B5E">
        <w:rPr>
          <w:b/>
          <w:color w:val="000000" w:themeColor="text1"/>
          <w:sz w:val="22"/>
        </w:rPr>
        <w:t xml:space="preserve">1 </w:t>
      </w:r>
      <w:proofErr w:type="gramStart"/>
      <w:r w:rsidR="00B22209">
        <w:rPr>
          <w:b/>
          <w:color w:val="000000" w:themeColor="text1"/>
          <w:sz w:val="22"/>
        </w:rPr>
        <w:t>A</w:t>
      </w:r>
      <w:proofErr w:type="gramEnd"/>
      <w:r w:rsidR="00B22209">
        <w:rPr>
          <w:b/>
          <w:color w:val="000000" w:themeColor="text1"/>
          <w:sz w:val="22"/>
        </w:rPr>
        <w:t xml:space="preserve"> </w:t>
      </w:r>
      <w:r>
        <w:rPr>
          <w:rFonts w:eastAsia="Times New Roman"/>
          <w:sz w:val="22"/>
        </w:rPr>
        <w:t>Identification of vesicular markers on EV or NV (10 µg) by Western blot analysis.</w:t>
      </w:r>
      <w:r w:rsidR="00B22209">
        <w:rPr>
          <w:rFonts w:eastAsia="Times New Roman"/>
          <w:sz w:val="22"/>
        </w:rPr>
        <w:t xml:space="preserve"> </w:t>
      </w:r>
      <w:r w:rsidR="00B22209" w:rsidRPr="00B22209">
        <w:rPr>
          <w:rFonts w:eastAsia="Times New Roman"/>
          <w:b/>
          <w:bCs/>
          <w:sz w:val="22"/>
        </w:rPr>
        <w:t>B</w:t>
      </w:r>
      <w:r w:rsidR="00B22209">
        <w:rPr>
          <w:rFonts w:eastAsia="Times New Roman"/>
          <w:sz w:val="22"/>
        </w:rPr>
        <w:t xml:space="preserve"> Full-length of blot images of the Western blots shown in Fig. S1A.</w:t>
      </w:r>
    </w:p>
    <w:p w14:paraId="659BD494" w14:textId="26BC6C77" w:rsidR="00697EAC" w:rsidRP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2599E30E" w14:textId="1FDF9462" w:rsidR="00697EAC" w:rsidRPr="00B22209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5F4C2C52" w14:textId="5C5445B4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2802FF81" w14:textId="5DA30A0F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52C5CFBE" w14:textId="6502013A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18F5F3E7" w14:textId="49FDDDF0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2B382D23" w14:textId="008B1475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729C6CB8" w14:textId="65E051F5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69B52002" w14:textId="6A2488A5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169B006E" w14:textId="073BE2D6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1F79D195" w14:textId="3F92A8C3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01BEDA4D" w14:textId="44A74E1A" w:rsidR="00697EAC" w:rsidRDefault="00697EAC" w:rsidP="00697EAC">
      <w:pPr>
        <w:wordWrap/>
        <w:spacing w:line="480" w:lineRule="auto"/>
        <w:jc w:val="center"/>
        <w:outlineLvl w:val="0"/>
        <w:rPr>
          <w:b/>
          <w:color w:val="000000" w:themeColor="text1"/>
          <w:sz w:val="22"/>
        </w:rPr>
      </w:pPr>
      <w:r>
        <w:rPr>
          <w:b/>
          <w:noProof/>
          <w:color w:val="000000" w:themeColor="text1"/>
          <w:sz w:val="22"/>
        </w:rPr>
        <w:lastRenderedPageBreak/>
        <w:drawing>
          <wp:inline distT="0" distB="0" distL="0" distR="0" wp14:anchorId="616C1D3A" wp14:editId="265449E6">
            <wp:extent cx="3449371" cy="2377028"/>
            <wp:effectExtent l="0" t="0" r="508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9856" cy="2398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D88F1" w14:textId="20792338" w:rsidR="00697EAC" w:rsidRPr="00A97B5E" w:rsidRDefault="00697EAC" w:rsidP="00697EAC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  <w:r w:rsidRPr="00A97B5E">
        <w:rPr>
          <w:b/>
          <w:color w:val="000000" w:themeColor="text1"/>
          <w:sz w:val="22"/>
        </w:rPr>
        <w:t xml:space="preserve">Figure </w:t>
      </w:r>
      <w:r w:rsidRPr="00A97B5E">
        <w:rPr>
          <w:rFonts w:hint="eastAsia"/>
          <w:b/>
          <w:color w:val="000000" w:themeColor="text1"/>
          <w:sz w:val="22"/>
        </w:rPr>
        <w:t>S</w:t>
      </w:r>
      <w:r>
        <w:rPr>
          <w:b/>
          <w:color w:val="000000" w:themeColor="text1"/>
          <w:sz w:val="22"/>
        </w:rPr>
        <w:t>2</w:t>
      </w:r>
      <w:r w:rsidRPr="00A97B5E">
        <w:rPr>
          <w:b/>
          <w:color w:val="000000" w:themeColor="text1"/>
          <w:sz w:val="22"/>
        </w:rPr>
        <w:t xml:space="preserve"> </w:t>
      </w:r>
      <w:r w:rsidRPr="00A97B5E">
        <w:rPr>
          <w:rFonts w:eastAsia="Times New Roman"/>
          <w:sz w:val="22"/>
        </w:rPr>
        <w:t xml:space="preserve">The </w:t>
      </w:r>
      <w:r>
        <w:rPr>
          <w:rFonts w:eastAsia="Times New Roman"/>
          <w:sz w:val="22"/>
        </w:rPr>
        <w:t>relative percentage of Th2 cells</w:t>
      </w:r>
      <w:r w:rsidRPr="00A97B5E">
        <w:rPr>
          <w:rFonts w:eastAsia="Times New Roman"/>
          <w:sz w:val="22"/>
        </w:rPr>
        <w:t xml:space="preserve"> in the lungs of </w:t>
      </w:r>
      <w:r>
        <w:rPr>
          <w:rFonts w:eastAsia="Times New Roman"/>
          <w:sz w:val="22"/>
        </w:rPr>
        <w:t xml:space="preserve">EV or </w:t>
      </w:r>
      <w:r w:rsidRPr="00A97B5E">
        <w:rPr>
          <w:rFonts w:eastAsia="Times New Roman"/>
          <w:sz w:val="22"/>
        </w:rPr>
        <w:t>NV-treated</w:t>
      </w:r>
      <w:r>
        <w:rPr>
          <w:rFonts w:eastAsia="Times New Roman"/>
          <w:sz w:val="22"/>
        </w:rPr>
        <w:t xml:space="preserve"> mice. </w:t>
      </w:r>
      <w:r w:rsidRPr="00A97B5E">
        <w:rPr>
          <w:rFonts w:eastAsia="Times New Roman"/>
          <w:sz w:val="22"/>
        </w:rPr>
        <w:t xml:space="preserve">Data are presented as the mean ± SEM. </w:t>
      </w:r>
      <w:r w:rsidRPr="00992E92">
        <w:rPr>
          <w:rFonts w:eastAsia="Times New Roman"/>
          <w:sz w:val="22"/>
        </w:rPr>
        <w:t>*</w:t>
      </w:r>
      <w:r w:rsidRPr="00992E92">
        <w:rPr>
          <w:rFonts w:eastAsia="Times New Roman"/>
          <w:i/>
          <w:iCs/>
          <w:sz w:val="22"/>
        </w:rPr>
        <w:t>P</w:t>
      </w:r>
      <w:r w:rsidRPr="00992E92">
        <w:rPr>
          <w:rFonts w:eastAsia="Times New Roman"/>
          <w:sz w:val="22"/>
        </w:rPr>
        <w:t xml:space="preserve"> &lt; 0.05, **</w:t>
      </w:r>
      <w:r w:rsidRPr="00992E92">
        <w:rPr>
          <w:rFonts w:eastAsia="Times New Roman"/>
          <w:i/>
          <w:iCs/>
          <w:sz w:val="22"/>
        </w:rPr>
        <w:t>P</w:t>
      </w:r>
      <w:r w:rsidRPr="00992E92">
        <w:rPr>
          <w:rFonts w:eastAsia="Times New Roman"/>
          <w:sz w:val="22"/>
        </w:rPr>
        <w:t xml:space="preserve"> &lt; 0.01 </w:t>
      </w:r>
      <w:r w:rsidRPr="00A97B5E">
        <w:rPr>
          <w:rFonts w:eastAsia="Times New Roman"/>
          <w:sz w:val="22"/>
        </w:rPr>
        <w:t xml:space="preserve">by one-way ANOVA with Tukey’s </w:t>
      </w:r>
      <w:proofErr w:type="spellStart"/>
      <w:r w:rsidRPr="00A97B5E">
        <w:rPr>
          <w:rFonts w:eastAsia="Times New Roman"/>
          <w:sz w:val="22"/>
        </w:rPr>
        <w:t>post test</w:t>
      </w:r>
      <w:proofErr w:type="spellEnd"/>
      <w:r w:rsidRPr="00A97B5E">
        <w:rPr>
          <w:rFonts w:eastAsia="Times New Roman"/>
          <w:sz w:val="22"/>
        </w:rPr>
        <w:t xml:space="preserve"> (n = 5).</w:t>
      </w:r>
    </w:p>
    <w:p w14:paraId="2840C77D" w14:textId="1033C6CA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2D5DDE9E" w14:textId="4A3BF898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79BCB828" w14:textId="58540F40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2BDA00CA" w14:textId="10579B4B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0BED427F" w14:textId="114ABCEA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7B3E04F1" w14:textId="05115A18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05B9F2E2" w14:textId="287C8A54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4CD3779B" w14:textId="5295655A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485E2026" w14:textId="30293D4F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3921D15F" w14:textId="25F3BD72" w:rsidR="00697EAC" w:rsidRDefault="00697EAC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</w:p>
    <w:p w14:paraId="12B77424" w14:textId="4D81205F" w:rsidR="00697EAC" w:rsidRDefault="00697EAC" w:rsidP="00697EAC">
      <w:pPr>
        <w:wordWrap/>
        <w:spacing w:line="480" w:lineRule="auto"/>
        <w:jc w:val="center"/>
        <w:outlineLvl w:val="0"/>
        <w:rPr>
          <w:b/>
          <w:color w:val="000000" w:themeColor="text1"/>
          <w:sz w:val="22"/>
        </w:rPr>
      </w:pPr>
      <w:r>
        <w:rPr>
          <w:rFonts w:hint="eastAsia"/>
          <w:b/>
          <w:noProof/>
          <w:color w:val="000000" w:themeColor="text1"/>
          <w:sz w:val="22"/>
        </w:rPr>
        <w:lastRenderedPageBreak/>
        <w:drawing>
          <wp:inline distT="0" distB="0" distL="0" distR="0" wp14:anchorId="6DC3CD0D" wp14:editId="4CF9E8AB">
            <wp:extent cx="5727700" cy="3218815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3F353" w14:textId="3AF0181B" w:rsidR="00A7448F" w:rsidRPr="00A97B5E" w:rsidRDefault="00A7448F" w:rsidP="00A7448F">
      <w:pPr>
        <w:wordWrap/>
        <w:spacing w:line="480" w:lineRule="auto"/>
        <w:outlineLvl w:val="0"/>
        <w:rPr>
          <w:b/>
          <w:color w:val="000000" w:themeColor="text1"/>
          <w:sz w:val="22"/>
        </w:rPr>
      </w:pPr>
      <w:r w:rsidRPr="00A97B5E">
        <w:rPr>
          <w:b/>
          <w:color w:val="000000" w:themeColor="text1"/>
          <w:sz w:val="22"/>
        </w:rPr>
        <w:t xml:space="preserve">Figure </w:t>
      </w:r>
      <w:r w:rsidR="005F24BF" w:rsidRPr="00A97B5E">
        <w:rPr>
          <w:rFonts w:hint="eastAsia"/>
          <w:b/>
          <w:color w:val="000000" w:themeColor="text1"/>
          <w:sz w:val="22"/>
        </w:rPr>
        <w:t>S</w:t>
      </w:r>
      <w:r w:rsidR="00697EAC">
        <w:rPr>
          <w:b/>
          <w:color w:val="000000" w:themeColor="text1"/>
          <w:sz w:val="22"/>
        </w:rPr>
        <w:t>3</w:t>
      </w:r>
      <w:r w:rsidRPr="00A97B5E">
        <w:rPr>
          <w:b/>
          <w:color w:val="000000" w:themeColor="text1"/>
          <w:sz w:val="22"/>
        </w:rPr>
        <w:t xml:space="preserve"> </w:t>
      </w:r>
      <w:r w:rsidR="00A97B5E" w:rsidRPr="00A97B5E">
        <w:rPr>
          <w:rFonts w:eastAsia="Times New Roman"/>
          <w:sz w:val="22"/>
        </w:rPr>
        <w:t xml:space="preserve">Effects of EV and NV on airway inflammation in the asthma model. </w:t>
      </w:r>
      <w:r w:rsidR="00A97B5E" w:rsidRPr="00A97B5E">
        <w:rPr>
          <w:rFonts w:eastAsia="Times New Roman"/>
          <w:b/>
          <w:sz w:val="22"/>
        </w:rPr>
        <w:t>A, B</w:t>
      </w:r>
      <w:r w:rsidR="00A97B5E" w:rsidRPr="00A97B5E">
        <w:rPr>
          <w:rFonts w:eastAsia="Times New Roman"/>
          <w:sz w:val="22"/>
        </w:rPr>
        <w:t xml:space="preserve"> Hematoxylin and eosin-stained lung sections (</w:t>
      </w:r>
      <w:r w:rsidR="00A97B5E" w:rsidRPr="00A97B5E">
        <w:rPr>
          <w:rFonts w:eastAsia="Times New Roman"/>
          <w:b/>
          <w:sz w:val="22"/>
        </w:rPr>
        <w:t>A</w:t>
      </w:r>
      <w:r w:rsidR="00A97B5E" w:rsidRPr="00A97B5E">
        <w:rPr>
          <w:rFonts w:eastAsia="Times New Roman"/>
          <w:sz w:val="22"/>
        </w:rPr>
        <w:t>) and inflammation scores (</w:t>
      </w:r>
      <w:r w:rsidR="00A97B5E" w:rsidRPr="00A97B5E">
        <w:rPr>
          <w:rFonts w:eastAsia="Times New Roman"/>
          <w:b/>
          <w:sz w:val="22"/>
        </w:rPr>
        <w:t>B</w:t>
      </w:r>
      <w:r w:rsidR="00A97B5E" w:rsidRPr="00A97B5E">
        <w:rPr>
          <w:rFonts w:eastAsia="Times New Roman"/>
          <w:sz w:val="22"/>
        </w:rPr>
        <w:t>) in animals challenged with OVA and subsequently treated with EV or NV. Magnifications: 400×. Data are presented as the mean ± SEM.</w:t>
      </w:r>
    </w:p>
    <w:p w14:paraId="692A780A" w14:textId="77777777" w:rsidR="00A6370B" w:rsidRPr="00A97B5E" w:rsidRDefault="00A6370B" w:rsidP="00523953">
      <w:pPr>
        <w:spacing w:line="420" w:lineRule="auto"/>
        <w:rPr>
          <w:color w:val="000000" w:themeColor="text1"/>
          <w:sz w:val="22"/>
        </w:rPr>
      </w:pPr>
    </w:p>
    <w:p w14:paraId="1D4BFD03" w14:textId="77777777" w:rsidR="005F24BF" w:rsidRDefault="005F24BF" w:rsidP="00523953">
      <w:pPr>
        <w:spacing w:line="420" w:lineRule="auto"/>
        <w:rPr>
          <w:color w:val="000000" w:themeColor="text1"/>
          <w:sz w:val="22"/>
        </w:rPr>
      </w:pPr>
    </w:p>
    <w:p w14:paraId="07362CB7" w14:textId="77777777" w:rsidR="005F24BF" w:rsidRDefault="005F24BF" w:rsidP="00523953">
      <w:pPr>
        <w:spacing w:line="420" w:lineRule="auto"/>
        <w:rPr>
          <w:color w:val="000000" w:themeColor="text1"/>
          <w:sz w:val="22"/>
        </w:rPr>
      </w:pPr>
    </w:p>
    <w:p w14:paraId="445E2D0A" w14:textId="77777777" w:rsidR="005F24BF" w:rsidRDefault="005F24BF" w:rsidP="00523953">
      <w:pPr>
        <w:spacing w:line="420" w:lineRule="auto"/>
        <w:rPr>
          <w:color w:val="000000" w:themeColor="text1"/>
          <w:sz w:val="22"/>
        </w:rPr>
      </w:pPr>
    </w:p>
    <w:p w14:paraId="6BF2BA30" w14:textId="77777777" w:rsidR="005F24BF" w:rsidRDefault="005F24BF" w:rsidP="00523953">
      <w:pPr>
        <w:spacing w:line="420" w:lineRule="auto"/>
        <w:rPr>
          <w:color w:val="000000" w:themeColor="text1"/>
          <w:sz w:val="22"/>
        </w:rPr>
      </w:pPr>
    </w:p>
    <w:p w14:paraId="59DDB04F" w14:textId="77777777" w:rsidR="005F24BF" w:rsidRDefault="005F24BF" w:rsidP="00523953">
      <w:pPr>
        <w:spacing w:line="420" w:lineRule="auto"/>
        <w:rPr>
          <w:color w:val="000000" w:themeColor="text1"/>
          <w:sz w:val="22"/>
        </w:rPr>
      </w:pPr>
    </w:p>
    <w:p w14:paraId="28C19DB1" w14:textId="77777777" w:rsidR="005F24BF" w:rsidRDefault="005F24BF" w:rsidP="00523953">
      <w:pPr>
        <w:spacing w:line="420" w:lineRule="auto"/>
        <w:rPr>
          <w:color w:val="000000" w:themeColor="text1"/>
          <w:sz w:val="22"/>
        </w:rPr>
      </w:pPr>
    </w:p>
    <w:p w14:paraId="26CB64B9" w14:textId="77777777" w:rsidR="005F24BF" w:rsidRDefault="005F24BF" w:rsidP="00523953">
      <w:pPr>
        <w:spacing w:line="420" w:lineRule="auto"/>
        <w:rPr>
          <w:color w:val="000000" w:themeColor="text1"/>
          <w:sz w:val="22"/>
        </w:rPr>
      </w:pPr>
    </w:p>
    <w:p w14:paraId="63E3C361" w14:textId="77777777" w:rsidR="005F24BF" w:rsidRDefault="005F24BF" w:rsidP="00523953">
      <w:pPr>
        <w:spacing w:line="420" w:lineRule="auto"/>
        <w:rPr>
          <w:color w:val="000000" w:themeColor="text1"/>
          <w:sz w:val="22"/>
        </w:rPr>
      </w:pPr>
    </w:p>
    <w:p w14:paraId="33CB4697" w14:textId="77777777" w:rsidR="005F24BF" w:rsidRDefault="005F24BF" w:rsidP="00523953">
      <w:pPr>
        <w:spacing w:line="420" w:lineRule="auto"/>
        <w:rPr>
          <w:color w:val="000000" w:themeColor="text1"/>
          <w:sz w:val="22"/>
        </w:rPr>
      </w:pPr>
    </w:p>
    <w:p w14:paraId="185FED58" w14:textId="0CF39753" w:rsidR="005F24BF" w:rsidRDefault="00697EAC" w:rsidP="00697EAC">
      <w:pPr>
        <w:spacing w:line="420" w:lineRule="auto"/>
        <w:jc w:val="center"/>
        <w:rPr>
          <w:color w:val="000000" w:themeColor="text1"/>
          <w:sz w:val="22"/>
        </w:rPr>
      </w:pPr>
      <w:r>
        <w:rPr>
          <w:noProof/>
          <w:color w:val="000000" w:themeColor="text1"/>
          <w:sz w:val="22"/>
        </w:rPr>
        <w:lastRenderedPageBreak/>
        <w:drawing>
          <wp:inline distT="0" distB="0" distL="0" distR="0" wp14:anchorId="78010C1D" wp14:editId="733ACAC0">
            <wp:extent cx="5575300" cy="1866900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0FE52" w14:textId="46DC882F" w:rsidR="00FF1818" w:rsidRDefault="005F24BF" w:rsidP="00A7448F">
      <w:pPr>
        <w:wordWrap/>
        <w:spacing w:line="480" w:lineRule="auto"/>
        <w:outlineLvl w:val="0"/>
        <w:rPr>
          <w:rFonts w:eastAsia="Times New Roman"/>
          <w:sz w:val="22"/>
        </w:rPr>
      </w:pPr>
      <w:r w:rsidRPr="00A97B5E">
        <w:rPr>
          <w:b/>
          <w:color w:val="000000" w:themeColor="text1"/>
          <w:sz w:val="22"/>
        </w:rPr>
        <w:t>Figure S</w:t>
      </w:r>
      <w:r w:rsidR="00697EAC">
        <w:rPr>
          <w:b/>
          <w:color w:val="000000" w:themeColor="text1"/>
          <w:sz w:val="22"/>
        </w:rPr>
        <w:t>4</w:t>
      </w:r>
      <w:r w:rsidR="00A7448F" w:rsidRPr="00A97B5E">
        <w:rPr>
          <w:b/>
          <w:color w:val="000000" w:themeColor="text1"/>
          <w:sz w:val="22"/>
        </w:rPr>
        <w:t xml:space="preserve"> </w:t>
      </w:r>
      <w:r w:rsidR="00A97B5E" w:rsidRPr="00A97B5E">
        <w:rPr>
          <w:rFonts w:eastAsia="Times New Roman"/>
          <w:sz w:val="22"/>
        </w:rPr>
        <w:t xml:space="preserve">The different cytokine profiles in the lungs of NV-treated mice depending on the administration route. </w:t>
      </w:r>
      <w:r w:rsidR="00A97B5E" w:rsidRPr="00A97B5E">
        <w:rPr>
          <w:rFonts w:eastAsia="Times New Roman"/>
          <w:b/>
          <w:sz w:val="22"/>
        </w:rPr>
        <w:t>A, B</w:t>
      </w:r>
      <w:r w:rsidR="00A97B5E" w:rsidRPr="00A97B5E">
        <w:rPr>
          <w:rFonts w:eastAsia="Times New Roman"/>
          <w:sz w:val="22"/>
        </w:rPr>
        <w:t xml:space="preserve"> The levels of IL-4 (</w:t>
      </w:r>
      <w:r w:rsidR="00A97B5E" w:rsidRPr="00A97B5E">
        <w:rPr>
          <w:rFonts w:eastAsia="Times New Roman"/>
          <w:b/>
          <w:sz w:val="22"/>
        </w:rPr>
        <w:t>A</w:t>
      </w:r>
      <w:r w:rsidR="00A97B5E" w:rsidRPr="00A97B5E">
        <w:rPr>
          <w:rFonts w:eastAsia="Times New Roman"/>
          <w:sz w:val="22"/>
        </w:rPr>
        <w:t xml:space="preserve">) and </w:t>
      </w:r>
      <w:r w:rsidR="00A97B5E" w:rsidRPr="00A97B5E">
        <w:rPr>
          <w:rFonts w:eastAsia="Times New Roman"/>
          <w:color w:val="000000" w:themeColor="text1"/>
          <w:sz w:val="22"/>
        </w:rPr>
        <w:t>IFN-γ (</w:t>
      </w:r>
      <w:r w:rsidR="00A97B5E" w:rsidRPr="00A97B5E">
        <w:rPr>
          <w:rFonts w:eastAsia="Times New Roman"/>
          <w:b/>
          <w:color w:val="000000" w:themeColor="text1"/>
          <w:sz w:val="22"/>
        </w:rPr>
        <w:t>B</w:t>
      </w:r>
      <w:r w:rsidR="00A97B5E" w:rsidRPr="00A97B5E">
        <w:rPr>
          <w:rFonts w:eastAsia="Times New Roman"/>
          <w:color w:val="000000" w:themeColor="text1"/>
          <w:sz w:val="22"/>
        </w:rPr>
        <w:t>)</w:t>
      </w:r>
      <w:r w:rsidR="00A97B5E" w:rsidRPr="00A97B5E">
        <w:rPr>
          <w:rFonts w:eastAsia="Times New Roman"/>
          <w:sz w:val="22"/>
        </w:rPr>
        <w:t xml:space="preserve"> in the lung tissues. Data are presented as the mean ± SEM. </w:t>
      </w:r>
      <w:r w:rsidR="00992E92" w:rsidRPr="00992E92">
        <w:rPr>
          <w:rFonts w:eastAsia="Times New Roman"/>
          <w:sz w:val="22"/>
        </w:rPr>
        <w:t>*</w:t>
      </w:r>
      <w:r w:rsidR="00992E92" w:rsidRPr="00992E92">
        <w:rPr>
          <w:rFonts w:eastAsia="Times New Roman"/>
          <w:i/>
          <w:iCs/>
          <w:sz w:val="22"/>
        </w:rPr>
        <w:t>P</w:t>
      </w:r>
      <w:r w:rsidR="00992E92" w:rsidRPr="00992E92">
        <w:rPr>
          <w:rFonts w:eastAsia="Times New Roman"/>
          <w:sz w:val="22"/>
        </w:rPr>
        <w:t xml:space="preserve"> &lt; 0.05, **</w:t>
      </w:r>
      <w:r w:rsidR="00992E92" w:rsidRPr="00992E92">
        <w:rPr>
          <w:rFonts w:eastAsia="Times New Roman"/>
          <w:i/>
          <w:iCs/>
          <w:sz w:val="22"/>
        </w:rPr>
        <w:t>P</w:t>
      </w:r>
      <w:r w:rsidR="00992E92" w:rsidRPr="00992E92">
        <w:rPr>
          <w:rFonts w:eastAsia="Times New Roman"/>
          <w:sz w:val="22"/>
        </w:rPr>
        <w:t xml:space="preserve"> &lt; 0.01 </w:t>
      </w:r>
      <w:r w:rsidR="00A97B5E" w:rsidRPr="00A97B5E">
        <w:rPr>
          <w:rFonts w:eastAsia="Times New Roman"/>
          <w:sz w:val="22"/>
        </w:rPr>
        <w:t xml:space="preserve">by one-way ANOVA with Tukey’s </w:t>
      </w:r>
      <w:proofErr w:type="spellStart"/>
      <w:r w:rsidR="00A97B5E" w:rsidRPr="00A97B5E">
        <w:rPr>
          <w:rFonts w:eastAsia="Times New Roman"/>
          <w:sz w:val="22"/>
        </w:rPr>
        <w:t>post test</w:t>
      </w:r>
      <w:proofErr w:type="spellEnd"/>
      <w:r w:rsidR="00A97B5E" w:rsidRPr="00A97B5E">
        <w:rPr>
          <w:rFonts w:eastAsia="Times New Roman"/>
          <w:sz w:val="22"/>
        </w:rPr>
        <w:t xml:space="preserve"> (n = 5).</w:t>
      </w:r>
    </w:p>
    <w:p w14:paraId="156159A7" w14:textId="23C54478" w:rsidR="00697EAC" w:rsidRDefault="00697EAC" w:rsidP="00A7448F">
      <w:pPr>
        <w:wordWrap/>
        <w:spacing w:line="480" w:lineRule="auto"/>
        <w:outlineLvl w:val="0"/>
        <w:rPr>
          <w:rFonts w:eastAsia="Times New Roman"/>
          <w:sz w:val="22"/>
        </w:rPr>
      </w:pPr>
    </w:p>
    <w:p w14:paraId="61E06FBB" w14:textId="5323E3A3" w:rsidR="00697EAC" w:rsidRDefault="00697EAC" w:rsidP="00A7448F">
      <w:pPr>
        <w:wordWrap/>
        <w:spacing w:line="480" w:lineRule="auto"/>
        <w:outlineLvl w:val="0"/>
        <w:rPr>
          <w:rFonts w:eastAsia="Times New Roman"/>
          <w:sz w:val="22"/>
        </w:rPr>
      </w:pPr>
    </w:p>
    <w:p w14:paraId="22E0CF84" w14:textId="5395152A" w:rsidR="00697EAC" w:rsidRDefault="00697EAC" w:rsidP="00A7448F">
      <w:pPr>
        <w:wordWrap/>
        <w:spacing w:line="480" w:lineRule="auto"/>
        <w:outlineLvl w:val="0"/>
        <w:rPr>
          <w:rFonts w:eastAsia="Times New Roman"/>
          <w:sz w:val="22"/>
        </w:rPr>
      </w:pPr>
    </w:p>
    <w:p w14:paraId="1959DB9B" w14:textId="6B98982A" w:rsidR="00697EAC" w:rsidRDefault="00697EAC" w:rsidP="00A7448F">
      <w:pPr>
        <w:wordWrap/>
        <w:spacing w:line="480" w:lineRule="auto"/>
        <w:outlineLvl w:val="0"/>
        <w:rPr>
          <w:rFonts w:eastAsia="Times New Roman"/>
          <w:sz w:val="22"/>
        </w:rPr>
      </w:pPr>
    </w:p>
    <w:p w14:paraId="581286E8" w14:textId="583F2E76" w:rsidR="00697EAC" w:rsidRDefault="00697EAC" w:rsidP="00A7448F">
      <w:pPr>
        <w:wordWrap/>
        <w:spacing w:line="480" w:lineRule="auto"/>
        <w:outlineLvl w:val="0"/>
        <w:rPr>
          <w:rFonts w:eastAsia="Times New Roman"/>
          <w:sz w:val="22"/>
        </w:rPr>
      </w:pPr>
    </w:p>
    <w:p w14:paraId="0AE64886" w14:textId="2AEB2B51" w:rsidR="00697EAC" w:rsidRDefault="00697EAC" w:rsidP="00A7448F">
      <w:pPr>
        <w:wordWrap/>
        <w:spacing w:line="480" w:lineRule="auto"/>
        <w:outlineLvl w:val="0"/>
        <w:rPr>
          <w:rFonts w:eastAsia="Times New Roman"/>
          <w:sz w:val="22"/>
        </w:rPr>
      </w:pPr>
    </w:p>
    <w:p w14:paraId="1AE98C28" w14:textId="02B95F14" w:rsidR="00697EAC" w:rsidRDefault="00697EAC" w:rsidP="00A7448F">
      <w:pPr>
        <w:wordWrap/>
        <w:spacing w:line="480" w:lineRule="auto"/>
        <w:outlineLvl w:val="0"/>
        <w:rPr>
          <w:rFonts w:eastAsia="Times New Roman"/>
          <w:sz w:val="22"/>
        </w:rPr>
      </w:pPr>
    </w:p>
    <w:p w14:paraId="1C8129AE" w14:textId="55CA584A" w:rsidR="00697EAC" w:rsidRDefault="00697EAC" w:rsidP="00A7448F">
      <w:pPr>
        <w:wordWrap/>
        <w:spacing w:line="480" w:lineRule="auto"/>
        <w:outlineLvl w:val="0"/>
        <w:rPr>
          <w:rFonts w:eastAsia="Times New Roman"/>
          <w:sz w:val="22"/>
        </w:rPr>
      </w:pPr>
    </w:p>
    <w:p w14:paraId="4EA9F516" w14:textId="483763D6" w:rsidR="00697EAC" w:rsidRDefault="00697EAC" w:rsidP="00A7448F">
      <w:pPr>
        <w:wordWrap/>
        <w:spacing w:line="480" w:lineRule="auto"/>
        <w:outlineLvl w:val="0"/>
        <w:rPr>
          <w:rFonts w:eastAsia="Times New Roman"/>
          <w:sz w:val="22"/>
        </w:rPr>
      </w:pPr>
    </w:p>
    <w:p w14:paraId="0FFDEBCD" w14:textId="3D344A70" w:rsidR="00697EAC" w:rsidRDefault="00697EAC" w:rsidP="00A7448F">
      <w:pPr>
        <w:wordWrap/>
        <w:spacing w:line="480" w:lineRule="auto"/>
        <w:outlineLvl w:val="0"/>
        <w:rPr>
          <w:rFonts w:eastAsia="Times New Roman"/>
          <w:sz w:val="22"/>
        </w:rPr>
      </w:pPr>
    </w:p>
    <w:p w14:paraId="1A188BCC" w14:textId="50E323E9" w:rsidR="00697EAC" w:rsidRDefault="00697EAC" w:rsidP="00A7448F">
      <w:pPr>
        <w:wordWrap/>
        <w:spacing w:line="480" w:lineRule="auto"/>
        <w:outlineLvl w:val="0"/>
        <w:rPr>
          <w:rFonts w:eastAsia="Times New Roman"/>
          <w:sz w:val="22"/>
        </w:rPr>
      </w:pPr>
    </w:p>
    <w:p w14:paraId="34E5786A" w14:textId="2E659FA4" w:rsidR="00697EAC" w:rsidRDefault="00697EAC" w:rsidP="00A7448F">
      <w:pPr>
        <w:wordWrap/>
        <w:spacing w:line="480" w:lineRule="auto"/>
        <w:outlineLvl w:val="0"/>
        <w:rPr>
          <w:rFonts w:eastAsia="Times New Roman"/>
          <w:sz w:val="22"/>
        </w:rPr>
      </w:pPr>
    </w:p>
    <w:p w14:paraId="0BAA1107" w14:textId="7865E075" w:rsidR="00697EAC" w:rsidRDefault="00777F96" w:rsidP="00777F96">
      <w:pPr>
        <w:wordWrap/>
        <w:spacing w:line="480" w:lineRule="auto"/>
        <w:jc w:val="center"/>
        <w:outlineLvl w:val="0"/>
        <w:rPr>
          <w:rFonts w:eastAsia="Times New Roman"/>
          <w:sz w:val="22"/>
        </w:rPr>
      </w:pPr>
      <w:r>
        <w:rPr>
          <w:rFonts w:eastAsia="Times New Roman"/>
          <w:noProof/>
          <w:sz w:val="22"/>
        </w:rPr>
        <w:lastRenderedPageBreak/>
        <w:drawing>
          <wp:inline distT="0" distB="0" distL="0" distR="0" wp14:anchorId="7760E34F" wp14:editId="40F8FBCE">
            <wp:extent cx="5727700" cy="3225800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B5008" w14:textId="62070898" w:rsidR="00697EAC" w:rsidRPr="00843E87" w:rsidRDefault="00697EAC" w:rsidP="00697EAC">
      <w:pPr>
        <w:wordWrap/>
        <w:spacing w:line="480" w:lineRule="auto"/>
        <w:outlineLvl w:val="0"/>
        <w:rPr>
          <w:color w:val="000000" w:themeColor="text1"/>
        </w:rPr>
      </w:pPr>
      <w:r w:rsidRPr="00A97B5E">
        <w:rPr>
          <w:b/>
          <w:color w:val="000000" w:themeColor="text1"/>
          <w:sz w:val="22"/>
        </w:rPr>
        <w:t>Figure S</w:t>
      </w:r>
      <w:r>
        <w:rPr>
          <w:b/>
          <w:color w:val="000000" w:themeColor="text1"/>
          <w:sz w:val="22"/>
        </w:rPr>
        <w:t>5</w:t>
      </w:r>
      <w:r w:rsidRPr="00A97B5E">
        <w:rPr>
          <w:b/>
          <w:color w:val="000000" w:themeColor="text1"/>
          <w:sz w:val="22"/>
        </w:rPr>
        <w:t xml:space="preserve"> </w:t>
      </w:r>
      <w:r w:rsidR="00777F96" w:rsidRPr="00777F96">
        <w:rPr>
          <w:bCs/>
          <w:color w:val="000000" w:themeColor="text1"/>
          <w:sz w:val="22"/>
        </w:rPr>
        <w:t>The uptake profi</w:t>
      </w:r>
      <w:r w:rsidR="00777F96">
        <w:rPr>
          <w:bCs/>
          <w:color w:val="000000" w:themeColor="text1"/>
          <w:sz w:val="22"/>
        </w:rPr>
        <w:t>l</w:t>
      </w:r>
      <w:r w:rsidR="00777F96" w:rsidRPr="00777F96">
        <w:rPr>
          <w:bCs/>
          <w:color w:val="000000" w:themeColor="text1"/>
          <w:sz w:val="22"/>
        </w:rPr>
        <w:t>e of</w:t>
      </w:r>
      <w:r w:rsidR="00777F96">
        <w:rPr>
          <w:bCs/>
          <w:color w:val="000000" w:themeColor="text1"/>
          <w:sz w:val="22"/>
        </w:rPr>
        <w:t xml:space="preserve"> EV or NV in the macrophage cell line. </w:t>
      </w:r>
      <w:r w:rsidRPr="00A97B5E">
        <w:rPr>
          <w:rFonts w:eastAsia="Times New Roman"/>
          <w:b/>
          <w:sz w:val="22"/>
        </w:rPr>
        <w:t>A</w:t>
      </w:r>
      <w:r w:rsidR="00777F96">
        <w:rPr>
          <w:rFonts w:eastAsia="Times New Roman"/>
          <w:b/>
          <w:sz w:val="22"/>
        </w:rPr>
        <w:t xml:space="preserve"> </w:t>
      </w:r>
      <w:proofErr w:type="spellStart"/>
      <w:r w:rsidR="00777F96">
        <w:rPr>
          <w:rFonts w:eastAsia="Times New Roman"/>
          <w:bCs/>
          <w:sz w:val="22"/>
        </w:rPr>
        <w:t>DiO</w:t>
      </w:r>
      <w:proofErr w:type="spellEnd"/>
      <w:r w:rsidR="00777F96">
        <w:rPr>
          <w:rFonts w:eastAsia="Times New Roman"/>
          <w:bCs/>
          <w:sz w:val="22"/>
        </w:rPr>
        <w:t xml:space="preserve">-labeled EV or NV (green) was treated to RAW 264.7 cells for 6 h. Cell membranes (red) and nucleus (blue) were stained with </w:t>
      </w:r>
      <w:proofErr w:type="spellStart"/>
      <w:r w:rsidR="00777F96">
        <w:rPr>
          <w:rFonts w:eastAsia="Times New Roman"/>
          <w:bCs/>
          <w:sz w:val="22"/>
        </w:rPr>
        <w:t>Cellmask</w:t>
      </w:r>
      <w:proofErr w:type="spellEnd"/>
      <w:r w:rsidR="00777F96">
        <w:rPr>
          <w:rFonts w:eastAsia="Times New Roman"/>
          <w:bCs/>
          <w:sz w:val="22"/>
        </w:rPr>
        <w:t xml:space="preserve"> Deep Red and DAPI. Scale bars, 10 µm. </w:t>
      </w:r>
      <w:r w:rsidR="00777F96" w:rsidRPr="00777F96">
        <w:rPr>
          <w:rFonts w:eastAsia="Times New Roman"/>
          <w:b/>
          <w:sz w:val="22"/>
        </w:rPr>
        <w:t>B</w:t>
      </w:r>
      <w:r w:rsidR="00777F96">
        <w:rPr>
          <w:rFonts w:eastAsia="Times New Roman"/>
          <w:b/>
          <w:sz w:val="22"/>
        </w:rPr>
        <w:t>, C</w:t>
      </w:r>
      <w:r w:rsidR="00777F96">
        <w:rPr>
          <w:rFonts w:eastAsia="Times New Roman"/>
          <w:bCs/>
          <w:sz w:val="22"/>
        </w:rPr>
        <w:t xml:space="preserve"> The uptake efficiency of both vesicles by RAW 264.7 cells (</w:t>
      </w:r>
      <w:r w:rsidR="00777F96" w:rsidRPr="00777F96">
        <w:rPr>
          <w:rFonts w:eastAsia="Times New Roman"/>
          <w:b/>
          <w:sz w:val="22"/>
        </w:rPr>
        <w:t>B</w:t>
      </w:r>
      <w:r w:rsidR="00777F96">
        <w:rPr>
          <w:rFonts w:eastAsia="Times New Roman"/>
          <w:bCs/>
          <w:sz w:val="22"/>
        </w:rPr>
        <w:t>) and MH-S cells (</w:t>
      </w:r>
      <w:r w:rsidR="00777F96" w:rsidRPr="00777F96">
        <w:rPr>
          <w:rFonts w:eastAsia="Times New Roman"/>
          <w:b/>
          <w:sz w:val="22"/>
        </w:rPr>
        <w:t>C</w:t>
      </w:r>
      <w:r w:rsidR="00777F96">
        <w:rPr>
          <w:rFonts w:eastAsia="Times New Roman"/>
          <w:bCs/>
          <w:sz w:val="22"/>
        </w:rPr>
        <w:t xml:space="preserve">) was analyzed by flow cytometry. The results are indicated by the relative percentage of </w:t>
      </w:r>
      <w:proofErr w:type="spellStart"/>
      <w:r w:rsidR="00777F96">
        <w:rPr>
          <w:rFonts w:eastAsia="Times New Roman"/>
          <w:bCs/>
          <w:sz w:val="22"/>
        </w:rPr>
        <w:t>DiO</w:t>
      </w:r>
      <w:proofErr w:type="spellEnd"/>
      <w:r w:rsidR="00777F96">
        <w:rPr>
          <w:rFonts w:eastAsia="Times New Roman"/>
          <w:bCs/>
          <w:sz w:val="22"/>
        </w:rPr>
        <w:t xml:space="preserve">-positive cells. </w:t>
      </w:r>
      <w:r w:rsidRPr="00A97B5E">
        <w:rPr>
          <w:rFonts w:eastAsia="Times New Roman"/>
          <w:sz w:val="22"/>
        </w:rPr>
        <w:t xml:space="preserve">Data are presented as the mean ± SEM. </w:t>
      </w:r>
      <w:r w:rsidR="00777F96">
        <w:rPr>
          <w:rFonts w:eastAsia="Times New Roman"/>
          <w:sz w:val="22"/>
        </w:rPr>
        <w:t>*</w:t>
      </w:r>
      <w:r w:rsidRPr="00992E92">
        <w:rPr>
          <w:rFonts w:eastAsia="Times New Roman"/>
          <w:sz w:val="22"/>
        </w:rPr>
        <w:t>**</w:t>
      </w:r>
      <w:r w:rsidRPr="00992E92">
        <w:rPr>
          <w:rFonts w:eastAsia="Times New Roman"/>
          <w:i/>
          <w:iCs/>
          <w:sz w:val="22"/>
        </w:rPr>
        <w:t>P</w:t>
      </w:r>
      <w:r w:rsidRPr="00992E92">
        <w:rPr>
          <w:rFonts w:eastAsia="Times New Roman"/>
          <w:sz w:val="22"/>
        </w:rPr>
        <w:t xml:space="preserve"> &lt; 0.</w:t>
      </w:r>
      <w:r w:rsidR="00777F96">
        <w:rPr>
          <w:rFonts w:eastAsia="Times New Roman"/>
          <w:sz w:val="22"/>
        </w:rPr>
        <w:t>0</w:t>
      </w:r>
      <w:r w:rsidRPr="00992E92">
        <w:rPr>
          <w:rFonts w:eastAsia="Times New Roman"/>
          <w:sz w:val="22"/>
        </w:rPr>
        <w:t>01</w:t>
      </w:r>
      <w:r w:rsidR="00777F96">
        <w:rPr>
          <w:rFonts w:eastAsia="Times New Roman"/>
          <w:sz w:val="22"/>
        </w:rPr>
        <w:t>; ns, not significant,</w:t>
      </w:r>
      <w:r w:rsidRPr="00992E92">
        <w:rPr>
          <w:rFonts w:eastAsia="Times New Roman"/>
          <w:sz w:val="22"/>
        </w:rPr>
        <w:t xml:space="preserve"> </w:t>
      </w:r>
      <w:r w:rsidRPr="00A97B5E">
        <w:rPr>
          <w:rFonts w:eastAsia="Times New Roman"/>
          <w:sz w:val="22"/>
        </w:rPr>
        <w:t xml:space="preserve">by one-way ANOVA with Tukey’s </w:t>
      </w:r>
      <w:proofErr w:type="spellStart"/>
      <w:r w:rsidRPr="00A97B5E">
        <w:rPr>
          <w:rFonts w:eastAsia="Times New Roman"/>
          <w:sz w:val="22"/>
        </w:rPr>
        <w:t>post test</w:t>
      </w:r>
      <w:proofErr w:type="spellEnd"/>
      <w:r w:rsidRPr="00A97B5E">
        <w:rPr>
          <w:rFonts w:eastAsia="Times New Roman"/>
          <w:sz w:val="22"/>
        </w:rPr>
        <w:t xml:space="preserve"> (n = 5).</w:t>
      </w:r>
    </w:p>
    <w:p w14:paraId="7410D5B9" w14:textId="6DE886BA" w:rsidR="00697EAC" w:rsidRDefault="00697EAC" w:rsidP="00A7448F">
      <w:pPr>
        <w:wordWrap/>
        <w:spacing w:line="480" w:lineRule="auto"/>
        <w:outlineLvl w:val="0"/>
        <w:rPr>
          <w:color w:val="000000" w:themeColor="text1"/>
        </w:rPr>
      </w:pPr>
    </w:p>
    <w:p w14:paraId="0C85872F" w14:textId="0F419C41" w:rsidR="00FB0DCA" w:rsidRDefault="00FB0DCA" w:rsidP="00A7448F">
      <w:pPr>
        <w:wordWrap/>
        <w:spacing w:line="480" w:lineRule="auto"/>
        <w:outlineLvl w:val="0"/>
        <w:rPr>
          <w:color w:val="000000" w:themeColor="text1"/>
        </w:rPr>
      </w:pPr>
    </w:p>
    <w:p w14:paraId="63143118" w14:textId="7BA18F77" w:rsidR="00FB0DCA" w:rsidRDefault="00FB0DCA" w:rsidP="00A7448F">
      <w:pPr>
        <w:wordWrap/>
        <w:spacing w:line="480" w:lineRule="auto"/>
        <w:outlineLvl w:val="0"/>
        <w:rPr>
          <w:color w:val="000000" w:themeColor="text1"/>
        </w:rPr>
      </w:pPr>
    </w:p>
    <w:p w14:paraId="0009B87A" w14:textId="56E99479" w:rsidR="00FB0DCA" w:rsidRDefault="00FB0DCA" w:rsidP="00A7448F">
      <w:pPr>
        <w:wordWrap/>
        <w:spacing w:line="480" w:lineRule="auto"/>
        <w:outlineLvl w:val="0"/>
        <w:rPr>
          <w:color w:val="000000" w:themeColor="text1"/>
        </w:rPr>
      </w:pPr>
    </w:p>
    <w:p w14:paraId="59F1C650" w14:textId="6E6FF198" w:rsidR="00FB0DCA" w:rsidRDefault="00FB0DCA" w:rsidP="00A7448F">
      <w:pPr>
        <w:wordWrap/>
        <w:spacing w:line="480" w:lineRule="auto"/>
        <w:outlineLvl w:val="0"/>
        <w:rPr>
          <w:color w:val="000000" w:themeColor="text1"/>
        </w:rPr>
      </w:pPr>
    </w:p>
    <w:p w14:paraId="57943A7F" w14:textId="597FD6BA" w:rsidR="00FB0DCA" w:rsidRDefault="00FB0DCA" w:rsidP="00A7448F">
      <w:pPr>
        <w:wordWrap/>
        <w:spacing w:line="480" w:lineRule="auto"/>
        <w:outlineLvl w:val="0"/>
        <w:rPr>
          <w:color w:val="000000" w:themeColor="text1"/>
        </w:rPr>
      </w:pPr>
    </w:p>
    <w:p w14:paraId="185D9442" w14:textId="43C01C10" w:rsidR="00FB0DCA" w:rsidRDefault="00FB0DCA" w:rsidP="00A7448F">
      <w:pPr>
        <w:wordWrap/>
        <w:spacing w:line="480" w:lineRule="auto"/>
        <w:outlineLvl w:val="0"/>
        <w:rPr>
          <w:color w:val="000000" w:themeColor="text1"/>
        </w:rPr>
      </w:pPr>
    </w:p>
    <w:p w14:paraId="3C0166DB" w14:textId="6EAC9F99" w:rsidR="00FB0DCA" w:rsidRDefault="00FB0DCA" w:rsidP="00A7448F">
      <w:pPr>
        <w:wordWrap/>
        <w:spacing w:line="480" w:lineRule="auto"/>
        <w:outlineLvl w:val="0"/>
        <w:rPr>
          <w:color w:val="000000" w:themeColor="text1"/>
        </w:rPr>
      </w:pPr>
    </w:p>
    <w:p w14:paraId="77FF3BA7" w14:textId="20F70E0C" w:rsidR="00FB0DCA" w:rsidRDefault="00564CBC" w:rsidP="00564CBC">
      <w:pPr>
        <w:wordWrap/>
        <w:spacing w:line="480" w:lineRule="auto"/>
        <w:jc w:val="center"/>
        <w:outlineLvl w:val="0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33D274FB" wp14:editId="366DCBC1">
            <wp:extent cx="3289730" cy="2209046"/>
            <wp:effectExtent l="0" t="0" r="0" b="127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그림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7074" cy="221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A586E" w14:textId="5450DDCE" w:rsidR="00FB0DCA" w:rsidRPr="00777F96" w:rsidRDefault="00FB0DCA" w:rsidP="00A7448F">
      <w:pPr>
        <w:wordWrap/>
        <w:spacing w:line="480" w:lineRule="auto"/>
        <w:outlineLvl w:val="0"/>
        <w:rPr>
          <w:color w:val="000000" w:themeColor="text1"/>
        </w:rPr>
      </w:pPr>
      <w:r w:rsidRPr="00A97B5E">
        <w:rPr>
          <w:b/>
          <w:color w:val="000000" w:themeColor="text1"/>
          <w:sz w:val="22"/>
        </w:rPr>
        <w:t>Figure S</w:t>
      </w:r>
      <w:r>
        <w:rPr>
          <w:b/>
          <w:color w:val="000000" w:themeColor="text1"/>
          <w:sz w:val="22"/>
        </w:rPr>
        <w:t>6</w:t>
      </w:r>
      <w:r w:rsidRPr="00A97B5E">
        <w:rPr>
          <w:b/>
          <w:color w:val="000000" w:themeColor="text1"/>
          <w:sz w:val="22"/>
        </w:rPr>
        <w:t xml:space="preserve"> </w:t>
      </w:r>
      <w:r w:rsidR="00564CBC">
        <w:rPr>
          <w:bCs/>
          <w:color w:val="000000" w:themeColor="text1"/>
          <w:sz w:val="22"/>
        </w:rPr>
        <w:t xml:space="preserve">IL-10 production by </w:t>
      </w:r>
      <w:r>
        <w:rPr>
          <w:bCs/>
          <w:color w:val="000000" w:themeColor="text1"/>
          <w:sz w:val="22"/>
        </w:rPr>
        <w:t xml:space="preserve">EV or NV in </w:t>
      </w:r>
      <w:r w:rsidR="00564CBC">
        <w:rPr>
          <w:bCs/>
          <w:color w:val="000000" w:themeColor="text1"/>
          <w:sz w:val="22"/>
        </w:rPr>
        <w:t>the macrophage cell line</w:t>
      </w:r>
      <w:r>
        <w:rPr>
          <w:bCs/>
          <w:color w:val="000000" w:themeColor="text1"/>
          <w:sz w:val="22"/>
        </w:rPr>
        <w:t xml:space="preserve">. </w:t>
      </w:r>
      <w:r w:rsidR="00564CBC">
        <w:rPr>
          <w:bCs/>
          <w:color w:val="000000" w:themeColor="text1"/>
          <w:sz w:val="22"/>
        </w:rPr>
        <w:t>RAW 264.7 cells were incubated with EV or NV (10</w:t>
      </w:r>
      <w:r w:rsidR="00564CBC" w:rsidRPr="00564CBC">
        <w:rPr>
          <w:bCs/>
          <w:color w:val="000000" w:themeColor="text1"/>
          <w:sz w:val="22"/>
          <w:vertAlign w:val="superscript"/>
        </w:rPr>
        <w:t>9</w:t>
      </w:r>
      <w:r w:rsidR="00564CBC">
        <w:rPr>
          <w:bCs/>
          <w:color w:val="000000" w:themeColor="text1"/>
          <w:sz w:val="22"/>
        </w:rPr>
        <w:t xml:space="preserve">) for 24 h, and then the concentration of IL-10 in the conditioned medium was measured. </w:t>
      </w:r>
      <w:r w:rsidR="00564CBC" w:rsidRPr="00A97B5E">
        <w:rPr>
          <w:rFonts w:eastAsia="Times New Roman"/>
          <w:sz w:val="22"/>
        </w:rPr>
        <w:t xml:space="preserve">Data are presented as the mean ± SEM. </w:t>
      </w:r>
      <w:r w:rsidR="00564CBC">
        <w:rPr>
          <w:rFonts w:eastAsia="Times New Roman"/>
          <w:sz w:val="22"/>
        </w:rPr>
        <w:t>*</w:t>
      </w:r>
      <w:r w:rsidR="00564CBC" w:rsidRPr="00992E92">
        <w:rPr>
          <w:rFonts w:eastAsia="Times New Roman"/>
          <w:sz w:val="22"/>
        </w:rPr>
        <w:t>**</w:t>
      </w:r>
      <w:r w:rsidR="00564CBC" w:rsidRPr="00992E92">
        <w:rPr>
          <w:rFonts w:eastAsia="Times New Roman"/>
          <w:i/>
          <w:iCs/>
          <w:sz w:val="22"/>
        </w:rPr>
        <w:t>P</w:t>
      </w:r>
      <w:r w:rsidR="00564CBC" w:rsidRPr="00992E92">
        <w:rPr>
          <w:rFonts w:eastAsia="Times New Roman"/>
          <w:sz w:val="22"/>
        </w:rPr>
        <w:t xml:space="preserve"> &lt; 0.</w:t>
      </w:r>
      <w:r w:rsidR="00564CBC">
        <w:rPr>
          <w:rFonts w:eastAsia="Times New Roman"/>
          <w:sz w:val="22"/>
        </w:rPr>
        <w:t>0</w:t>
      </w:r>
      <w:r w:rsidR="00564CBC" w:rsidRPr="00992E92">
        <w:rPr>
          <w:rFonts w:eastAsia="Times New Roman"/>
          <w:sz w:val="22"/>
        </w:rPr>
        <w:t>01</w:t>
      </w:r>
      <w:r w:rsidR="00564CBC">
        <w:rPr>
          <w:rFonts w:eastAsia="Times New Roman"/>
          <w:sz w:val="22"/>
        </w:rPr>
        <w:t xml:space="preserve"> </w:t>
      </w:r>
      <w:r w:rsidR="00564CBC" w:rsidRPr="00A97B5E">
        <w:rPr>
          <w:rFonts w:eastAsia="Times New Roman"/>
          <w:sz w:val="22"/>
        </w:rPr>
        <w:t xml:space="preserve">by one-way ANOVA with Tukey’s </w:t>
      </w:r>
      <w:proofErr w:type="spellStart"/>
      <w:r w:rsidR="00564CBC" w:rsidRPr="00A97B5E">
        <w:rPr>
          <w:rFonts w:eastAsia="Times New Roman"/>
          <w:sz w:val="22"/>
        </w:rPr>
        <w:t>post test</w:t>
      </w:r>
      <w:proofErr w:type="spellEnd"/>
      <w:r w:rsidR="00564CBC" w:rsidRPr="00A97B5E">
        <w:rPr>
          <w:rFonts w:eastAsia="Times New Roman"/>
          <w:sz w:val="22"/>
        </w:rPr>
        <w:t xml:space="preserve"> (n = </w:t>
      </w:r>
      <w:r w:rsidR="00564CBC">
        <w:rPr>
          <w:rFonts w:eastAsia="Times New Roman"/>
          <w:sz w:val="22"/>
        </w:rPr>
        <w:t>3</w:t>
      </w:r>
      <w:r w:rsidR="00564CBC" w:rsidRPr="00A97B5E">
        <w:rPr>
          <w:rFonts w:eastAsia="Times New Roman"/>
          <w:sz w:val="22"/>
        </w:rPr>
        <w:t>).</w:t>
      </w:r>
    </w:p>
    <w:sectPr w:rsidR="00FB0DCA" w:rsidRPr="00777F96" w:rsidSect="008475DF">
      <w:footerReference w:type="even" r:id="rId12"/>
      <w:footerReference w:type="default" r:id="rId13"/>
      <w:pgSz w:w="11900" w:h="16840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3657F" w14:textId="77777777" w:rsidR="00B111E8" w:rsidRDefault="00B111E8" w:rsidP="00C24893">
      <w:pPr>
        <w:spacing w:after="0" w:line="240" w:lineRule="auto"/>
      </w:pPr>
      <w:r>
        <w:separator/>
      </w:r>
    </w:p>
  </w:endnote>
  <w:endnote w:type="continuationSeparator" w:id="0">
    <w:p w14:paraId="1D5A290E" w14:textId="77777777" w:rsidR="00B111E8" w:rsidRDefault="00B111E8" w:rsidP="00C24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4"/>
      </w:rPr>
      <w:id w:val="1410115747"/>
      <w:docPartObj>
        <w:docPartGallery w:val="Page Numbers (Bottom of Page)"/>
        <w:docPartUnique/>
      </w:docPartObj>
    </w:sdtPr>
    <w:sdtContent>
      <w:p w14:paraId="2C4746BC" w14:textId="77777777" w:rsidR="00C24893" w:rsidRDefault="00C24893" w:rsidP="003252E8">
        <w:pPr>
          <w:pStyle w:val="a3"/>
          <w:framePr w:wrap="none" w:vAnchor="text" w:hAnchor="margin" w:xAlign="center" w:y="1"/>
          <w:rPr>
            <w:rStyle w:val="a4"/>
          </w:rPr>
        </w:pPr>
        <w:r>
          <w:rPr>
            <w:rStyle w:val="a4"/>
          </w:rPr>
          <w:fldChar w:fldCharType="begin"/>
        </w:r>
        <w:r>
          <w:rPr>
            <w:rStyle w:val="a4"/>
          </w:rPr>
          <w:instrText xml:space="preserve"> PAGE </w:instrText>
        </w:r>
        <w:r>
          <w:rPr>
            <w:rStyle w:val="a4"/>
          </w:rPr>
          <w:fldChar w:fldCharType="end"/>
        </w:r>
      </w:p>
    </w:sdtContent>
  </w:sdt>
  <w:p w14:paraId="45717556" w14:textId="77777777" w:rsidR="00C24893" w:rsidRDefault="00C2489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4"/>
      </w:rPr>
      <w:id w:val="-831756300"/>
      <w:docPartObj>
        <w:docPartGallery w:val="Page Numbers (Bottom of Page)"/>
        <w:docPartUnique/>
      </w:docPartObj>
    </w:sdtPr>
    <w:sdtContent>
      <w:p w14:paraId="582A319B" w14:textId="77777777" w:rsidR="00C24893" w:rsidRDefault="00C24893" w:rsidP="003252E8">
        <w:pPr>
          <w:pStyle w:val="a3"/>
          <w:framePr w:wrap="none" w:vAnchor="text" w:hAnchor="margin" w:xAlign="center" w:y="1"/>
          <w:rPr>
            <w:rStyle w:val="a4"/>
          </w:rPr>
        </w:pPr>
        <w:r>
          <w:rPr>
            <w:rStyle w:val="a4"/>
          </w:rPr>
          <w:fldChar w:fldCharType="begin"/>
        </w:r>
        <w:r>
          <w:rPr>
            <w:rStyle w:val="a4"/>
          </w:rPr>
          <w:instrText xml:space="preserve"> PAGE </w:instrText>
        </w:r>
        <w:r>
          <w:rPr>
            <w:rStyle w:val="a4"/>
          </w:rPr>
          <w:fldChar w:fldCharType="separate"/>
        </w:r>
        <w:r>
          <w:rPr>
            <w:rStyle w:val="a4"/>
            <w:noProof/>
          </w:rPr>
          <w:t>1</w:t>
        </w:r>
        <w:r>
          <w:rPr>
            <w:rStyle w:val="a4"/>
          </w:rPr>
          <w:fldChar w:fldCharType="end"/>
        </w:r>
      </w:p>
    </w:sdtContent>
  </w:sdt>
  <w:p w14:paraId="65BDDB87" w14:textId="77777777" w:rsidR="00C24893" w:rsidRDefault="00C248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094F6" w14:textId="77777777" w:rsidR="00B111E8" w:rsidRDefault="00B111E8" w:rsidP="00C24893">
      <w:pPr>
        <w:spacing w:after="0" w:line="240" w:lineRule="auto"/>
      </w:pPr>
      <w:r>
        <w:separator/>
      </w:r>
    </w:p>
  </w:footnote>
  <w:footnote w:type="continuationSeparator" w:id="0">
    <w:p w14:paraId="63C6F474" w14:textId="77777777" w:rsidR="00B111E8" w:rsidRDefault="00B111E8" w:rsidP="00C248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x5rtttre9vr21evr58v9258dpapv29szwxf&quot;&gt;My EndNote Library&lt;record-ids&gt;&lt;item&gt;2&lt;/item&gt;&lt;item&gt;3&lt;/item&gt;&lt;item&gt;5&lt;/item&gt;&lt;/record-ids&gt;&lt;/item&gt;&lt;/Libraries&gt;"/>
  </w:docVars>
  <w:rsids>
    <w:rsidRoot w:val="007352D6"/>
    <w:rsid w:val="00035442"/>
    <w:rsid w:val="00050A3B"/>
    <w:rsid w:val="00094C38"/>
    <w:rsid w:val="000C0F3B"/>
    <w:rsid w:val="000C4107"/>
    <w:rsid w:val="000E05CD"/>
    <w:rsid w:val="000E485E"/>
    <w:rsid w:val="00115301"/>
    <w:rsid w:val="0013135D"/>
    <w:rsid w:val="00160D00"/>
    <w:rsid w:val="00164E2B"/>
    <w:rsid w:val="00185875"/>
    <w:rsid w:val="00193490"/>
    <w:rsid w:val="001F3FDD"/>
    <w:rsid w:val="0020505D"/>
    <w:rsid w:val="002156F1"/>
    <w:rsid w:val="00240386"/>
    <w:rsid w:val="002463C4"/>
    <w:rsid w:val="00261D9B"/>
    <w:rsid w:val="00266F08"/>
    <w:rsid w:val="002A4910"/>
    <w:rsid w:val="002D154E"/>
    <w:rsid w:val="002D2378"/>
    <w:rsid w:val="002F2041"/>
    <w:rsid w:val="002F78F1"/>
    <w:rsid w:val="0037137B"/>
    <w:rsid w:val="00373180"/>
    <w:rsid w:val="00386981"/>
    <w:rsid w:val="003E6132"/>
    <w:rsid w:val="004026EB"/>
    <w:rsid w:val="00417CCE"/>
    <w:rsid w:val="00442C4D"/>
    <w:rsid w:val="00490349"/>
    <w:rsid w:val="004B789C"/>
    <w:rsid w:val="004D00B1"/>
    <w:rsid w:val="004F1719"/>
    <w:rsid w:val="00523953"/>
    <w:rsid w:val="00557C5B"/>
    <w:rsid w:val="00564CBC"/>
    <w:rsid w:val="00571F3B"/>
    <w:rsid w:val="00581979"/>
    <w:rsid w:val="005857D4"/>
    <w:rsid w:val="00587D9F"/>
    <w:rsid w:val="005929C3"/>
    <w:rsid w:val="005C382E"/>
    <w:rsid w:val="005F24BF"/>
    <w:rsid w:val="0063145C"/>
    <w:rsid w:val="00634686"/>
    <w:rsid w:val="006444A6"/>
    <w:rsid w:val="00684D30"/>
    <w:rsid w:val="00695092"/>
    <w:rsid w:val="00697EAC"/>
    <w:rsid w:val="006A4FBC"/>
    <w:rsid w:val="006C15A0"/>
    <w:rsid w:val="006D25C3"/>
    <w:rsid w:val="006D5A62"/>
    <w:rsid w:val="006E0F1E"/>
    <w:rsid w:val="006E20B9"/>
    <w:rsid w:val="006E6D44"/>
    <w:rsid w:val="00731D5F"/>
    <w:rsid w:val="007352D6"/>
    <w:rsid w:val="0075067D"/>
    <w:rsid w:val="007564E2"/>
    <w:rsid w:val="00777F96"/>
    <w:rsid w:val="007B73BB"/>
    <w:rsid w:val="00823A43"/>
    <w:rsid w:val="008354B6"/>
    <w:rsid w:val="008370E6"/>
    <w:rsid w:val="00843E87"/>
    <w:rsid w:val="008475DF"/>
    <w:rsid w:val="008528DF"/>
    <w:rsid w:val="008572E0"/>
    <w:rsid w:val="0088727A"/>
    <w:rsid w:val="00891DD2"/>
    <w:rsid w:val="00892D20"/>
    <w:rsid w:val="008A5DE9"/>
    <w:rsid w:val="008C4214"/>
    <w:rsid w:val="008D7217"/>
    <w:rsid w:val="008E1F19"/>
    <w:rsid w:val="008F3319"/>
    <w:rsid w:val="00933BDE"/>
    <w:rsid w:val="00943930"/>
    <w:rsid w:val="00945BFB"/>
    <w:rsid w:val="009728C0"/>
    <w:rsid w:val="00987CDB"/>
    <w:rsid w:val="00992E92"/>
    <w:rsid w:val="00A06A1C"/>
    <w:rsid w:val="00A23779"/>
    <w:rsid w:val="00A6370B"/>
    <w:rsid w:val="00A7006E"/>
    <w:rsid w:val="00A704A2"/>
    <w:rsid w:val="00A7448F"/>
    <w:rsid w:val="00A75748"/>
    <w:rsid w:val="00A85677"/>
    <w:rsid w:val="00A97B5E"/>
    <w:rsid w:val="00AC1013"/>
    <w:rsid w:val="00AD2F48"/>
    <w:rsid w:val="00AE0F67"/>
    <w:rsid w:val="00AF525F"/>
    <w:rsid w:val="00B111E8"/>
    <w:rsid w:val="00B16332"/>
    <w:rsid w:val="00B22209"/>
    <w:rsid w:val="00B72C19"/>
    <w:rsid w:val="00BB55B7"/>
    <w:rsid w:val="00BC1D46"/>
    <w:rsid w:val="00BD0D52"/>
    <w:rsid w:val="00C04D97"/>
    <w:rsid w:val="00C24893"/>
    <w:rsid w:val="00C50E51"/>
    <w:rsid w:val="00C6470D"/>
    <w:rsid w:val="00C65B8E"/>
    <w:rsid w:val="00C85C15"/>
    <w:rsid w:val="00CB6E4D"/>
    <w:rsid w:val="00CC52D3"/>
    <w:rsid w:val="00CF41A0"/>
    <w:rsid w:val="00D05568"/>
    <w:rsid w:val="00D14B55"/>
    <w:rsid w:val="00D338B4"/>
    <w:rsid w:val="00D74896"/>
    <w:rsid w:val="00D8766B"/>
    <w:rsid w:val="00D9122D"/>
    <w:rsid w:val="00D95574"/>
    <w:rsid w:val="00DA0AE8"/>
    <w:rsid w:val="00E0126F"/>
    <w:rsid w:val="00E17E6F"/>
    <w:rsid w:val="00E41690"/>
    <w:rsid w:val="00E47D3F"/>
    <w:rsid w:val="00E63FA0"/>
    <w:rsid w:val="00E8094C"/>
    <w:rsid w:val="00E93728"/>
    <w:rsid w:val="00E9588F"/>
    <w:rsid w:val="00EA0243"/>
    <w:rsid w:val="00EA5B09"/>
    <w:rsid w:val="00F01426"/>
    <w:rsid w:val="00F266FD"/>
    <w:rsid w:val="00F27DEC"/>
    <w:rsid w:val="00F67190"/>
    <w:rsid w:val="00FB0DCA"/>
    <w:rsid w:val="00FD00E1"/>
    <w:rsid w:val="00FD3C62"/>
    <w:rsid w:val="00FF1818"/>
    <w:rsid w:val="00FF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90500B"/>
  <w15:chartTrackingRefBased/>
  <w15:docId w15:val="{2B135A81-A667-3448-8DD0-0D8D3DD9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2D6"/>
    <w:pPr>
      <w:widowControl w:val="0"/>
      <w:wordWrap w:val="0"/>
      <w:autoSpaceDE w:val="0"/>
      <w:autoSpaceDN w:val="0"/>
      <w:spacing w:after="200" w:line="276" w:lineRule="auto"/>
    </w:pPr>
    <w:rPr>
      <w:rFonts w:ascii="Times New Roman" w:eastAsia="굴림" w:hAnsi="Times New Roman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Char"/>
    <w:rsid w:val="00D74896"/>
    <w:pPr>
      <w:spacing w:after="0"/>
      <w:jc w:val="center"/>
    </w:pPr>
  </w:style>
  <w:style w:type="character" w:customStyle="1" w:styleId="EndNoteBibliographyTitleChar">
    <w:name w:val="EndNote Bibliography Title Char"/>
    <w:basedOn w:val="a0"/>
    <w:link w:val="EndNoteBibliographyTitle"/>
    <w:rsid w:val="00D74896"/>
    <w:rPr>
      <w:rFonts w:ascii="Times New Roman" w:eastAsia="굴림" w:hAnsi="Times New Roman" w:cs="Times New Roman"/>
      <w:szCs w:val="22"/>
    </w:rPr>
  </w:style>
  <w:style w:type="paragraph" w:customStyle="1" w:styleId="EndNoteBibliography">
    <w:name w:val="EndNote Bibliography"/>
    <w:basedOn w:val="a"/>
    <w:link w:val="EndNoteBibliographyChar"/>
    <w:rsid w:val="00D74896"/>
    <w:pPr>
      <w:spacing w:line="240" w:lineRule="auto"/>
    </w:pPr>
  </w:style>
  <w:style w:type="character" w:customStyle="1" w:styleId="EndNoteBibliographyChar">
    <w:name w:val="EndNote Bibliography Char"/>
    <w:basedOn w:val="a0"/>
    <w:link w:val="EndNoteBibliography"/>
    <w:rsid w:val="00D74896"/>
    <w:rPr>
      <w:rFonts w:ascii="Times New Roman" w:eastAsia="굴림" w:hAnsi="Times New Roman" w:cs="Times New Roman"/>
      <w:szCs w:val="22"/>
    </w:rPr>
  </w:style>
  <w:style w:type="paragraph" w:styleId="a3">
    <w:name w:val="footer"/>
    <w:basedOn w:val="a"/>
    <w:link w:val="Char"/>
    <w:uiPriority w:val="99"/>
    <w:unhideWhenUsed/>
    <w:rsid w:val="00C2489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C24893"/>
    <w:rPr>
      <w:rFonts w:ascii="Times New Roman" w:eastAsia="굴림" w:hAnsi="Times New Roman" w:cs="Times New Roman"/>
      <w:szCs w:val="22"/>
    </w:rPr>
  </w:style>
  <w:style w:type="character" w:styleId="a4">
    <w:name w:val="page number"/>
    <w:basedOn w:val="a0"/>
    <w:uiPriority w:val="99"/>
    <w:semiHidden/>
    <w:unhideWhenUsed/>
    <w:rsid w:val="00C24893"/>
  </w:style>
  <w:style w:type="character" w:styleId="a5">
    <w:name w:val="line number"/>
    <w:basedOn w:val="a0"/>
    <w:uiPriority w:val="99"/>
    <w:semiHidden/>
    <w:unhideWhenUsed/>
    <w:rsid w:val="00847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t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6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Kyong-Su Park</dc:creator>
  <cp:keywords/>
  <dc:description/>
  <cp:lastModifiedBy>Microsoft Office User</cp:lastModifiedBy>
  <cp:revision>45</cp:revision>
  <dcterms:created xsi:type="dcterms:W3CDTF">2019-10-28T09:10:00Z</dcterms:created>
  <dcterms:modified xsi:type="dcterms:W3CDTF">2022-11-16T07:31:00Z</dcterms:modified>
</cp:coreProperties>
</file>