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D31A7" w14:textId="0D25B10F" w:rsidR="004B7635" w:rsidRPr="00F4005A" w:rsidRDefault="003C064E" w:rsidP="00F4005A">
      <w:pPr>
        <w:spacing w:after="0"/>
        <w:rPr>
          <w:rFonts w:ascii="Arial" w:hAnsi="Arial" w:cs="Arial"/>
          <w:b/>
          <w:bCs/>
          <w:sz w:val="24"/>
          <w:szCs w:val="24"/>
          <w:lang w:val="en-US"/>
        </w:rPr>
      </w:pPr>
      <w:r w:rsidRPr="003C064E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E941DF">
        <w:rPr>
          <w:rFonts w:ascii="Arial" w:hAnsi="Arial" w:cs="Arial"/>
          <w:b/>
          <w:bCs/>
          <w:sz w:val="24"/>
          <w:szCs w:val="24"/>
          <w:lang w:val="en-US"/>
        </w:rPr>
        <w:t>S</w:t>
      </w:r>
      <w:bookmarkStart w:id="0" w:name="_GoBack"/>
      <w:bookmarkEnd w:id="0"/>
      <w:r w:rsidR="00E941DF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3C064E">
        <w:rPr>
          <w:rFonts w:ascii="Arial" w:hAnsi="Arial" w:cs="Arial"/>
          <w:b/>
          <w:bCs/>
          <w:sz w:val="24"/>
          <w:szCs w:val="24"/>
          <w:lang w:val="en-US"/>
        </w:rPr>
        <w:t>: Probe access code for the target pathogens used in the RT-qPCR</w:t>
      </w:r>
      <w:r w:rsidR="004B763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tbl>
      <w:tblPr>
        <w:tblStyle w:val="PlainTable2"/>
        <w:tblpPr w:leftFromText="141" w:rightFromText="141" w:vertAnchor="page" w:horzAnchor="margin" w:tblpXSpec="center" w:tblpY="1241"/>
        <w:tblW w:w="9413" w:type="dxa"/>
        <w:tblLook w:val="06A0" w:firstRow="1" w:lastRow="0" w:firstColumn="1" w:lastColumn="0" w:noHBand="1" w:noVBand="1"/>
      </w:tblPr>
      <w:tblGrid>
        <w:gridCol w:w="2185"/>
        <w:gridCol w:w="5140"/>
        <w:gridCol w:w="2088"/>
      </w:tblGrid>
      <w:tr w:rsidR="0069469E" w:rsidRPr="003C064E" w14:paraId="58A3AAA7" w14:textId="77777777" w:rsidTr="00694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71AE718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Target</w:t>
            </w:r>
          </w:p>
        </w:tc>
        <w:tc>
          <w:tcPr>
            <w:tcW w:w="5140" w:type="dxa"/>
            <w:noWrap/>
            <w:hideMark/>
          </w:tcPr>
          <w:p w14:paraId="4C467C9F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Sequencies / Assay ID</w:t>
            </w:r>
          </w:p>
        </w:tc>
        <w:tc>
          <w:tcPr>
            <w:tcW w:w="2088" w:type="dxa"/>
            <w:noWrap/>
            <w:hideMark/>
          </w:tcPr>
          <w:p w14:paraId="4727B04F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Reference</w:t>
            </w:r>
          </w:p>
        </w:tc>
      </w:tr>
      <w:tr w:rsidR="0069469E" w:rsidRPr="003C064E" w14:paraId="1893782E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 w:val="restart"/>
            <w:noWrap/>
            <w:hideMark/>
          </w:tcPr>
          <w:p w14:paraId="19D6AE5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Human adenovirus type C</w:t>
            </w:r>
          </w:p>
        </w:tc>
        <w:tc>
          <w:tcPr>
            <w:tcW w:w="5140" w:type="dxa"/>
            <w:noWrap/>
            <w:hideMark/>
          </w:tcPr>
          <w:p w14:paraId="5BEB5277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VTB2-HAdVCf - GAGACGTACTTCAGCCTGAAT</w:t>
            </w:r>
          </w:p>
        </w:tc>
        <w:tc>
          <w:tcPr>
            <w:tcW w:w="2088" w:type="dxa"/>
            <w:vMerge w:val="restart"/>
            <w:noWrap/>
            <w:hideMark/>
          </w:tcPr>
          <w:p w14:paraId="6DC779AB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(Wolf, 2010)</w:t>
            </w:r>
          </w:p>
        </w:tc>
      </w:tr>
      <w:tr w:rsidR="0069469E" w:rsidRPr="003C064E" w14:paraId="21FCBA12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  <w:hideMark/>
          </w:tcPr>
          <w:p w14:paraId="6C763548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140" w:type="dxa"/>
            <w:noWrap/>
            <w:hideMark/>
          </w:tcPr>
          <w:p w14:paraId="0DE6EA5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VTB2-HAdVCr - GATGAACCGCAGCGTCAA</w:t>
            </w:r>
          </w:p>
        </w:tc>
        <w:tc>
          <w:tcPr>
            <w:tcW w:w="2088" w:type="dxa"/>
            <w:vMerge/>
            <w:hideMark/>
          </w:tcPr>
          <w:p w14:paraId="6EB7F34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69E" w:rsidRPr="003C064E" w14:paraId="0815C614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  <w:hideMark/>
          </w:tcPr>
          <w:p w14:paraId="777AFEE8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140" w:type="dxa"/>
            <w:noWrap/>
            <w:hideMark/>
          </w:tcPr>
          <w:p w14:paraId="4491F73A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VTB2-HAdVCprobe - CCTACGCACGACGTGACCACAGA</w:t>
            </w:r>
          </w:p>
        </w:tc>
        <w:tc>
          <w:tcPr>
            <w:tcW w:w="2088" w:type="dxa"/>
            <w:vMerge/>
            <w:hideMark/>
          </w:tcPr>
          <w:p w14:paraId="2EC64A1B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69E" w:rsidRPr="003C064E" w14:paraId="49FE6C79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465C9FB1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Bocavirus</w:t>
            </w:r>
          </w:p>
        </w:tc>
        <w:tc>
          <w:tcPr>
            <w:tcW w:w="5140" w:type="dxa"/>
            <w:noWrap/>
            <w:hideMark/>
          </w:tcPr>
          <w:p w14:paraId="6A672C81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Vi99990003_po</w:t>
            </w:r>
          </w:p>
        </w:tc>
        <w:tc>
          <w:tcPr>
            <w:tcW w:w="2088" w:type="dxa"/>
            <w:noWrap/>
            <w:hideMark/>
          </w:tcPr>
          <w:p w14:paraId="13233D9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pt-PT" w:eastAsia="pt-BR"/>
              </w:rPr>
              <w:t>ThermoFisher Scientific</w:t>
            </w:r>
          </w:p>
        </w:tc>
      </w:tr>
      <w:tr w:rsidR="0069469E" w:rsidRPr="003C064E" w14:paraId="67488A11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409434A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Coronavirus 229E</w:t>
            </w:r>
          </w:p>
        </w:tc>
        <w:tc>
          <w:tcPr>
            <w:tcW w:w="5140" w:type="dxa"/>
            <w:noWrap/>
            <w:hideMark/>
          </w:tcPr>
          <w:p w14:paraId="10B4A437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Vi06439671_s1</w:t>
            </w:r>
          </w:p>
        </w:tc>
        <w:tc>
          <w:tcPr>
            <w:tcW w:w="2088" w:type="dxa"/>
            <w:noWrap/>
            <w:hideMark/>
          </w:tcPr>
          <w:p w14:paraId="7D0C98A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2B56F6C7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 w:val="restart"/>
            <w:noWrap/>
            <w:hideMark/>
          </w:tcPr>
          <w:p w14:paraId="64E59AE5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SARS-COV-2 - gene E</w:t>
            </w:r>
          </w:p>
        </w:tc>
        <w:tc>
          <w:tcPr>
            <w:tcW w:w="5140" w:type="dxa"/>
            <w:noWrap/>
            <w:hideMark/>
          </w:tcPr>
          <w:p w14:paraId="5774328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E -Sarbeco-F ACAGGTACGTTAATAGTTAATAGCGT</w:t>
            </w:r>
          </w:p>
        </w:tc>
        <w:tc>
          <w:tcPr>
            <w:tcW w:w="2088" w:type="dxa"/>
            <w:vMerge w:val="restart"/>
            <w:noWrap/>
            <w:hideMark/>
          </w:tcPr>
          <w:p w14:paraId="1FC38877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(Charité, 2020)</w:t>
            </w:r>
          </w:p>
        </w:tc>
      </w:tr>
      <w:tr w:rsidR="0069469E" w:rsidRPr="003C064E" w14:paraId="7F2BCA5A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  <w:hideMark/>
          </w:tcPr>
          <w:p w14:paraId="4245F6F3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140" w:type="dxa"/>
            <w:noWrap/>
            <w:hideMark/>
          </w:tcPr>
          <w:p w14:paraId="111FAD2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E_Sarbeco_R ATATTGCAGCAGTACGCACACA</w:t>
            </w:r>
          </w:p>
        </w:tc>
        <w:tc>
          <w:tcPr>
            <w:tcW w:w="2088" w:type="dxa"/>
            <w:vMerge/>
            <w:hideMark/>
          </w:tcPr>
          <w:p w14:paraId="0741B790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9469E" w:rsidRPr="003C064E" w14:paraId="4868FDC5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vMerge/>
            <w:hideMark/>
          </w:tcPr>
          <w:p w14:paraId="4DFEE3FE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140" w:type="dxa"/>
            <w:noWrap/>
            <w:hideMark/>
          </w:tcPr>
          <w:p w14:paraId="467D668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E_Sarbeco_P FAM ACACTAGCCATCCTTACTGCGCTTCGBBQ</w:t>
            </w:r>
          </w:p>
        </w:tc>
        <w:tc>
          <w:tcPr>
            <w:tcW w:w="2088" w:type="dxa"/>
            <w:vMerge/>
            <w:hideMark/>
          </w:tcPr>
          <w:p w14:paraId="53D25DE5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69469E" w:rsidRPr="003C064E" w14:paraId="1AE2FF12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7EDC57C3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Human Enterovirus - PAN</w:t>
            </w:r>
          </w:p>
        </w:tc>
        <w:tc>
          <w:tcPr>
            <w:tcW w:w="5140" w:type="dxa"/>
            <w:noWrap/>
            <w:hideMark/>
          </w:tcPr>
          <w:p w14:paraId="661FD4F0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Vi06439631_s1</w:t>
            </w:r>
          </w:p>
        </w:tc>
        <w:tc>
          <w:tcPr>
            <w:tcW w:w="2088" w:type="dxa"/>
            <w:noWrap/>
            <w:hideMark/>
          </w:tcPr>
          <w:p w14:paraId="6E38FA30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pt-PT" w:eastAsia="pt-BR"/>
              </w:rPr>
              <w:t>ThermoFisher Scientific</w:t>
            </w:r>
          </w:p>
        </w:tc>
      </w:tr>
      <w:tr w:rsidR="0069469E" w:rsidRPr="003C064E" w14:paraId="02E6927D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1160244B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Influenza A - H1</w:t>
            </w:r>
          </w:p>
        </w:tc>
        <w:tc>
          <w:tcPr>
            <w:tcW w:w="5140" w:type="dxa"/>
            <w:noWrap/>
            <w:hideMark/>
          </w:tcPr>
          <w:p w14:paraId="305D010D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Vi99990009_po</w:t>
            </w:r>
          </w:p>
        </w:tc>
        <w:tc>
          <w:tcPr>
            <w:tcW w:w="2088" w:type="dxa"/>
            <w:noWrap/>
            <w:hideMark/>
          </w:tcPr>
          <w:p w14:paraId="7AFE253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4D557F0A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628E8147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Influenza B - PAN</w:t>
            </w:r>
          </w:p>
        </w:tc>
        <w:tc>
          <w:tcPr>
            <w:tcW w:w="5140" w:type="dxa"/>
            <w:noWrap/>
            <w:hideMark/>
          </w:tcPr>
          <w:p w14:paraId="10025FA8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Vi06439668_s1</w:t>
            </w:r>
          </w:p>
        </w:tc>
        <w:tc>
          <w:tcPr>
            <w:tcW w:w="2088" w:type="dxa"/>
            <w:noWrap/>
            <w:hideMark/>
          </w:tcPr>
          <w:p w14:paraId="461C78DD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5CEC08B1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63F78AC8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 xml:space="preserve">Metapneumovírus </w:t>
            </w:r>
          </w:p>
        </w:tc>
        <w:tc>
          <w:tcPr>
            <w:tcW w:w="5140" w:type="dxa"/>
            <w:noWrap/>
            <w:hideMark/>
          </w:tcPr>
          <w:p w14:paraId="2A9406EE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Vi99990004_po</w:t>
            </w:r>
          </w:p>
        </w:tc>
        <w:tc>
          <w:tcPr>
            <w:tcW w:w="2088" w:type="dxa"/>
            <w:noWrap/>
            <w:hideMark/>
          </w:tcPr>
          <w:p w14:paraId="0BDA9DFF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0AD8BEA6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66164BF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Parainfluenza 1</w:t>
            </w:r>
          </w:p>
        </w:tc>
        <w:tc>
          <w:tcPr>
            <w:tcW w:w="5140" w:type="dxa"/>
            <w:noWrap/>
            <w:hideMark/>
          </w:tcPr>
          <w:p w14:paraId="006CF82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Vi06439642_s1</w:t>
            </w:r>
          </w:p>
        </w:tc>
        <w:tc>
          <w:tcPr>
            <w:tcW w:w="2088" w:type="dxa"/>
            <w:noWrap/>
            <w:hideMark/>
          </w:tcPr>
          <w:p w14:paraId="6F78DD90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635B36DD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3816A386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Parainfluenza 2</w:t>
            </w:r>
          </w:p>
        </w:tc>
        <w:tc>
          <w:tcPr>
            <w:tcW w:w="5140" w:type="dxa"/>
            <w:noWrap/>
            <w:hideMark/>
          </w:tcPr>
          <w:p w14:paraId="578C0E84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Vi06439672_s1</w:t>
            </w:r>
          </w:p>
        </w:tc>
        <w:tc>
          <w:tcPr>
            <w:tcW w:w="2088" w:type="dxa"/>
            <w:noWrap/>
            <w:hideMark/>
          </w:tcPr>
          <w:p w14:paraId="3315B8B1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773552E3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3D54B0F3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Parainfluenza 3</w:t>
            </w:r>
          </w:p>
        </w:tc>
        <w:tc>
          <w:tcPr>
            <w:tcW w:w="5140" w:type="dxa"/>
            <w:noWrap/>
            <w:hideMark/>
          </w:tcPr>
          <w:p w14:paraId="75152CFF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Vi06439670_s1</w:t>
            </w:r>
          </w:p>
        </w:tc>
        <w:tc>
          <w:tcPr>
            <w:tcW w:w="2088" w:type="dxa"/>
            <w:noWrap/>
            <w:hideMark/>
          </w:tcPr>
          <w:p w14:paraId="486C20DB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074DDBA8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53B9CCCB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Parainfluenza 4</w:t>
            </w:r>
          </w:p>
        </w:tc>
        <w:tc>
          <w:tcPr>
            <w:tcW w:w="5140" w:type="dxa"/>
            <w:noWrap/>
            <w:hideMark/>
          </w:tcPr>
          <w:p w14:paraId="19F26B2E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Vi99990005_po</w:t>
            </w:r>
          </w:p>
        </w:tc>
        <w:tc>
          <w:tcPr>
            <w:tcW w:w="2088" w:type="dxa"/>
            <w:noWrap/>
            <w:hideMark/>
          </w:tcPr>
          <w:p w14:paraId="0406789D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691683AA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50F06D7C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Respiratory Syncytial Virus A</w:t>
            </w:r>
          </w:p>
        </w:tc>
        <w:tc>
          <w:tcPr>
            <w:tcW w:w="5140" w:type="dxa"/>
            <w:noWrap/>
            <w:hideMark/>
          </w:tcPr>
          <w:p w14:paraId="32A50364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Vi99990014</w:t>
            </w:r>
          </w:p>
        </w:tc>
        <w:tc>
          <w:tcPr>
            <w:tcW w:w="2088" w:type="dxa"/>
            <w:noWrap/>
            <w:hideMark/>
          </w:tcPr>
          <w:p w14:paraId="7F7FE8E5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5BB78459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1FC5EEF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Respiratory Syncytial Virus B</w:t>
            </w:r>
          </w:p>
        </w:tc>
        <w:tc>
          <w:tcPr>
            <w:tcW w:w="5140" w:type="dxa"/>
            <w:noWrap/>
            <w:hideMark/>
          </w:tcPr>
          <w:p w14:paraId="076C79C2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Vi99990015</w:t>
            </w:r>
          </w:p>
        </w:tc>
        <w:tc>
          <w:tcPr>
            <w:tcW w:w="2088" w:type="dxa"/>
            <w:noWrap/>
            <w:hideMark/>
          </w:tcPr>
          <w:p w14:paraId="6787B1A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579ED07F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2A5D3003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Rhinovirus 1</w:t>
            </w:r>
          </w:p>
        </w:tc>
        <w:tc>
          <w:tcPr>
            <w:tcW w:w="5140" w:type="dxa"/>
            <w:noWrap/>
            <w:hideMark/>
          </w:tcPr>
          <w:p w14:paraId="5407A939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Vi99990016_po</w:t>
            </w:r>
          </w:p>
        </w:tc>
        <w:tc>
          <w:tcPr>
            <w:tcW w:w="2088" w:type="dxa"/>
            <w:noWrap/>
            <w:hideMark/>
          </w:tcPr>
          <w:p w14:paraId="44F3CA25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  <w:tr w:rsidR="0069469E" w:rsidRPr="003C064E" w14:paraId="076A89DF" w14:textId="77777777" w:rsidTr="0069469E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noWrap/>
            <w:hideMark/>
          </w:tcPr>
          <w:p w14:paraId="02B176ED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pt-BR"/>
              </w:rPr>
              <w:t>Rhinovirus 2</w:t>
            </w:r>
          </w:p>
        </w:tc>
        <w:tc>
          <w:tcPr>
            <w:tcW w:w="5140" w:type="dxa"/>
            <w:noWrap/>
            <w:hideMark/>
          </w:tcPr>
          <w:p w14:paraId="6D2C0CF4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Vi99990017_po</w:t>
            </w:r>
          </w:p>
        </w:tc>
        <w:tc>
          <w:tcPr>
            <w:tcW w:w="2088" w:type="dxa"/>
            <w:noWrap/>
            <w:hideMark/>
          </w:tcPr>
          <w:p w14:paraId="4DF9E8F3" w14:textId="77777777" w:rsidR="0069469E" w:rsidRPr="003C064E" w:rsidRDefault="0069469E" w:rsidP="0069469E">
            <w:pPr>
              <w:widowControl/>
              <w:autoSpaceDE/>
              <w:autoSpaceDN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C064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t-BR"/>
              </w:rPr>
              <w:t>ThermoFisher Scientific</w:t>
            </w:r>
          </w:p>
        </w:tc>
      </w:tr>
    </w:tbl>
    <w:p w14:paraId="3E3A928B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BD1455A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1622CEF6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1CDE5F4F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EF32BFE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69B70D1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8DA30D2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1B09BDF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C761CB8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4BFABDA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1338F6E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AAF0C27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09EFEBD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7BBB5DE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60BA7EF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8C5FDD1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9F9FEB5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A8DF404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4264191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A660768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E7C6E02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34D2324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9CE73B0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6E53831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40B39F0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94F99BA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6ED1EB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1E588D1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9DAECF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01A2614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5A473BB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00E557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1E7EC025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AED532E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9978784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0A63600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E152F1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7F48EF2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73F4138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E38AE21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BF8056B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72F865D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125101C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9580320" w14:textId="77777777" w:rsidR="0069469E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612CA236" w14:textId="2AD61242" w:rsidR="00436FF0" w:rsidRPr="009D7789" w:rsidRDefault="0069469E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2E784D">
        <w:rPr>
          <w:rFonts w:ascii="Arial" w:hAnsi="Arial" w:cs="Arial"/>
          <w:sz w:val="24"/>
          <w:szCs w:val="24"/>
          <w:lang w:val="en-US"/>
        </w:rPr>
        <w:t xml:space="preserve">WOLF, S. Viral </w:t>
      </w:r>
      <w:r w:rsidR="00436FF0" w:rsidRPr="002E784D">
        <w:rPr>
          <w:rFonts w:ascii="Arial" w:hAnsi="Arial" w:cs="Arial"/>
          <w:sz w:val="24"/>
          <w:szCs w:val="24"/>
          <w:lang w:val="en-US"/>
        </w:rPr>
        <w:t xml:space="preserve">multiplex quantitative PCR assays for tracking sources of fecal contamination. </w:t>
      </w:r>
      <w:r w:rsidR="00436FF0" w:rsidRPr="009D7789">
        <w:rPr>
          <w:rFonts w:ascii="Arial" w:hAnsi="Arial" w:cs="Arial"/>
          <w:sz w:val="24"/>
          <w:szCs w:val="24"/>
          <w:lang w:val="en-US"/>
        </w:rPr>
        <w:t>Applied and Environmental Microbiology, v. 76, n. 5, p. 1388–1394, 2010.</w:t>
      </w:r>
    </w:p>
    <w:p w14:paraId="17707663" w14:textId="77777777" w:rsidR="00436FF0" w:rsidRPr="002E784D" w:rsidRDefault="00436FF0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3C8ACA8B" w14:textId="71874604" w:rsidR="002E784D" w:rsidRPr="002E784D" w:rsidRDefault="002E784D" w:rsidP="00F4005A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2E784D">
        <w:rPr>
          <w:rFonts w:ascii="Arial" w:hAnsi="Arial" w:cs="Arial"/>
          <w:sz w:val="24"/>
          <w:szCs w:val="24"/>
          <w:lang w:val="en-US"/>
        </w:rPr>
        <w:t xml:space="preserve">CORMAN, V. et al. Diagnostic detection of 2019-nCoV by real-time RT-RCR. </w:t>
      </w:r>
      <w:r w:rsidRPr="002E784D">
        <w:rPr>
          <w:rFonts w:ascii="Arial" w:hAnsi="Arial" w:cs="Arial"/>
          <w:sz w:val="24"/>
          <w:szCs w:val="24"/>
        </w:rPr>
        <w:t>C</w:t>
      </w:r>
      <w:r w:rsidR="0069469E">
        <w:rPr>
          <w:rFonts w:ascii="Arial" w:hAnsi="Arial" w:cs="Arial"/>
          <w:sz w:val="24"/>
          <w:szCs w:val="24"/>
        </w:rPr>
        <w:t>h</w:t>
      </w:r>
      <w:r w:rsidRPr="002E784D">
        <w:rPr>
          <w:rFonts w:ascii="Arial" w:hAnsi="Arial" w:cs="Arial"/>
          <w:sz w:val="24"/>
          <w:szCs w:val="24"/>
        </w:rPr>
        <w:t>arité Berlin, p. 13, 2020.</w:t>
      </w:r>
    </w:p>
    <w:sectPr w:rsidR="002E784D" w:rsidRPr="002E784D" w:rsidSect="00993537">
      <w:type w:val="continuous"/>
      <w:pgSz w:w="11910" w:h="16850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8962F" w14:textId="77777777" w:rsidR="0081533C" w:rsidRDefault="0081533C" w:rsidP="00436FF0">
      <w:pPr>
        <w:spacing w:after="0" w:line="240" w:lineRule="auto"/>
      </w:pPr>
      <w:r>
        <w:separator/>
      </w:r>
    </w:p>
  </w:endnote>
  <w:endnote w:type="continuationSeparator" w:id="0">
    <w:p w14:paraId="16E76C12" w14:textId="77777777" w:rsidR="0081533C" w:rsidRDefault="0081533C" w:rsidP="0043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55833" w14:textId="77777777" w:rsidR="0081533C" w:rsidRDefault="0081533C" w:rsidP="00436FF0">
      <w:pPr>
        <w:spacing w:after="0" w:line="240" w:lineRule="auto"/>
      </w:pPr>
      <w:r>
        <w:separator/>
      </w:r>
    </w:p>
  </w:footnote>
  <w:footnote w:type="continuationSeparator" w:id="0">
    <w:p w14:paraId="47B31EF7" w14:textId="77777777" w:rsidR="0081533C" w:rsidRDefault="0081533C" w:rsidP="00436F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A3"/>
    <w:rsid w:val="00073170"/>
    <w:rsid w:val="00104391"/>
    <w:rsid w:val="00265BE1"/>
    <w:rsid w:val="002E784D"/>
    <w:rsid w:val="003C064E"/>
    <w:rsid w:val="00436FF0"/>
    <w:rsid w:val="004B7635"/>
    <w:rsid w:val="0069469E"/>
    <w:rsid w:val="006D0612"/>
    <w:rsid w:val="00720DBC"/>
    <w:rsid w:val="0081533C"/>
    <w:rsid w:val="008657B2"/>
    <w:rsid w:val="00993537"/>
    <w:rsid w:val="009D7789"/>
    <w:rsid w:val="00AB61A3"/>
    <w:rsid w:val="00B27FA1"/>
    <w:rsid w:val="00B448B4"/>
    <w:rsid w:val="00C23252"/>
    <w:rsid w:val="00E941DF"/>
    <w:rsid w:val="00F4005A"/>
    <w:rsid w:val="00FA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10147D"/>
  <w15:chartTrackingRefBased/>
  <w15:docId w15:val="{EC18A3CD-919A-4958-87CC-C59D3AA4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AB61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B61A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36F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F0"/>
  </w:style>
  <w:style w:type="paragraph" w:styleId="Footer">
    <w:name w:val="footer"/>
    <w:basedOn w:val="Normal"/>
    <w:link w:val="FooterChar"/>
    <w:uiPriority w:val="99"/>
    <w:unhideWhenUsed/>
    <w:rsid w:val="00436F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Rhoden</dc:creator>
  <cp:keywords/>
  <dc:description/>
  <cp:lastModifiedBy>Aarthi K.</cp:lastModifiedBy>
  <cp:revision>14</cp:revision>
  <cp:lastPrinted>2023-10-19T13:41:00Z</cp:lastPrinted>
  <dcterms:created xsi:type="dcterms:W3CDTF">2023-06-22T16:27:00Z</dcterms:created>
  <dcterms:modified xsi:type="dcterms:W3CDTF">2024-02-02T10:46:00Z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3e202d55-5973-4a3b-ae87-d6ac3380df67</vt:lpwstr>
  </property>
</Properties>
</file>