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C99E" w14:textId="1183CE1D" w:rsidR="00B16624" w:rsidRDefault="00B16624" w:rsidP="00B16624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Supplemental Figure 2 </w:t>
      </w:r>
      <w:r>
        <w:rPr>
          <w:rFonts w:ascii="Times New Roman" w:hAnsi="Times New Roman" w:cs="Times New Roman"/>
          <w:bCs/>
          <w:i/>
          <w:iCs/>
          <w:szCs w:val="21"/>
        </w:rPr>
        <w:t>Bhlhe40</w:t>
      </w:r>
      <w:r>
        <w:rPr>
          <w:rFonts w:ascii="Times New Roman" w:hAnsi="Times New Roman" w:cs="Times New Roman"/>
          <w:bCs/>
          <w:szCs w:val="21"/>
        </w:rPr>
        <w:t xml:space="preserve"> deficiency inhibits caspase-1-mediated and caspase-11-mediated inflammatory pathways in LPS-induced ALI mice. (A-B) Quantified analysis </w:t>
      </w:r>
      <w:r>
        <w:rPr>
          <w:rFonts w:ascii="Times New Roman" w:hAnsi="Times New Roman" w:cs="Times New Roman"/>
          <w:szCs w:val="21"/>
        </w:rPr>
        <w:t>of GSDMD</w:t>
      </w:r>
      <w:r>
        <w:rPr>
          <w:rFonts w:ascii="Times New Roman" w:hAnsi="Times New Roman" w:cs="Times New Roman"/>
          <w:szCs w:val="21"/>
          <w:vertAlign w:val="superscript"/>
        </w:rPr>
        <w:t>NT</w:t>
      </w:r>
      <w:r>
        <w:rPr>
          <w:rFonts w:ascii="Times New Roman" w:hAnsi="Times New Roman" w:cs="Times New Roman"/>
          <w:szCs w:val="21"/>
        </w:rPr>
        <w:t xml:space="preserve"> and cleaved IL-1</w:t>
      </w:r>
      <w:r>
        <w:rPr>
          <w:rFonts w:ascii="Times New Roman" w:hAnsi="Times New Roman" w:cs="Times New Roman" w:hint="eastAsia"/>
          <w:szCs w:val="21"/>
        </w:rPr>
        <w:t>β</w:t>
      </w:r>
      <w:r>
        <w:rPr>
          <w:rFonts w:ascii="Times New Roman" w:hAnsi="Times New Roman" w:cs="Times New Roman"/>
          <w:szCs w:val="21"/>
        </w:rPr>
        <w:t xml:space="preserve"> by Western blot. (C) Quantified </w:t>
      </w:r>
      <w:r>
        <w:rPr>
          <w:rFonts w:ascii="Times New Roman" w:hAnsi="Times New Roman" w:cs="Times New Roman"/>
          <w:bCs/>
          <w:szCs w:val="21"/>
        </w:rPr>
        <w:t xml:space="preserve">analysis </w:t>
      </w:r>
      <w:r>
        <w:rPr>
          <w:rFonts w:ascii="Times New Roman" w:hAnsi="Times New Roman" w:cs="Times New Roman"/>
          <w:szCs w:val="21"/>
        </w:rPr>
        <w:t xml:space="preserve">of </w:t>
      </w:r>
      <w:r>
        <w:rPr>
          <w:rFonts w:ascii="Times New Roman" w:eastAsia="SimSun" w:hAnsi="Times New Roman" w:cs="Times New Roman"/>
          <w:szCs w:val="21"/>
        </w:rPr>
        <w:t xml:space="preserve">cleaved </w:t>
      </w:r>
      <w:proofErr w:type="gramStart"/>
      <w:r>
        <w:rPr>
          <w:rFonts w:ascii="Times New Roman" w:eastAsia="SimSun" w:hAnsi="Times New Roman" w:cs="Times New Roman"/>
          <w:szCs w:val="21"/>
        </w:rPr>
        <w:t>caspase-1</w:t>
      </w:r>
      <w:proofErr w:type="gramEnd"/>
      <w:r>
        <w:rPr>
          <w:rFonts w:ascii="Times New Roman" w:eastAsia="SimSun" w:hAnsi="Times New Roman" w:cs="Times New Roman"/>
          <w:szCs w:val="21"/>
        </w:rPr>
        <w:t>, NLRP3 and ASC</w:t>
      </w:r>
      <w:r>
        <w:rPr>
          <w:rFonts w:ascii="Times New Roman" w:hAnsi="Times New Roman" w:cs="Times New Roman"/>
          <w:szCs w:val="21"/>
        </w:rPr>
        <w:t xml:space="preserve"> by Western blot. (D) The mRNA expression of </w:t>
      </w:r>
      <w:r>
        <w:rPr>
          <w:rFonts w:ascii="Times New Roman" w:hAnsi="Times New Roman" w:cs="Times New Roman"/>
          <w:i/>
          <w:szCs w:val="21"/>
        </w:rPr>
        <w:t>Casp1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szCs w:val="21"/>
        </w:rPr>
        <w:t>Nlrp3,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1"/>
        </w:rPr>
        <w:t>Asc</w:t>
      </w:r>
      <w:proofErr w:type="spellEnd"/>
      <w:r>
        <w:rPr>
          <w:rFonts w:ascii="Times New Roman" w:hAnsi="Times New Roman" w:cs="Times New Roman"/>
          <w:i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i/>
          <w:szCs w:val="21"/>
        </w:rPr>
        <w:t xml:space="preserve"> Casp11</w:t>
      </w:r>
      <w:r>
        <w:rPr>
          <w:rFonts w:ascii="Times New Roman" w:hAnsi="Times New Roman" w:cs="Times New Roman"/>
          <w:szCs w:val="21"/>
        </w:rPr>
        <w:t xml:space="preserve"> in the lung of WT and </w:t>
      </w:r>
      <w:r>
        <w:rPr>
          <w:rFonts w:ascii="Times New Roman" w:hAnsi="Times New Roman" w:cs="Times New Roman"/>
          <w:i/>
          <w:szCs w:val="21"/>
        </w:rPr>
        <w:t>Bhlhe40</w:t>
      </w:r>
      <w:r>
        <w:rPr>
          <w:rFonts w:ascii="Times New Roman" w:hAnsi="Times New Roman" w:cs="Times New Roman"/>
          <w:i/>
          <w:szCs w:val="21"/>
          <w:vertAlign w:val="superscript"/>
        </w:rPr>
        <w:t>-/-</w:t>
      </w:r>
      <w:r>
        <w:rPr>
          <w:rFonts w:ascii="Times New Roman" w:hAnsi="Times New Roman" w:cs="Times New Roman"/>
          <w:szCs w:val="21"/>
        </w:rPr>
        <w:t xml:space="preserve"> mice were assessed by </w:t>
      </w:r>
      <w:proofErr w:type="spellStart"/>
      <w:r>
        <w:rPr>
          <w:rFonts w:ascii="Times New Roman" w:hAnsi="Times New Roman" w:cs="Times New Roman"/>
          <w:szCs w:val="21"/>
        </w:rPr>
        <w:t>qRT</w:t>
      </w:r>
      <w:proofErr w:type="spellEnd"/>
      <w:r>
        <w:rPr>
          <w:rFonts w:ascii="Times New Roman" w:hAnsi="Times New Roman" w:cs="Times New Roman"/>
          <w:szCs w:val="21"/>
        </w:rPr>
        <w:t xml:space="preserve">-PCR. (E) Quantified </w:t>
      </w:r>
      <w:r>
        <w:rPr>
          <w:rFonts w:ascii="Times New Roman" w:hAnsi="Times New Roman" w:cs="Times New Roman"/>
          <w:bCs/>
          <w:szCs w:val="21"/>
        </w:rPr>
        <w:t xml:space="preserve">analysis </w:t>
      </w:r>
      <w:r>
        <w:rPr>
          <w:rFonts w:ascii="Times New Roman" w:hAnsi="Times New Roman" w:cs="Times New Roman"/>
          <w:szCs w:val="21"/>
        </w:rPr>
        <w:t xml:space="preserve">of </w:t>
      </w:r>
      <w:r>
        <w:rPr>
          <w:rFonts w:ascii="Times New Roman" w:eastAsia="SimSun" w:hAnsi="Times New Roman" w:cs="Times New Roman"/>
          <w:szCs w:val="21"/>
        </w:rPr>
        <w:t>cleaved caspase-11</w:t>
      </w:r>
      <w:r>
        <w:rPr>
          <w:rFonts w:ascii="Times New Roman" w:hAnsi="Times New Roman" w:cs="Times New Roman"/>
          <w:szCs w:val="21"/>
        </w:rPr>
        <w:t xml:space="preserve"> by Western blot. n = 6. Data are shown as the mean ± SEM. Statistical analysis was performed by two-way ANOVA followed by Bonferroni's multiple comparisons test. </w:t>
      </w:r>
      <w:r>
        <w:rPr>
          <w:rFonts w:ascii="Times New Roman" w:hAnsi="Times New Roman" w:cs="Times New Roman"/>
          <w:i/>
          <w:iCs/>
          <w:szCs w:val="21"/>
        </w:rPr>
        <w:t xml:space="preserve">*p </w:t>
      </w:r>
      <w:r>
        <w:rPr>
          <w:rFonts w:ascii="Times New Roman" w:hAnsi="Times New Roman" w:cs="Times New Roman"/>
          <w:szCs w:val="21"/>
        </w:rPr>
        <w:t xml:space="preserve">&lt; 0.05, </w:t>
      </w:r>
      <w:r>
        <w:rPr>
          <w:rFonts w:ascii="Times New Roman" w:hAnsi="Times New Roman" w:cs="Times New Roman"/>
          <w:i/>
          <w:iCs/>
          <w:szCs w:val="21"/>
        </w:rPr>
        <w:t>**p</w:t>
      </w:r>
      <w:r>
        <w:rPr>
          <w:rFonts w:ascii="Times New Roman" w:hAnsi="Times New Roman" w:cs="Times New Roman"/>
          <w:szCs w:val="21"/>
        </w:rPr>
        <w:t xml:space="preserve"> &lt; 0.01, </w:t>
      </w:r>
      <w:r>
        <w:rPr>
          <w:rFonts w:ascii="Times New Roman" w:hAnsi="Times New Roman" w:cs="Times New Roman"/>
          <w:i/>
          <w:iCs/>
          <w:szCs w:val="21"/>
        </w:rPr>
        <w:t>***p</w:t>
      </w:r>
      <w:r>
        <w:rPr>
          <w:rFonts w:ascii="Times New Roman" w:hAnsi="Times New Roman" w:cs="Times New Roman"/>
          <w:szCs w:val="21"/>
        </w:rPr>
        <w:t xml:space="preserve"> &lt; 0.001.</w:t>
      </w:r>
    </w:p>
    <w:p w14:paraId="425F2BE9" w14:textId="52D33F57" w:rsidR="00B16624" w:rsidRDefault="00E468CC" w:rsidP="00B16624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14:ligatures w14:val="standardContextual"/>
        </w:rPr>
        <w:drawing>
          <wp:inline distT="0" distB="0" distL="0" distR="0" wp14:anchorId="0D31CA45" wp14:editId="6207B8C5">
            <wp:extent cx="5943600" cy="3324225"/>
            <wp:effectExtent l="0" t="0" r="0" b="9525"/>
            <wp:docPr id="774883666" name="Picture 1" descr="A group of graphs showing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83666" name="Picture 1" descr="A group of graphs showing different sizes and color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6E1D" w14:textId="77777777" w:rsidR="00B16624" w:rsidRDefault="00B16624" w:rsidP="00B16624"/>
    <w:p w14:paraId="5F2A4B81" w14:textId="77777777" w:rsidR="009402AA" w:rsidRDefault="009402AA"/>
    <w:sectPr w:rsidR="009402AA" w:rsidSect="00BB2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24"/>
    <w:rsid w:val="00273337"/>
    <w:rsid w:val="009402AA"/>
    <w:rsid w:val="00B16624"/>
    <w:rsid w:val="00BB2CF7"/>
    <w:rsid w:val="00E4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159D"/>
  <w15:chartTrackingRefBased/>
  <w15:docId w15:val="{145CF842-E18B-4978-99D3-339EC2E4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624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>Springer Nature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2</cp:revision>
  <dcterms:created xsi:type="dcterms:W3CDTF">2024-02-20T09:29:00Z</dcterms:created>
  <dcterms:modified xsi:type="dcterms:W3CDTF">2024-02-20T09:31:00Z</dcterms:modified>
</cp:coreProperties>
</file>