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A4242" w14:textId="77777777" w:rsidR="001211F1" w:rsidRDefault="00930221" w:rsidP="001211F1">
      <w:pPr>
        <w:spacing w:after="160" w:line="259" w:lineRule="auto"/>
        <w:jc w:val="both"/>
        <w:rPr>
          <w:rFonts w:ascii="Times New Roman" w:eastAsiaTheme="majorEastAsia" w:hAnsi="Times New Roman" w:cstheme="majorBidi"/>
          <w:b/>
          <w:bCs/>
          <w:sz w:val="24"/>
          <w:lang w:eastAsia="zh-TW"/>
        </w:rPr>
      </w:pPr>
      <w:r>
        <w:rPr>
          <w:rFonts w:ascii="Times New Roman" w:eastAsiaTheme="majorEastAsia" w:hAnsi="Times New Roman" w:cstheme="majorBidi"/>
          <w:b/>
          <w:bCs/>
          <w:sz w:val="24"/>
          <w:lang w:eastAsia="zh-TW"/>
        </w:rPr>
        <w:t>Supplement Figure legend</w:t>
      </w:r>
      <w:r w:rsidR="0002068F">
        <w:rPr>
          <w:rFonts w:ascii="Times New Roman" w:eastAsiaTheme="majorEastAsia" w:hAnsi="Times New Roman" w:cstheme="majorBidi"/>
          <w:b/>
          <w:bCs/>
          <w:sz w:val="24"/>
          <w:lang w:eastAsia="zh-TW"/>
        </w:rPr>
        <w:t>s</w:t>
      </w:r>
      <w:r>
        <w:rPr>
          <w:rFonts w:ascii="Times New Roman" w:eastAsiaTheme="majorEastAsia" w:hAnsi="Times New Roman" w:cstheme="majorBidi"/>
          <w:b/>
          <w:bCs/>
          <w:sz w:val="24"/>
          <w:lang w:eastAsia="zh-TW"/>
        </w:rPr>
        <w:t>.</w:t>
      </w:r>
    </w:p>
    <w:p w14:paraId="6085B396" w14:textId="36199197" w:rsidR="00930221" w:rsidRPr="001211F1" w:rsidRDefault="00210F9D" w:rsidP="001211F1">
      <w:pPr>
        <w:spacing w:after="160" w:line="480" w:lineRule="auto"/>
        <w:jc w:val="both"/>
        <w:rPr>
          <w:rFonts w:ascii="Times New Roman" w:eastAsiaTheme="majorEastAsia" w:hAnsi="Times New Roman" w:cstheme="majorBidi"/>
          <w:b/>
          <w:bCs/>
          <w:color w:val="FF0000"/>
          <w:sz w:val="24"/>
          <w:lang w:eastAsia="zh-TW"/>
        </w:rPr>
      </w:pPr>
      <w:r>
        <w:rPr>
          <w:rFonts w:ascii="Times New Roman" w:eastAsiaTheme="majorEastAsia" w:hAnsi="Times New Roman" w:cstheme="majorBidi"/>
          <w:b/>
          <w:bCs/>
          <w:sz w:val="24"/>
          <w:lang w:eastAsia="zh-TW"/>
        </w:rPr>
        <w:t>Figure S1.</w:t>
      </w:r>
      <w:r w:rsidR="00851716">
        <w:rPr>
          <w:rFonts w:ascii="Times New Roman" w:eastAsiaTheme="majorEastAsia" w:hAnsi="Times New Roman" w:cstheme="majorBidi"/>
          <w:b/>
          <w:bCs/>
          <w:sz w:val="24"/>
          <w:lang w:eastAsia="zh-TW"/>
        </w:rPr>
        <w:t xml:space="preserve"> </w:t>
      </w:r>
      <w:r w:rsidR="00851716" w:rsidRPr="001211F1">
        <w:rPr>
          <w:rFonts w:ascii="Times New Roman" w:hAnsi="Times New Roman" w:cs="Times New Roman"/>
          <w:bCs/>
          <w:sz w:val="24"/>
        </w:rPr>
        <w:t>Gating strategy for analysing lung myeloid cells by flow cytometry.</w:t>
      </w:r>
      <w:r w:rsidR="001211F1" w:rsidRPr="001211F1">
        <w:rPr>
          <w:rFonts w:ascii="Times New Roman" w:hAnsi="Times New Roman" w:cs="Times New Roman"/>
          <w:bCs/>
          <w:sz w:val="24"/>
        </w:rPr>
        <w:t xml:space="preserve"> </w:t>
      </w:r>
      <w:r w:rsidR="00AE6516" w:rsidRPr="00AE6516">
        <w:rPr>
          <w:rFonts w:ascii="Times New Roman" w:hAnsi="Times New Roman" w:cs="Times New Roman"/>
          <w:bCs/>
          <w:color w:val="FF0000"/>
          <w:sz w:val="24"/>
        </w:rPr>
        <w:t>Viable cells are first gated using Fixable Live/Dead dye (Cy7) versus autofluorescence. Single cells are then gated, followed by gating Ly6G+ neutrophils within the CD45+ population. CD49b+ NK cells are gated among the non-neutrophil cells. Non-myeloid cells, which are double negative for CD11b and CD11c, are excluded. Eosinophils are identified based on the absence of CD11c and high expression of SiglecF. Macrophages are selected based on their expression of MerTK and CD64 and are further subdivided into tissue-resident alveolar macrophages (AMs) with high CD11c expression and negative CD11b expression, as well as interstitial macrophages (IMs) with high CD11b expression. Ly6C</w:t>
      </w:r>
      <w:r w:rsidR="00AE6516" w:rsidRPr="00AE6516">
        <w:rPr>
          <w:rFonts w:ascii="Times New Roman" w:hAnsi="Times New Roman" w:cs="Times New Roman"/>
          <w:bCs/>
          <w:color w:val="FF0000"/>
          <w:sz w:val="24"/>
          <w:vertAlign w:val="superscript"/>
        </w:rPr>
        <w:t>high</w:t>
      </w:r>
      <w:r w:rsidR="00AE6516" w:rsidRPr="00AE6516">
        <w:rPr>
          <w:rFonts w:ascii="Times New Roman" w:hAnsi="Times New Roman" w:cs="Times New Roman"/>
          <w:bCs/>
          <w:color w:val="FF0000"/>
          <w:sz w:val="24"/>
        </w:rPr>
        <w:t xml:space="preserve"> monocytes are determined within the non-macrophage population based on their high Ly6C expression.</w:t>
      </w:r>
    </w:p>
    <w:p w14:paraId="358C6AAC" w14:textId="13FAE6EA" w:rsidR="00851716" w:rsidRDefault="00851716" w:rsidP="001211F1">
      <w:pPr>
        <w:spacing w:after="0" w:line="480" w:lineRule="auto"/>
        <w:jc w:val="both"/>
        <w:rPr>
          <w:rFonts w:ascii="Times New Roman" w:hAnsi="Times New Roman" w:cs="Times New Roman"/>
          <w:sz w:val="24"/>
        </w:rPr>
      </w:pPr>
      <w:r w:rsidRPr="00BB5110">
        <w:rPr>
          <w:rFonts w:ascii="Times New Roman" w:hAnsi="Times New Roman" w:cs="Times New Roman"/>
          <w:b/>
          <w:sz w:val="24"/>
        </w:rPr>
        <w:t xml:space="preserve">Figure </w:t>
      </w:r>
      <w:r>
        <w:rPr>
          <w:rFonts w:ascii="Times New Roman" w:hAnsi="Times New Roman" w:cs="Times New Roman"/>
          <w:b/>
          <w:sz w:val="24"/>
        </w:rPr>
        <w:t>S</w:t>
      </w:r>
      <w:r w:rsidRPr="00BB5110">
        <w:rPr>
          <w:rFonts w:ascii="Times New Roman" w:hAnsi="Times New Roman" w:cs="Times New Roman"/>
          <w:b/>
          <w:sz w:val="24"/>
        </w:rPr>
        <w:t xml:space="preserve">2. </w:t>
      </w:r>
      <w:r w:rsidRPr="00481D54">
        <w:rPr>
          <w:rFonts w:ascii="Times New Roman" w:hAnsi="Times New Roman" w:cs="Times New Roman"/>
          <w:bCs/>
          <w:sz w:val="24"/>
        </w:rPr>
        <w:t>Impact of</w:t>
      </w:r>
      <w:r>
        <w:rPr>
          <w:rFonts w:ascii="Times New Roman" w:hAnsi="Times New Roman" w:cs="Times New Roman"/>
          <w:b/>
          <w:sz w:val="24"/>
        </w:rPr>
        <w:t xml:space="preserve"> </w:t>
      </w:r>
      <w:r>
        <w:rPr>
          <w:rFonts w:ascii="Times New Roman" w:hAnsi="Times New Roman" w:cs="Times New Roman"/>
          <w:bCs/>
          <w:sz w:val="24"/>
        </w:rPr>
        <w:t xml:space="preserve">chronic </w:t>
      </w:r>
      <w:r w:rsidRPr="00BB5110">
        <w:rPr>
          <w:rFonts w:ascii="Times New Roman" w:hAnsi="Times New Roman" w:cs="Times New Roman"/>
          <w:bCs/>
          <w:sz w:val="24"/>
        </w:rPr>
        <w:t xml:space="preserve">HDM and CS exposure </w:t>
      </w:r>
      <w:r>
        <w:rPr>
          <w:rFonts w:ascii="Times New Roman" w:hAnsi="Times New Roman" w:cs="Times New Roman"/>
          <w:bCs/>
          <w:sz w:val="24"/>
        </w:rPr>
        <w:t xml:space="preserve">on lymphoid cells. (A) Gating strategy for defining T cell subsets. The frequency of </w:t>
      </w:r>
      <w:r w:rsidRPr="00BB5110">
        <w:rPr>
          <w:rFonts w:ascii="Times New Roman" w:hAnsi="Times New Roman" w:cs="Times New Roman"/>
          <w:bCs/>
          <w:sz w:val="24"/>
        </w:rPr>
        <w:t xml:space="preserve">(B) </w:t>
      </w:r>
      <w:r>
        <w:rPr>
          <w:rFonts w:ascii="Times New Roman" w:hAnsi="Times New Roman" w:cs="Times New Roman"/>
          <w:bCs/>
          <w:sz w:val="24"/>
        </w:rPr>
        <w:t>CD4 and (C) CD8 T cells in lung leukocytes</w:t>
      </w:r>
      <w:r w:rsidRPr="00BB5110">
        <w:rPr>
          <w:rFonts w:ascii="Times New Roman" w:hAnsi="Times New Roman" w:cs="Times New Roman"/>
          <w:bCs/>
          <w:sz w:val="24"/>
        </w:rPr>
        <w:t xml:space="preserve">, </w:t>
      </w:r>
      <w:r>
        <w:rPr>
          <w:rFonts w:ascii="Times New Roman" w:hAnsi="Times New Roman" w:cs="Times New Roman"/>
          <w:bCs/>
          <w:sz w:val="24"/>
        </w:rPr>
        <w:t>and</w:t>
      </w:r>
      <w:r w:rsidRPr="00BB5110">
        <w:rPr>
          <w:rFonts w:ascii="Times New Roman" w:hAnsi="Times New Roman" w:cs="Times New Roman"/>
          <w:bCs/>
          <w:sz w:val="24"/>
        </w:rPr>
        <w:t xml:space="preserve"> (D) </w:t>
      </w:r>
      <w:r>
        <w:rPr>
          <w:rFonts w:ascii="Times New Roman" w:hAnsi="Times New Roman" w:cs="Times New Roman"/>
          <w:bCs/>
          <w:sz w:val="24"/>
        </w:rPr>
        <w:t>the frequency of CD4 T cells that are T</w:t>
      </w:r>
      <w:r w:rsidRPr="00481D54">
        <w:rPr>
          <w:rFonts w:ascii="Times New Roman" w:hAnsi="Times New Roman" w:cs="Times New Roman"/>
          <w:bCs/>
          <w:sz w:val="24"/>
          <w:vertAlign w:val="subscript"/>
        </w:rPr>
        <w:t>EM</w:t>
      </w:r>
      <w:r>
        <w:rPr>
          <w:rFonts w:ascii="Times New Roman" w:hAnsi="Times New Roman" w:cs="Times New Roman"/>
          <w:bCs/>
          <w:sz w:val="24"/>
        </w:rPr>
        <w:t xml:space="preserve"> cells. The number of </w:t>
      </w:r>
      <w:r w:rsidRPr="00BB5110">
        <w:rPr>
          <w:rFonts w:ascii="Times New Roman" w:hAnsi="Times New Roman" w:cs="Times New Roman"/>
          <w:bCs/>
          <w:sz w:val="24"/>
        </w:rPr>
        <w:t xml:space="preserve">(E) </w:t>
      </w:r>
      <w:r>
        <w:rPr>
          <w:rFonts w:ascii="Times New Roman" w:hAnsi="Times New Roman" w:cs="Times New Roman"/>
          <w:bCs/>
          <w:sz w:val="24"/>
        </w:rPr>
        <w:t xml:space="preserve">CD4 and (F) CD8 T cells in the spleen. </w:t>
      </w:r>
      <w:r w:rsidRPr="00BB5110">
        <w:rPr>
          <w:rFonts w:ascii="Times New Roman" w:hAnsi="Times New Roman" w:cs="Times New Roman"/>
          <w:bCs/>
          <w:sz w:val="24"/>
        </w:rPr>
        <w:t xml:space="preserve">For each biological group, n = </w:t>
      </w:r>
      <w:r>
        <w:rPr>
          <w:rFonts w:ascii="Times New Roman" w:hAnsi="Times New Roman" w:cs="Times New Roman"/>
          <w:bCs/>
          <w:sz w:val="24"/>
        </w:rPr>
        <w:t>8</w:t>
      </w:r>
      <w:r w:rsidRPr="00BB5110">
        <w:rPr>
          <w:rFonts w:ascii="Times New Roman" w:hAnsi="Times New Roman" w:cs="Times New Roman"/>
          <w:bCs/>
          <w:sz w:val="24"/>
        </w:rPr>
        <w:t>. * p &lt; 0.05; ** p &lt; 0.01; *** p &lt; 0.001, **** p &lt; 0.0001</w:t>
      </w:r>
      <w:r w:rsidR="00345A1C">
        <w:rPr>
          <w:rFonts w:ascii="Times New Roman" w:hAnsi="Times New Roman" w:cs="Times New Roman"/>
          <w:bCs/>
          <w:sz w:val="24"/>
        </w:rPr>
        <w:t>.</w:t>
      </w:r>
      <w:r w:rsidRPr="00BB5110">
        <w:rPr>
          <w:rFonts w:ascii="Times New Roman" w:hAnsi="Times New Roman" w:cs="Times New Roman"/>
          <w:bCs/>
          <w:sz w:val="24"/>
        </w:rPr>
        <w:t xml:space="preserve"> </w:t>
      </w:r>
      <w:r w:rsidR="00141762">
        <w:rPr>
          <w:rFonts w:ascii="Times New Roman" w:hAnsi="Times New Roman" w:cs="Times New Roman"/>
          <w:bCs/>
          <w:color w:val="FF0000"/>
          <w:sz w:val="24"/>
        </w:rPr>
        <w:t>2</w:t>
      </w:r>
      <w:r w:rsidRPr="00463CE5">
        <w:rPr>
          <w:rFonts w:ascii="Times New Roman" w:hAnsi="Times New Roman" w:cs="Times New Roman"/>
          <w:bCs/>
          <w:color w:val="FF0000"/>
          <w:sz w:val="24"/>
        </w:rPr>
        <w:t xml:space="preserve">-way ANOVA with </w:t>
      </w:r>
      <w:r w:rsidR="00463CE5" w:rsidRPr="00463CE5">
        <w:rPr>
          <w:rFonts w:ascii="Times New Roman" w:hAnsi="Times New Roman" w:cs="Times New Roman"/>
          <w:bCs/>
          <w:color w:val="FF0000"/>
          <w:sz w:val="24"/>
        </w:rPr>
        <w:t>Tukey</w:t>
      </w:r>
      <w:r w:rsidR="00A449B2">
        <w:rPr>
          <w:rFonts w:ascii="Times New Roman" w:hAnsi="Times New Roman" w:cs="Times New Roman"/>
          <w:bCs/>
          <w:color w:val="FF0000"/>
          <w:sz w:val="24"/>
        </w:rPr>
        <w:t>’s</w:t>
      </w:r>
      <w:r w:rsidR="00463CE5" w:rsidRPr="00463CE5">
        <w:rPr>
          <w:rFonts w:ascii="Times New Roman" w:hAnsi="Times New Roman" w:cs="Times New Roman"/>
          <w:bCs/>
          <w:color w:val="FF0000"/>
          <w:sz w:val="24"/>
        </w:rPr>
        <w:t xml:space="preserve"> </w:t>
      </w:r>
      <w:r w:rsidRPr="00463CE5">
        <w:rPr>
          <w:rFonts w:ascii="Times New Roman" w:hAnsi="Times New Roman" w:cs="Times New Roman"/>
          <w:bCs/>
          <w:color w:val="FF0000"/>
          <w:sz w:val="24"/>
        </w:rPr>
        <w:t>multiple comparisons.</w:t>
      </w:r>
    </w:p>
    <w:p w14:paraId="7074AD6B" w14:textId="72F04834" w:rsidR="00930221" w:rsidRPr="00463CE5" w:rsidRDefault="002D142E" w:rsidP="001211F1">
      <w:pPr>
        <w:spacing w:line="480" w:lineRule="auto"/>
        <w:jc w:val="both"/>
        <w:rPr>
          <w:color w:val="FF0000"/>
        </w:rPr>
      </w:pPr>
      <w:r w:rsidRPr="00BB5110">
        <w:rPr>
          <w:rFonts w:ascii="Times New Roman" w:hAnsi="Times New Roman" w:cs="Times New Roman"/>
          <w:b/>
          <w:sz w:val="24"/>
        </w:rPr>
        <w:t xml:space="preserve">Figure </w:t>
      </w:r>
      <w:r>
        <w:rPr>
          <w:rFonts w:ascii="Times New Roman" w:hAnsi="Times New Roman" w:cs="Times New Roman"/>
          <w:b/>
          <w:sz w:val="24"/>
        </w:rPr>
        <w:t>S3</w:t>
      </w:r>
      <w:r w:rsidRPr="00BB5110">
        <w:rPr>
          <w:rFonts w:ascii="Times New Roman" w:hAnsi="Times New Roman" w:cs="Times New Roman"/>
          <w:b/>
          <w:sz w:val="24"/>
        </w:rPr>
        <w:t xml:space="preserve">. </w:t>
      </w:r>
      <w:r w:rsidR="000D2503">
        <w:rPr>
          <w:rFonts w:ascii="Times New Roman" w:hAnsi="Times New Roman" w:cs="Times New Roman"/>
          <w:bCs/>
          <w:sz w:val="24"/>
        </w:rPr>
        <w:t>RT-qPCR analysis on lung</w:t>
      </w:r>
      <w:r w:rsidR="00BA7EC4">
        <w:rPr>
          <w:rFonts w:ascii="Times New Roman" w:hAnsi="Times New Roman" w:cs="Times New Roman"/>
          <w:bCs/>
          <w:sz w:val="24"/>
        </w:rPr>
        <w:t xml:space="preserve"> expression of (A) </w:t>
      </w:r>
      <w:r w:rsidR="00BA7EC4" w:rsidRPr="00720660">
        <w:rPr>
          <w:rFonts w:ascii="Times New Roman" w:hAnsi="Times New Roman" w:cs="Times New Roman"/>
          <w:bCs/>
          <w:i/>
          <w:iCs/>
          <w:sz w:val="24"/>
        </w:rPr>
        <w:t>Mmp-12</w:t>
      </w:r>
      <w:r w:rsidR="00DE0D76">
        <w:rPr>
          <w:rFonts w:ascii="Times New Roman" w:hAnsi="Times New Roman" w:cs="Times New Roman"/>
          <w:bCs/>
          <w:sz w:val="24"/>
        </w:rPr>
        <w:t xml:space="preserve">, (B) </w:t>
      </w:r>
      <w:r w:rsidR="00DE0D76" w:rsidRPr="00A12FA0">
        <w:rPr>
          <w:rFonts w:ascii="Times New Roman" w:hAnsi="Times New Roman" w:cs="Times New Roman"/>
          <w:bCs/>
          <w:i/>
          <w:iCs/>
          <w:sz w:val="24"/>
        </w:rPr>
        <w:t>Retnla</w:t>
      </w:r>
      <w:r w:rsidR="00DE0D76">
        <w:rPr>
          <w:rFonts w:ascii="Times New Roman" w:hAnsi="Times New Roman" w:cs="Times New Roman"/>
          <w:bCs/>
          <w:sz w:val="24"/>
        </w:rPr>
        <w:t xml:space="preserve">, (C) </w:t>
      </w:r>
      <w:r w:rsidR="00DE0D76" w:rsidRPr="00A12FA0">
        <w:rPr>
          <w:rFonts w:ascii="Times New Roman" w:hAnsi="Times New Roman" w:cs="Times New Roman"/>
          <w:bCs/>
          <w:i/>
          <w:iCs/>
          <w:sz w:val="24"/>
        </w:rPr>
        <w:t>Arg1</w:t>
      </w:r>
      <w:r w:rsidR="00DE0D76">
        <w:rPr>
          <w:rFonts w:ascii="Times New Roman" w:hAnsi="Times New Roman" w:cs="Times New Roman"/>
          <w:bCs/>
          <w:sz w:val="24"/>
        </w:rPr>
        <w:t xml:space="preserve">, (D) </w:t>
      </w:r>
      <w:r w:rsidR="00DE0D76" w:rsidRPr="00A12FA0">
        <w:rPr>
          <w:rFonts w:ascii="Times New Roman" w:hAnsi="Times New Roman" w:cs="Times New Roman"/>
          <w:bCs/>
          <w:i/>
          <w:iCs/>
          <w:sz w:val="24"/>
        </w:rPr>
        <w:t>Chil3</w:t>
      </w:r>
      <w:r w:rsidR="00DE0D76">
        <w:rPr>
          <w:rFonts w:ascii="Times New Roman" w:hAnsi="Times New Roman" w:cs="Times New Roman"/>
          <w:bCs/>
          <w:sz w:val="24"/>
        </w:rPr>
        <w:t xml:space="preserve">, (E) </w:t>
      </w:r>
      <w:r w:rsidR="00DE0D76" w:rsidRPr="00A12FA0">
        <w:rPr>
          <w:rFonts w:ascii="Times New Roman" w:hAnsi="Times New Roman" w:cs="Times New Roman"/>
          <w:bCs/>
          <w:i/>
          <w:iCs/>
          <w:sz w:val="24"/>
        </w:rPr>
        <w:t>Il-33</w:t>
      </w:r>
      <w:r w:rsidR="00DE0D76">
        <w:rPr>
          <w:rFonts w:ascii="Times New Roman" w:hAnsi="Times New Roman" w:cs="Times New Roman"/>
          <w:bCs/>
          <w:sz w:val="24"/>
        </w:rPr>
        <w:t>, (F)</w:t>
      </w:r>
      <w:r w:rsidR="00720660">
        <w:rPr>
          <w:rFonts w:ascii="Times New Roman" w:hAnsi="Times New Roman" w:cs="Times New Roman"/>
          <w:bCs/>
          <w:sz w:val="24"/>
        </w:rPr>
        <w:t xml:space="preserve"> </w:t>
      </w:r>
      <w:r w:rsidR="00720660" w:rsidRPr="00A12FA0">
        <w:rPr>
          <w:rFonts w:ascii="Times New Roman" w:hAnsi="Times New Roman" w:cs="Times New Roman"/>
          <w:bCs/>
          <w:i/>
          <w:iCs/>
          <w:sz w:val="24"/>
        </w:rPr>
        <w:t>Il-13</w:t>
      </w:r>
      <w:r w:rsidR="00720660">
        <w:rPr>
          <w:rFonts w:ascii="Times New Roman" w:hAnsi="Times New Roman" w:cs="Times New Roman"/>
          <w:bCs/>
          <w:sz w:val="24"/>
        </w:rPr>
        <w:t xml:space="preserve">, (G) </w:t>
      </w:r>
      <w:r w:rsidR="00720660" w:rsidRPr="00A12FA0">
        <w:rPr>
          <w:rFonts w:ascii="Times New Roman" w:hAnsi="Times New Roman" w:cs="Times New Roman"/>
          <w:bCs/>
          <w:i/>
          <w:iCs/>
          <w:sz w:val="24"/>
        </w:rPr>
        <w:t>Il-5</w:t>
      </w:r>
      <w:r w:rsidR="00720660">
        <w:rPr>
          <w:rFonts w:ascii="Times New Roman" w:hAnsi="Times New Roman" w:cs="Times New Roman"/>
          <w:bCs/>
          <w:sz w:val="24"/>
        </w:rPr>
        <w:t xml:space="preserve"> and (H) </w:t>
      </w:r>
      <w:r w:rsidR="00720660" w:rsidRPr="00A12FA0">
        <w:rPr>
          <w:rFonts w:ascii="Times New Roman" w:hAnsi="Times New Roman" w:cs="Times New Roman"/>
          <w:bCs/>
          <w:i/>
          <w:iCs/>
          <w:sz w:val="24"/>
        </w:rPr>
        <w:t>Il-17</w:t>
      </w:r>
      <w:r w:rsidR="00B2510E">
        <w:rPr>
          <w:rFonts w:ascii="Times New Roman" w:hAnsi="Times New Roman" w:cs="Times New Roman"/>
          <w:bCs/>
          <w:sz w:val="24"/>
        </w:rPr>
        <w:t xml:space="preserve"> gene.</w:t>
      </w:r>
      <w:r w:rsidR="00720660">
        <w:rPr>
          <w:rFonts w:ascii="Times New Roman" w:hAnsi="Times New Roman" w:cs="Times New Roman"/>
          <w:bCs/>
          <w:sz w:val="24"/>
        </w:rPr>
        <w:t xml:space="preserve"> </w:t>
      </w:r>
      <w:r w:rsidR="00720660" w:rsidRPr="00BB5110">
        <w:rPr>
          <w:rFonts w:ascii="Times New Roman" w:hAnsi="Times New Roman" w:cs="Times New Roman"/>
          <w:bCs/>
          <w:sz w:val="24"/>
        </w:rPr>
        <w:t xml:space="preserve">For each biological group, n = </w:t>
      </w:r>
      <w:r w:rsidR="00720660">
        <w:rPr>
          <w:rFonts w:ascii="Times New Roman" w:hAnsi="Times New Roman" w:cs="Times New Roman"/>
          <w:bCs/>
          <w:sz w:val="24"/>
        </w:rPr>
        <w:t>8</w:t>
      </w:r>
      <w:r w:rsidR="00720660" w:rsidRPr="00BB5110">
        <w:rPr>
          <w:rFonts w:ascii="Times New Roman" w:hAnsi="Times New Roman" w:cs="Times New Roman"/>
          <w:bCs/>
          <w:sz w:val="24"/>
        </w:rPr>
        <w:t>. * p &lt; 0.05; ** p &lt; 0.01; *** p &lt; 0.001, **** p &lt; 0.0001</w:t>
      </w:r>
      <w:r w:rsidR="00345A1C">
        <w:rPr>
          <w:rFonts w:ascii="Times New Roman" w:hAnsi="Times New Roman" w:cs="Times New Roman"/>
          <w:bCs/>
          <w:sz w:val="24"/>
        </w:rPr>
        <w:t>.</w:t>
      </w:r>
      <w:r w:rsidR="00720660" w:rsidRPr="00BB5110">
        <w:rPr>
          <w:rFonts w:ascii="Times New Roman" w:hAnsi="Times New Roman" w:cs="Times New Roman"/>
          <w:bCs/>
          <w:sz w:val="24"/>
        </w:rPr>
        <w:t xml:space="preserve"> </w:t>
      </w:r>
      <w:r w:rsidR="00141762">
        <w:rPr>
          <w:rFonts w:ascii="Times New Roman" w:hAnsi="Times New Roman" w:cs="Times New Roman"/>
          <w:bCs/>
          <w:color w:val="FF0000"/>
          <w:sz w:val="24"/>
        </w:rPr>
        <w:t>2</w:t>
      </w:r>
      <w:r w:rsidR="00720660" w:rsidRPr="00463CE5">
        <w:rPr>
          <w:rFonts w:ascii="Times New Roman" w:hAnsi="Times New Roman" w:cs="Times New Roman"/>
          <w:bCs/>
          <w:color w:val="FF0000"/>
          <w:sz w:val="24"/>
        </w:rPr>
        <w:t xml:space="preserve">-way ANOVA with </w:t>
      </w:r>
      <w:r w:rsidR="00463CE5" w:rsidRPr="00463CE5">
        <w:rPr>
          <w:rFonts w:ascii="Times New Roman" w:hAnsi="Times New Roman" w:cs="Times New Roman"/>
          <w:bCs/>
          <w:color w:val="FF0000"/>
          <w:sz w:val="24"/>
        </w:rPr>
        <w:t>Tukey</w:t>
      </w:r>
      <w:r w:rsidR="00A449B2">
        <w:rPr>
          <w:rFonts w:ascii="Times New Roman" w:hAnsi="Times New Roman" w:cs="Times New Roman"/>
          <w:bCs/>
          <w:color w:val="FF0000"/>
          <w:sz w:val="24"/>
        </w:rPr>
        <w:t>’s</w:t>
      </w:r>
      <w:r w:rsidR="00463CE5" w:rsidRPr="00463CE5">
        <w:rPr>
          <w:rFonts w:ascii="Times New Roman" w:hAnsi="Times New Roman" w:cs="Times New Roman"/>
          <w:bCs/>
          <w:color w:val="FF0000"/>
          <w:sz w:val="24"/>
        </w:rPr>
        <w:t xml:space="preserve"> </w:t>
      </w:r>
      <w:r w:rsidR="00720660" w:rsidRPr="00463CE5">
        <w:rPr>
          <w:rFonts w:ascii="Times New Roman" w:hAnsi="Times New Roman" w:cs="Times New Roman"/>
          <w:bCs/>
          <w:color w:val="FF0000"/>
          <w:sz w:val="24"/>
        </w:rPr>
        <w:t>multiple comparisons</w:t>
      </w:r>
      <w:r w:rsidR="00463CE5" w:rsidRPr="00463CE5">
        <w:rPr>
          <w:rFonts w:ascii="Times New Roman" w:hAnsi="Times New Roman" w:cs="Times New Roman"/>
          <w:bCs/>
          <w:color w:val="FF0000"/>
          <w:sz w:val="24"/>
        </w:rPr>
        <w:t>.</w:t>
      </w:r>
    </w:p>
    <w:sectPr w:rsidR="00930221" w:rsidRPr="00463CE5">
      <w:headerReference w:type="even" r:id="rId6"/>
      <w:headerReference w:type="default"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0A79" w14:textId="77777777" w:rsidR="00111F1B" w:rsidRDefault="00111F1B" w:rsidP="00AB354A">
      <w:pPr>
        <w:spacing w:after="0" w:line="240" w:lineRule="auto"/>
      </w:pPr>
      <w:r>
        <w:separator/>
      </w:r>
    </w:p>
  </w:endnote>
  <w:endnote w:type="continuationSeparator" w:id="0">
    <w:p w14:paraId="0822DCA3" w14:textId="77777777" w:rsidR="00111F1B" w:rsidRDefault="00111F1B" w:rsidP="00AB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EE410" w14:textId="77777777" w:rsidR="00111F1B" w:rsidRDefault="00111F1B" w:rsidP="00AB354A">
      <w:pPr>
        <w:spacing w:after="0" w:line="240" w:lineRule="auto"/>
      </w:pPr>
      <w:r>
        <w:separator/>
      </w:r>
    </w:p>
  </w:footnote>
  <w:footnote w:type="continuationSeparator" w:id="0">
    <w:p w14:paraId="16D79B05" w14:textId="77777777" w:rsidR="00111F1B" w:rsidRDefault="00111F1B" w:rsidP="00AB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B38C" w14:textId="61A98CE2" w:rsidR="00AB354A" w:rsidRDefault="00AB354A">
    <w:pPr>
      <w:pStyle w:val="Header"/>
    </w:pPr>
    <w:r>
      <w:rPr>
        <w:noProof/>
        <w14:ligatures w14:val="standardContextual"/>
      </w:rPr>
      <mc:AlternateContent>
        <mc:Choice Requires="wps">
          <w:drawing>
            <wp:anchor distT="0" distB="0" distL="0" distR="0" simplePos="0" relativeHeight="251659264" behindDoc="0" locked="0" layoutInCell="1" allowOverlap="1" wp14:anchorId="408EB2A9" wp14:editId="02AE2F3C">
              <wp:simplePos x="635" y="635"/>
              <wp:positionH relativeFrom="page">
                <wp:align>center</wp:align>
              </wp:positionH>
              <wp:positionV relativeFrom="page">
                <wp:align>top</wp:align>
              </wp:positionV>
              <wp:extent cx="443865" cy="443865"/>
              <wp:effectExtent l="0" t="0" r="15240" b="14605"/>
              <wp:wrapNone/>
              <wp:docPr id="1609180564"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5DA72" w14:textId="5E79FAE3" w:rsidR="00AB354A" w:rsidRPr="00AB354A" w:rsidRDefault="00AB354A" w:rsidP="00AB354A">
                          <w:pPr>
                            <w:spacing w:after="0"/>
                            <w:rPr>
                              <w:rFonts w:ascii="Calibri" w:eastAsia="Calibri" w:hAnsi="Calibri" w:cs="Calibri"/>
                              <w:noProof/>
                              <w:color w:val="EEDC00"/>
                              <w:sz w:val="24"/>
                              <w:szCs w:val="24"/>
                            </w:rPr>
                          </w:pPr>
                          <w:r w:rsidRPr="00AB354A">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EB2A9" id="_x0000_t202" coordsize="21600,21600" o:spt="202" path="m,l,21600r21600,l21600,xe">
              <v:stroke joinstyle="miter"/>
              <v:path gradientshapeok="t" o:connecttype="rect"/>
            </v:shapetype>
            <v:shape id="Text Box 2" o:spid="_x0000_s1026" type="#_x0000_t202" alt="RMIT Classification: Trus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065DA72" w14:textId="5E79FAE3" w:rsidR="00AB354A" w:rsidRPr="00AB354A" w:rsidRDefault="00AB354A" w:rsidP="00AB354A">
                    <w:pPr>
                      <w:spacing w:after="0"/>
                      <w:rPr>
                        <w:rFonts w:ascii="Calibri" w:eastAsia="Calibri" w:hAnsi="Calibri" w:cs="Calibri"/>
                        <w:noProof/>
                        <w:color w:val="EEDC00"/>
                        <w:sz w:val="24"/>
                        <w:szCs w:val="24"/>
                      </w:rPr>
                    </w:pPr>
                    <w:r w:rsidRPr="00AB354A">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DA80" w14:textId="6C925BAC" w:rsidR="00AB354A" w:rsidRDefault="00AB354A">
    <w:pPr>
      <w:pStyle w:val="Header"/>
    </w:pPr>
    <w:r>
      <w:rPr>
        <w:noProof/>
        <w14:ligatures w14:val="standardContextual"/>
      </w:rPr>
      <mc:AlternateContent>
        <mc:Choice Requires="wps">
          <w:drawing>
            <wp:anchor distT="0" distB="0" distL="0" distR="0" simplePos="0" relativeHeight="251660288" behindDoc="0" locked="0" layoutInCell="1" allowOverlap="1" wp14:anchorId="45D3D5B0" wp14:editId="6090FB59">
              <wp:simplePos x="914400" y="449580"/>
              <wp:positionH relativeFrom="page">
                <wp:align>center</wp:align>
              </wp:positionH>
              <wp:positionV relativeFrom="page">
                <wp:align>top</wp:align>
              </wp:positionV>
              <wp:extent cx="443865" cy="443865"/>
              <wp:effectExtent l="0" t="0" r="15240" b="14605"/>
              <wp:wrapNone/>
              <wp:docPr id="2141853709" name="Text Box 3"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9851EF" w14:textId="6E8BE3A9" w:rsidR="00AB354A" w:rsidRPr="00AB354A" w:rsidRDefault="00AB354A" w:rsidP="00AB354A">
                          <w:pPr>
                            <w:spacing w:after="0"/>
                            <w:rPr>
                              <w:rFonts w:ascii="Calibri" w:eastAsia="Calibri" w:hAnsi="Calibri" w:cs="Calibri"/>
                              <w:noProof/>
                              <w:color w:val="EEDC00"/>
                              <w:sz w:val="24"/>
                              <w:szCs w:val="24"/>
                            </w:rPr>
                          </w:pPr>
                          <w:r w:rsidRPr="00AB354A">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3D5B0" id="_x0000_t202" coordsize="21600,21600" o:spt="202" path="m,l,21600r21600,l21600,xe">
              <v:stroke joinstyle="miter"/>
              <v:path gradientshapeok="t" o:connecttype="rect"/>
            </v:shapetype>
            <v:shape id="Text Box 3" o:spid="_x0000_s1027" type="#_x0000_t202" alt="RMIT Classification: Trust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09851EF" w14:textId="6E8BE3A9" w:rsidR="00AB354A" w:rsidRPr="00AB354A" w:rsidRDefault="00AB354A" w:rsidP="00AB354A">
                    <w:pPr>
                      <w:spacing w:after="0"/>
                      <w:rPr>
                        <w:rFonts w:ascii="Calibri" w:eastAsia="Calibri" w:hAnsi="Calibri" w:cs="Calibri"/>
                        <w:noProof/>
                        <w:color w:val="EEDC00"/>
                        <w:sz w:val="24"/>
                        <w:szCs w:val="24"/>
                      </w:rPr>
                    </w:pPr>
                    <w:r w:rsidRPr="00AB354A">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B753" w14:textId="52E14E23" w:rsidR="00AB354A" w:rsidRDefault="00AB354A">
    <w:pPr>
      <w:pStyle w:val="Header"/>
    </w:pPr>
    <w:r>
      <w:rPr>
        <w:noProof/>
        <w14:ligatures w14:val="standardContextual"/>
      </w:rPr>
      <mc:AlternateContent>
        <mc:Choice Requires="wps">
          <w:drawing>
            <wp:anchor distT="0" distB="0" distL="0" distR="0" simplePos="0" relativeHeight="251658240" behindDoc="0" locked="0" layoutInCell="1" allowOverlap="1" wp14:anchorId="287F65CA" wp14:editId="3D36816F">
              <wp:simplePos x="635" y="635"/>
              <wp:positionH relativeFrom="page">
                <wp:align>center</wp:align>
              </wp:positionH>
              <wp:positionV relativeFrom="page">
                <wp:align>top</wp:align>
              </wp:positionV>
              <wp:extent cx="443865" cy="443865"/>
              <wp:effectExtent l="0" t="0" r="15240" b="14605"/>
              <wp:wrapNone/>
              <wp:docPr id="1487181464" name="Text Box 1"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32ACA6" w14:textId="57164474" w:rsidR="00AB354A" w:rsidRPr="00AB354A" w:rsidRDefault="00AB354A" w:rsidP="00AB354A">
                          <w:pPr>
                            <w:spacing w:after="0"/>
                            <w:rPr>
                              <w:rFonts w:ascii="Calibri" w:eastAsia="Calibri" w:hAnsi="Calibri" w:cs="Calibri"/>
                              <w:noProof/>
                              <w:color w:val="EEDC00"/>
                              <w:sz w:val="24"/>
                              <w:szCs w:val="24"/>
                            </w:rPr>
                          </w:pPr>
                          <w:r w:rsidRPr="00AB354A">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7F65CA" id="_x0000_t202" coordsize="21600,21600" o:spt="202" path="m,l,21600r21600,l21600,xe">
              <v:stroke joinstyle="miter"/>
              <v:path gradientshapeok="t" o:connecttype="rect"/>
            </v:shapetype>
            <v:shape id="Text Box 1" o:spid="_x0000_s1028" type="#_x0000_t202" alt="RMIT Classification: Trus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7432ACA6" w14:textId="57164474" w:rsidR="00AB354A" w:rsidRPr="00AB354A" w:rsidRDefault="00AB354A" w:rsidP="00AB354A">
                    <w:pPr>
                      <w:spacing w:after="0"/>
                      <w:rPr>
                        <w:rFonts w:ascii="Calibri" w:eastAsia="Calibri" w:hAnsi="Calibri" w:cs="Calibri"/>
                        <w:noProof/>
                        <w:color w:val="EEDC00"/>
                        <w:sz w:val="24"/>
                        <w:szCs w:val="24"/>
                      </w:rPr>
                    </w:pPr>
                    <w:r w:rsidRPr="00AB354A">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7D"/>
    <w:rsid w:val="0002068F"/>
    <w:rsid w:val="000D2503"/>
    <w:rsid w:val="00111F1B"/>
    <w:rsid w:val="001211F1"/>
    <w:rsid w:val="00141762"/>
    <w:rsid w:val="00171E48"/>
    <w:rsid w:val="001F001C"/>
    <w:rsid w:val="00210F9D"/>
    <w:rsid w:val="0025481D"/>
    <w:rsid w:val="002D142E"/>
    <w:rsid w:val="00345A1C"/>
    <w:rsid w:val="004042A1"/>
    <w:rsid w:val="00440C39"/>
    <w:rsid w:val="00463CE5"/>
    <w:rsid w:val="006639C2"/>
    <w:rsid w:val="00720660"/>
    <w:rsid w:val="00851716"/>
    <w:rsid w:val="00930221"/>
    <w:rsid w:val="00A12FA0"/>
    <w:rsid w:val="00A449B2"/>
    <w:rsid w:val="00A75B63"/>
    <w:rsid w:val="00AB354A"/>
    <w:rsid w:val="00AE6516"/>
    <w:rsid w:val="00B2398C"/>
    <w:rsid w:val="00B2510E"/>
    <w:rsid w:val="00BA027D"/>
    <w:rsid w:val="00BA7EC4"/>
    <w:rsid w:val="00DE0D7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B9F60"/>
  <w15:chartTrackingRefBased/>
  <w15:docId w15:val="{62B31842-98F9-4395-8B02-802D40F6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27D"/>
    <w:pPr>
      <w:spacing w:after="200" w:line="276" w:lineRule="auto"/>
    </w:pPr>
    <w:rPr>
      <w:rFonts w:eastAsiaTheme="minorHAnsi"/>
      <w:kern w:val="0"/>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54A"/>
    <w:rPr>
      <w:rFonts w:eastAsiaTheme="minorHAnsi"/>
      <w:kern w:val="0"/>
      <w:lang w:val="en-GB" w:eastAsia="en-US"/>
      <w14:ligatures w14:val="none"/>
    </w:rPr>
  </w:style>
  <w:style w:type="character" w:styleId="Hyperlink">
    <w:name w:val="Hyperlink"/>
    <w:basedOn w:val="DefaultParagraphFont"/>
    <w:uiPriority w:val="99"/>
    <w:unhideWhenUsed/>
    <w:rsid w:val="00171E48"/>
    <w:rPr>
      <w:color w:val="0563C1" w:themeColor="hyperlink"/>
      <w:u w:val="single"/>
    </w:rPr>
  </w:style>
  <w:style w:type="character" w:styleId="CommentReference">
    <w:name w:val="annotation reference"/>
    <w:basedOn w:val="DefaultParagraphFont"/>
    <w:uiPriority w:val="99"/>
    <w:semiHidden/>
    <w:unhideWhenUsed/>
    <w:rsid w:val="00171E48"/>
    <w:rPr>
      <w:sz w:val="16"/>
      <w:szCs w:val="16"/>
    </w:rPr>
  </w:style>
  <w:style w:type="paragraph" w:styleId="CommentText">
    <w:name w:val="annotation text"/>
    <w:basedOn w:val="Normal"/>
    <w:link w:val="CommentTextChar"/>
    <w:uiPriority w:val="99"/>
    <w:unhideWhenUsed/>
    <w:rsid w:val="00171E48"/>
    <w:pPr>
      <w:spacing w:line="240" w:lineRule="auto"/>
    </w:pPr>
    <w:rPr>
      <w:sz w:val="20"/>
      <w:szCs w:val="20"/>
    </w:rPr>
  </w:style>
  <w:style w:type="character" w:customStyle="1" w:styleId="CommentTextChar">
    <w:name w:val="Comment Text Char"/>
    <w:basedOn w:val="DefaultParagraphFont"/>
    <w:link w:val="CommentText"/>
    <w:uiPriority w:val="99"/>
    <w:rsid w:val="00171E48"/>
    <w:rPr>
      <w:rFonts w:eastAsiaTheme="minorHAnsi"/>
      <w:kern w:val="0"/>
      <w:sz w:val="20"/>
      <w:szCs w:val="20"/>
      <w:lang w:val="en-GB" w:eastAsia="en-US"/>
      <w14:ligatures w14:val="none"/>
    </w:rPr>
  </w:style>
  <w:style w:type="paragraph" w:styleId="Footer">
    <w:name w:val="footer"/>
    <w:basedOn w:val="Normal"/>
    <w:link w:val="FooterChar"/>
    <w:uiPriority w:val="99"/>
    <w:unhideWhenUsed/>
    <w:rsid w:val="0066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9C2"/>
    <w:rPr>
      <w:rFonts w:eastAsiaTheme="minorHAnsi"/>
      <w:kern w:val="0"/>
      <w:lang w:val="en-GB" w:eastAsia="en-US"/>
      <w14:ligatures w14:val="none"/>
    </w:rPr>
  </w:style>
  <w:style w:type="paragraph" w:styleId="Revision">
    <w:name w:val="Revision"/>
    <w:hidden/>
    <w:uiPriority w:val="99"/>
    <w:semiHidden/>
    <w:rsid w:val="00345A1C"/>
    <w:pPr>
      <w:spacing w:after="0" w:line="240" w:lineRule="auto"/>
    </w:pPr>
    <w:rPr>
      <w:rFonts w:eastAsiaTheme="minorHAnsi"/>
      <w:kern w:val="0"/>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Wang</dc:creator>
  <cp:keywords/>
  <dc:description/>
  <cp:lastModifiedBy>Hao Wang</cp:lastModifiedBy>
  <cp:revision>8</cp:revision>
  <dcterms:created xsi:type="dcterms:W3CDTF">2023-11-28T04:31:00Z</dcterms:created>
  <dcterms:modified xsi:type="dcterms:W3CDTF">2024-02-08T04:28:00Z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58a49698,5fea2594,7faa180d</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2023-09-20T03:22:14Z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7185f3ea-c02f-4e86-bbc5-7aa8f667bc85</vt:lpwstr>
  </property>
  <property fmtid="{D5CDD505-2E9C-101B-9397-08002B2CF9AE}" pid="11" name="MSIP_Label_8c3d088b-6243-4963-a2e2-8b321ab7f8fc_ContentBits">
    <vt:lpwstr>1</vt:lpwstr>
  </property>
</Properties>
</file>