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926" w:rsidRPr="0045587C" w:rsidRDefault="005C0926" w:rsidP="005C0926">
      <w:pPr>
        <w:spacing w:line="360" w:lineRule="auto"/>
        <w:ind w:left="482" w:hangingChars="200" w:hanging="482"/>
        <w:rPr>
          <w:rFonts w:ascii="Times New Roman" w:hAnsi="Times New Roman" w:cs="Times New Roman"/>
          <w:b/>
          <w:sz w:val="24"/>
          <w:szCs w:val="24"/>
        </w:rPr>
      </w:pPr>
      <w:r w:rsidRPr="0045587C">
        <w:rPr>
          <w:rFonts w:ascii="Times New Roman" w:hAnsi="Times New Roman" w:cs="Times New Roman"/>
          <w:b/>
          <w:sz w:val="24"/>
          <w:szCs w:val="24"/>
        </w:rPr>
        <w:t xml:space="preserve">Supplementary material </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b/>
          <w:sz w:val="24"/>
          <w:szCs w:val="24"/>
        </w:rPr>
        <w:t>Figure S1.</w:t>
      </w:r>
      <w:r w:rsidRPr="0045587C">
        <w:rPr>
          <w:rFonts w:ascii="Times New Roman" w:hAnsi="Times New Roman" w:cs="Times New Roman"/>
          <w:sz w:val="24"/>
          <w:szCs w:val="24"/>
        </w:rPr>
        <w:t xml:space="preserve"> The down regulation of HMGCS2 in IPF patients was further confirmed in other cohorts. HMGCS2 expression data were derived from GEO data base (GSE2052, GSE53845, GSE21369, GSE110147), results expressed as </w:t>
      </w:r>
      <w:proofErr w:type="spellStart"/>
      <w:r w:rsidRPr="0045587C">
        <w:rPr>
          <w:rFonts w:ascii="Times New Roman" w:hAnsi="Times New Roman" w:cs="Times New Roman"/>
          <w:sz w:val="24"/>
          <w:szCs w:val="24"/>
        </w:rPr>
        <w:t>mean±SD</w:t>
      </w:r>
      <w:proofErr w:type="spellEnd"/>
      <w:r w:rsidRPr="0045587C">
        <w:rPr>
          <w:rFonts w:ascii="Times New Roman" w:hAnsi="Times New Roman" w:cs="Times New Roman"/>
          <w:sz w:val="24"/>
          <w:szCs w:val="24"/>
        </w:rPr>
        <w:t>. *: p&lt;0.05; **: p&lt;0.01;</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b/>
          <w:sz w:val="24"/>
          <w:szCs w:val="24"/>
        </w:rPr>
        <w:t>Figure S2</w:t>
      </w:r>
      <w:r w:rsidRPr="0045587C">
        <w:rPr>
          <w:rFonts w:ascii="Times New Roman" w:hAnsi="Times New Roman" w:cs="Times New Roman"/>
          <w:sz w:val="24"/>
          <w:szCs w:val="24"/>
        </w:rPr>
        <w:t xml:space="preserve"> HMGCS2 expression was negatively associated with age in IPF patients</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sz w:val="24"/>
          <w:szCs w:val="24"/>
        </w:rPr>
        <w:t>HMGCS2 expression and IPF patients’ information were derived from our previous used data (GSE47460- GPL14550)</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b/>
          <w:sz w:val="24"/>
          <w:szCs w:val="24"/>
        </w:rPr>
        <w:t>Figure S3</w:t>
      </w:r>
      <w:r w:rsidRPr="0045587C">
        <w:rPr>
          <w:rFonts w:ascii="Times New Roman" w:hAnsi="Times New Roman" w:cs="Times New Roman"/>
          <w:sz w:val="24"/>
          <w:szCs w:val="24"/>
        </w:rPr>
        <w:t xml:space="preserve"> HMGCS2 was specifically down regulated in AECIIs </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sz w:val="24"/>
          <w:szCs w:val="24"/>
        </w:rPr>
        <w:t xml:space="preserve">A, Data from IPF cell atlas </w:t>
      </w:r>
      <w:proofErr w:type="gramStart"/>
      <w:r w:rsidRPr="0045587C">
        <w:rPr>
          <w:rFonts w:ascii="Times New Roman" w:hAnsi="Times New Roman" w:cs="Times New Roman"/>
          <w:sz w:val="24"/>
          <w:szCs w:val="24"/>
        </w:rPr>
        <w:t xml:space="preserve">( </w:t>
      </w:r>
      <w:proofErr w:type="gramEnd"/>
      <w:r>
        <w:fldChar w:fldCharType="begin"/>
      </w:r>
      <w:r>
        <w:instrText xml:space="preserve"> HYPERLINK "http://ipfcellatlas.com/" </w:instrText>
      </w:r>
      <w:r>
        <w:fldChar w:fldCharType="separate"/>
      </w:r>
      <w:r w:rsidRPr="0045587C">
        <w:rPr>
          <w:rStyle w:val="Hyperlink"/>
          <w:rFonts w:ascii="Times New Roman" w:hAnsi="Times New Roman" w:cs="Times New Roman"/>
          <w:sz w:val="24"/>
          <w:szCs w:val="24"/>
        </w:rPr>
        <w:t>http://ipfcellatlas.com/</w:t>
      </w:r>
      <w:r>
        <w:rPr>
          <w:rStyle w:val="Hyperlink"/>
          <w:rFonts w:ascii="Times New Roman" w:hAnsi="Times New Roman" w:cs="Times New Roman"/>
          <w:sz w:val="24"/>
          <w:szCs w:val="24"/>
        </w:rPr>
        <w:fldChar w:fldCharType="end"/>
      </w:r>
      <w:r w:rsidRPr="0045587C">
        <w:rPr>
          <w:rFonts w:ascii="Times New Roman" w:hAnsi="Times New Roman" w:cs="Times New Roman"/>
          <w:sz w:val="24"/>
          <w:szCs w:val="24"/>
        </w:rPr>
        <w:t>). B, IPF Single cells data was acquired from GEO (GSE132915) followed by standard data analysis pipeline, the AECII cells were identified by SFTPC. C, HMGCS2 expression was significantly down regulated in AECIIs. D, AECIIs were isolated in saline and Bleomycin treated mice and HMGCS2 was significantly decreased upon Bleomycin injury.</w:t>
      </w: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b/>
          <w:sz w:val="24"/>
          <w:szCs w:val="24"/>
        </w:rPr>
        <w:t>Figure S4.</w:t>
      </w:r>
      <w:r w:rsidRPr="0045587C">
        <w:rPr>
          <w:rFonts w:ascii="Times New Roman" w:hAnsi="Times New Roman" w:cs="Times New Roman"/>
          <w:sz w:val="24"/>
          <w:szCs w:val="24"/>
        </w:rPr>
        <w:t xml:space="preserve"> Evaluation of adeno-associated virus infection efficiency</w:t>
      </w:r>
    </w:p>
    <w:p w:rsidR="005C0926"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sz w:val="24"/>
          <w:szCs w:val="24"/>
        </w:rPr>
        <w:t xml:space="preserve">The frozen lung section of HBAAV2/6-SFTPC- T2A-ZsGreen and HBAAV2/6-SPC-HMGCS2-T2A-ZsGreen infected mice was examined using fluorescence microscope 3 weeks after infection. </w:t>
      </w:r>
    </w:p>
    <w:p w:rsidR="005C0926" w:rsidRPr="0045587C" w:rsidRDefault="005C0926" w:rsidP="005C0926">
      <w:pPr>
        <w:spacing w:line="360" w:lineRule="auto"/>
        <w:rPr>
          <w:rFonts w:ascii="Times New Roman" w:hAnsi="Times New Roman" w:cs="Times New Roman"/>
          <w:sz w:val="24"/>
          <w:szCs w:val="24"/>
        </w:rPr>
      </w:pPr>
    </w:p>
    <w:p w:rsidR="005C0926" w:rsidRDefault="005C0926" w:rsidP="005C0926">
      <w:pPr>
        <w:spacing w:line="360" w:lineRule="auto"/>
        <w:jc w:val="center"/>
        <w:rPr>
          <w:rFonts w:ascii="Times New Roman" w:hAnsi="Times New Roman" w:cs="Times New Roman"/>
          <w:sz w:val="24"/>
          <w:szCs w:val="24"/>
        </w:rPr>
      </w:pPr>
      <w:r w:rsidRPr="0045587C">
        <w:rPr>
          <w:rFonts w:ascii="Times New Roman" w:hAnsi="Times New Roman" w:cs="Times New Roman"/>
          <w:sz w:val="24"/>
          <w:szCs w:val="24"/>
        </w:rPr>
        <w:t xml:space="preserve">Table </w:t>
      </w:r>
      <w:proofErr w:type="gramStart"/>
      <w:r w:rsidRPr="0045587C">
        <w:rPr>
          <w:rFonts w:ascii="Times New Roman" w:hAnsi="Times New Roman" w:cs="Times New Roman"/>
          <w:sz w:val="24"/>
          <w:szCs w:val="24"/>
        </w:rPr>
        <w:t>S1  Primers</w:t>
      </w:r>
      <w:proofErr w:type="gramEnd"/>
      <w:r w:rsidRPr="0045587C">
        <w:rPr>
          <w:rFonts w:ascii="Times New Roman" w:hAnsi="Times New Roman" w:cs="Times New Roman"/>
          <w:sz w:val="24"/>
          <w:szCs w:val="24"/>
        </w:rPr>
        <w:t xml:space="preserve"> used in this study</w:t>
      </w:r>
    </w:p>
    <w:tbl>
      <w:tblPr>
        <w:tblW w:w="0" w:type="auto"/>
        <w:tblLayout w:type="fixed"/>
        <w:tblLook w:val="04A0" w:firstRow="1" w:lastRow="0" w:firstColumn="1" w:lastColumn="0" w:noHBand="0" w:noVBand="1"/>
      </w:tblPr>
      <w:tblGrid>
        <w:gridCol w:w="1813"/>
        <w:gridCol w:w="5951"/>
      </w:tblGrid>
      <w:tr w:rsidR="005C0926" w:rsidRPr="0045587C" w:rsidTr="005C0926">
        <w:trPr>
          <w:trHeight w:val="783"/>
        </w:trPr>
        <w:tc>
          <w:tcPr>
            <w:tcW w:w="1813" w:type="dxa"/>
            <w:tcBorders>
              <w:top w:val="single" w:sz="12" w:space="0" w:color="000000"/>
              <w:left w:val="nil"/>
              <w:bottom w:val="single" w:sz="8" w:space="0" w:color="auto"/>
              <w:right w:val="nil"/>
            </w:tcBorders>
            <w:hideMark/>
          </w:tcPr>
          <w:p w:rsidR="005C0926" w:rsidRPr="0045587C" w:rsidRDefault="005C0926" w:rsidP="005C0926">
            <w:pPr>
              <w:adjustRightInd w:val="0"/>
              <w:spacing w:line="351" w:lineRule="atLeast"/>
              <w:textAlignment w:val="baseline"/>
              <w:rPr>
                <w:rFonts w:ascii="Times New Roman" w:hAnsi="Times New Roman" w:cs="Times New Roman"/>
                <w:sz w:val="24"/>
                <w:szCs w:val="24"/>
              </w:rPr>
            </w:pPr>
            <w:r w:rsidRPr="0045587C">
              <w:rPr>
                <w:rFonts w:ascii="Times New Roman" w:hAnsi="Times New Roman" w:cs="Times New Roman"/>
                <w:sz w:val="24"/>
                <w:szCs w:val="24"/>
              </w:rPr>
              <w:t>Primer name</w:t>
            </w:r>
          </w:p>
        </w:tc>
        <w:tc>
          <w:tcPr>
            <w:tcW w:w="5951" w:type="dxa"/>
            <w:tcBorders>
              <w:top w:val="single" w:sz="12" w:space="0" w:color="000000"/>
              <w:left w:val="nil"/>
              <w:bottom w:val="single" w:sz="8" w:space="0" w:color="auto"/>
              <w:right w:val="nil"/>
            </w:tcBorders>
            <w:hideMark/>
          </w:tcPr>
          <w:p w:rsidR="005C0926" w:rsidRPr="0045587C" w:rsidRDefault="005C0926" w:rsidP="005C0926">
            <w:pPr>
              <w:adjustRightInd w:val="0"/>
              <w:spacing w:line="351" w:lineRule="atLeast"/>
              <w:textAlignment w:val="baseline"/>
              <w:rPr>
                <w:rFonts w:ascii="Times New Roman" w:hAnsi="Times New Roman" w:cs="Times New Roman"/>
                <w:sz w:val="24"/>
                <w:szCs w:val="24"/>
              </w:rPr>
            </w:pPr>
            <w:r w:rsidRPr="0045587C">
              <w:rPr>
                <w:rFonts w:ascii="Times New Roman" w:hAnsi="Times New Roman" w:cs="Times New Roman"/>
                <w:sz w:val="24"/>
                <w:szCs w:val="24"/>
              </w:rPr>
              <w:t>Oligonucleotide sequence (5’-3’)                Usage</w:t>
            </w:r>
          </w:p>
        </w:tc>
      </w:tr>
      <w:tr w:rsidR="005C0926" w:rsidRPr="0045587C" w:rsidTr="005C0926">
        <w:trPr>
          <w:trHeight w:val="300"/>
        </w:trPr>
        <w:tc>
          <w:tcPr>
            <w:tcW w:w="1813" w:type="dxa"/>
            <w:tcBorders>
              <w:top w:val="nil"/>
              <w:left w:val="nil"/>
              <w:bottom w:val="single" w:sz="12" w:space="0" w:color="000000"/>
              <w:right w:val="nil"/>
            </w:tcBorders>
          </w:tcPr>
          <w:p w:rsidR="005C0926" w:rsidRPr="0045587C" w:rsidRDefault="005C0926" w:rsidP="005C0926">
            <w:pPr>
              <w:adjustRightInd w:val="0"/>
              <w:spacing w:line="351" w:lineRule="atLeast"/>
              <w:textAlignment w:val="baseline"/>
              <w:rPr>
                <w:rFonts w:ascii="Times New Roman" w:hAnsi="Times New Roman" w:cs="Times New Roman"/>
                <w:sz w:val="24"/>
                <w:szCs w:val="24"/>
              </w:rPr>
            </w:pPr>
            <w:r w:rsidRPr="0045587C">
              <w:rPr>
                <w:rFonts w:ascii="Times New Roman" w:hAnsi="Times New Roman" w:cs="Times New Roman"/>
                <w:sz w:val="24"/>
                <w:szCs w:val="24"/>
              </w:rPr>
              <w:t>L393V-F</w:t>
            </w:r>
          </w:p>
          <w:p w:rsidR="005C0926" w:rsidRPr="0045587C" w:rsidRDefault="005C0926" w:rsidP="005C0926">
            <w:pPr>
              <w:adjustRightInd w:val="0"/>
              <w:spacing w:line="351" w:lineRule="atLeast"/>
              <w:textAlignment w:val="baseline"/>
              <w:rPr>
                <w:rFonts w:ascii="Times New Roman" w:hAnsi="Times New Roman" w:cs="Times New Roman"/>
                <w:sz w:val="24"/>
                <w:szCs w:val="24"/>
              </w:rPr>
            </w:pPr>
            <w:r w:rsidRPr="0045587C">
              <w:rPr>
                <w:rFonts w:ascii="Times New Roman" w:hAnsi="Times New Roman" w:cs="Times New Roman"/>
                <w:sz w:val="24"/>
                <w:szCs w:val="24"/>
              </w:rPr>
              <w:t>L393V-R</w:t>
            </w:r>
          </w:p>
        </w:tc>
        <w:tc>
          <w:tcPr>
            <w:tcW w:w="5951" w:type="dxa"/>
            <w:tcBorders>
              <w:top w:val="nil"/>
              <w:left w:val="nil"/>
              <w:bottom w:val="single" w:sz="12" w:space="0" w:color="000000"/>
              <w:right w:val="nil"/>
            </w:tcBorders>
          </w:tcPr>
          <w:p w:rsidR="005C0926" w:rsidRPr="0045587C" w:rsidRDefault="005C0926" w:rsidP="005C0926">
            <w:pPr>
              <w:adjustRightInd w:val="0"/>
              <w:spacing w:line="351" w:lineRule="atLeast"/>
              <w:textAlignment w:val="baseline"/>
              <w:rPr>
                <w:rFonts w:ascii="Times New Roman" w:hAnsi="Times New Roman" w:cs="Times New Roman"/>
                <w:sz w:val="24"/>
                <w:szCs w:val="24"/>
              </w:rPr>
            </w:pPr>
            <w:r w:rsidRPr="0045587C">
              <w:rPr>
                <w:rFonts w:ascii="Times New Roman" w:hAnsi="Times New Roman" w:cs="Times New Roman"/>
                <w:sz w:val="24"/>
                <w:szCs w:val="24"/>
              </w:rPr>
              <w:t xml:space="preserve">5'-TGCCTGGCCTCGGTTCTGTCCCACC-3' </w:t>
            </w:r>
            <w:proofErr w:type="spellStart"/>
            <w:r w:rsidRPr="0045587C">
              <w:rPr>
                <w:rFonts w:ascii="Times New Roman" w:hAnsi="Times New Roman" w:cs="Times New Roman"/>
                <w:sz w:val="24"/>
                <w:szCs w:val="24"/>
              </w:rPr>
              <w:t>Pointmutation</w:t>
            </w:r>
            <w:proofErr w:type="spellEnd"/>
            <w:r w:rsidRPr="0045587C">
              <w:rPr>
                <w:rFonts w:ascii="Times New Roman" w:hAnsi="Times New Roman" w:cs="Times New Roman"/>
                <w:sz w:val="24"/>
                <w:szCs w:val="24"/>
              </w:rPr>
              <w:t xml:space="preserve">   5'-GGTGGGACAGAACCGAGGCCAGGCA-3   Point mutation</w:t>
            </w:r>
          </w:p>
        </w:tc>
      </w:tr>
    </w:tbl>
    <w:p w:rsidR="005C0926" w:rsidRPr="0045587C" w:rsidRDefault="005C0926" w:rsidP="005C0926">
      <w:pPr>
        <w:spacing w:line="360" w:lineRule="auto"/>
        <w:rPr>
          <w:rFonts w:ascii="Times New Roman" w:hAnsi="Times New Roman" w:cs="Times New Roman"/>
          <w:sz w:val="24"/>
          <w:szCs w:val="24"/>
        </w:rPr>
      </w:pPr>
    </w:p>
    <w:p w:rsidR="005C0926" w:rsidRPr="0045587C" w:rsidRDefault="005C0926" w:rsidP="005C0926">
      <w:pPr>
        <w:spacing w:line="360" w:lineRule="auto"/>
        <w:rPr>
          <w:rFonts w:ascii="Times New Roman" w:hAnsi="Times New Roman" w:cs="Times New Roman"/>
          <w:sz w:val="24"/>
          <w:szCs w:val="24"/>
        </w:rPr>
      </w:pPr>
      <w:r w:rsidRPr="0045587C">
        <w:rPr>
          <w:rFonts w:ascii="Times New Roman" w:hAnsi="Times New Roman" w:cs="Times New Roman"/>
          <w:sz w:val="24"/>
          <w:szCs w:val="24"/>
        </w:rPr>
        <w:t xml:space="preserve">Table S2  </w:t>
      </w:r>
      <w:r w:rsidRPr="0045587C">
        <w:rPr>
          <w:rFonts w:ascii="Times New Roman" w:hAnsi="Times New Roman" w:cs="Times New Roman"/>
          <w:b/>
          <w:sz w:val="24"/>
          <w:szCs w:val="24"/>
        </w:rPr>
        <w:t xml:space="preserve">     </w:t>
      </w:r>
      <w:proofErr w:type="spellStart"/>
      <w:r w:rsidRPr="0045587C">
        <w:rPr>
          <w:rFonts w:ascii="Times New Roman" w:hAnsi="Times New Roman" w:cs="Times New Roman"/>
          <w:sz w:val="24"/>
          <w:szCs w:val="24"/>
        </w:rPr>
        <w:t>LysoPC</w:t>
      </w:r>
      <w:proofErr w:type="spellEnd"/>
      <w:r w:rsidRPr="0045587C">
        <w:rPr>
          <w:rFonts w:ascii="Times New Roman" w:hAnsi="Times New Roman" w:cs="Times New Roman"/>
          <w:sz w:val="24"/>
          <w:szCs w:val="24"/>
        </w:rPr>
        <w:t xml:space="preserve"> with compound ID identified by lipid omics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552"/>
        <w:gridCol w:w="1842"/>
      </w:tblGrid>
      <w:tr w:rsidR="005C0926" w:rsidRPr="0045587C" w:rsidTr="005C0926">
        <w:tc>
          <w:tcPr>
            <w:tcW w:w="1951" w:type="dxa"/>
            <w:tcBorders>
              <w:left w:val="nil"/>
              <w:bottom w:val="single" w:sz="4" w:space="0" w:color="auto"/>
              <w:right w:val="nil"/>
            </w:tcBorders>
            <w:shd w:val="clear" w:color="auto" w:fill="auto"/>
          </w:tcPr>
          <w:p w:rsidR="005C0926" w:rsidRPr="0045587C" w:rsidRDefault="005C0926" w:rsidP="00313CFC">
            <w:pPr>
              <w:spacing w:line="440" w:lineRule="exact"/>
              <w:rPr>
                <w:rFonts w:ascii="Times New Roman" w:hAnsi="Times New Roman" w:cs="Times New Roman"/>
                <w:b/>
                <w:sz w:val="24"/>
                <w:szCs w:val="24"/>
              </w:rPr>
            </w:pPr>
            <w:r w:rsidRPr="0045587C">
              <w:rPr>
                <w:rFonts w:ascii="Times New Roman" w:hAnsi="Times New Roman" w:cs="Times New Roman"/>
                <w:b/>
                <w:sz w:val="24"/>
                <w:szCs w:val="24"/>
              </w:rPr>
              <w:t>Lipid Class</w:t>
            </w:r>
          </w:p>
        </w:tc>
        <w:tc>
          <w:tcPr>
            <w:tcW w:w="2552" w:type="dxa"/>
            <w:tcBorders>
              <w:left w:val="nil"/>
              <w:bottom w:val="single" w:sz="4" w:space="0" w:color="auto"/>
              <w:right w:val="nil"/>
            </w:tcBorders>
            <w:shd w:val="clear" w:color="auto" w:fill="auto"/>
          </w:tcPr>
          <w:p w:rsidR="005C0926" w:rsidRPr="0045587C" w:rsidRDefault="005C0926" w:rsidP="00313CFC">
            <w:pPr>
              <w:spacing w:line="440" w:lineRule="exact"/>
              <w:rPr>
                <w:rFonts w:ascii="Times New Roman" w:hAnsi="Times New Roman" w:cs="Times New Roman"/>
                <w:b/>
                <w:sz w:val="24"/>
                <w:szCs w:val="24"/>
              </w:rPr>
            </w:pPr>
            <w:r w:rsidRPr="0045587C">
              <w:rPr>
                <w:rFonts w:ascii="Times New Roman" w:hAnsi="Times New Roman" w:cs="Times New Roman"/>
                <w:b/>
                <w:sz w:val="24"/>
                <w:szCs w:val="24"/>
              </w:rPr>
              <w:t>Compound ID</w:t>
            </w:r>
          </w:p>
        </w:tc>
        <w:tc>
          <w:tcPr>
            <w:tcW w:w="1842" w:type="dxa"/>
            <w:tcBorders>
              <w:left w:val="nil"/>
              <w:bottom w:val="single" w:sz="4" w:space="0" w:color="auto"/>
              <w:right w:val="nil"/>
            </w:tcBorders>
            <w:shd w:val="clear" w:color="auto" w:fill="auto"/>
          </w:tcPr>
          <w:p w:rsidR="005C0926" w:rsidRPr="0045587C" w:rsidRDefault="005C0926" w:rsidP="00313CFC">
            <w:pPr>
              <w:spacing w:line="440" w:lineRule="exact"/>
              <w:ind w:right="315"/>
              <w:rPr>
                <w:rFonts w:ascii="Times New Roman" w:hAnsi="Times New Roman" w:cs="Times New Roman"/>
                <w:b/>
                <w:sz w:val="24"/>
                <w:szCs w:val="24"/>
              </w:rPr>
            </w:pPr>
            <w:r w:rsidRPr="0045587C">
              <w:rPr>
                <w:rFonts w:ascii="Times New Roman" w:hAnsi="Times New Roman" w:cs="Times New Roman"/>
                <w:b/>
                <w:sz w:val="24"/>
                <w:szCs w:val="24"/>
              </w:rPr>
              <w:t>Fold Change</w:t>
            </w:r>
          </w:p>
        </w:tc>
      </w:tr>
      <w:tr w:rsidR="005C0926" w:rsidRPr="0045587C" w:rsidTr="005C0926">
        <w:tc>
          <w:tcPr>
            <w:tcW w:w="1951" w:type="dxa"/>
            <w:tcBorders>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(14:0)</w:t>
            </w:r>
          </w:p>
        </w:tc>
        <w:tc>
          <w:tcPr>
            <w:tcW w:w="2552" w:type="dxa"/>
            <w:tcBorders>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HMDB0010379</w:t>
            </w:r>
          </w:p>
        </w:tc>
        <w:tc>
          <w:tcPr>
            <w:tcW w:w="1842" w:type="dxa"/>
            <w:tcBorders>
              <w:left w:val="nil"/>
              <w:bottom w:val="nil"/>
              <w:right w:val="nil"/>
            </w:tcBorders>
            <w:shd w:val="clear" w:color="auto" w:fill="auto"/>
            <w:vAlign w:val="bottom"/>
          </w:tcPr>
          <w:p w:rsidR="005C0926" w:rsidRPr="0045587C" w:rsidRDefault="005C0926" w:rsidP="00313CFC">
            <w:pPr>
              <w:spacing w:line="440" w:lineRule="exact"/>
              <w:ind w:right="440"/>
              <w:rPr>
                <w:rFonts w:ascii="Times New Roman" w:hAnsi="Times New Roman" w:cs="Times New Roman"/>
                <w:color w:val="000000"/>
                <w:sz w:val="24"/>
                <w:szCs w:val="24"/>
              </w:rPr>
            </w:pPr>
            <w:r w:rsidRPr="0045587C">
              <w:rPr>
                <w:rFonts w:ascii="Times New Roman" w:hAnsi="Times New Roman" w:cs="Times New Roman"/>
                <w:color w:val="000000"/>
                <w:sz w:val="24"/>
                <w:szCs w:val="24"/>
              </w:rPr>
              <w:t>2.55597</w:t>
            </w:r>
          </w:p>
        </w:tc>
      </w:tr>
      <w:tr w:rsidR="005C0926" w:rsidRPr="0045587C" w:rsidTr="005C0926">
        <w:tc>
          <w:tcPr>
            <w:tcW w:w="1951"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(15:0)</w:t>
            </w:r>
          </w:p>
        </w:tc>
        <w:tc>
          <w:tcPr>
            <w:tcW w:w="255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HMDB0010381</w:t>
            </w:r>
          </w:p>
        </w:tc>
        <w:tc>
          <w:tcPr>
            <w:tcW w:w="184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2.66085</w:t>
            </w:r>
          </w:p>
        </w:tc>
      </w:tr>
      <w:tr w:rsidR="005C0926" w:rsidRPr="0045587C" w:rsidTr="005C0926">
        <w:tc>
          <w:tcPr>
            <w:tcW w:w="1951"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(16:0)</w:t>
            </w:r>
          </w:p>
        </w:tc>
        <w:tc>
          <w:tcPr>
            <w:tcW w:w="255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HMDB0240262</w:t>
            </w:r>
          </w:p>
        </w:tc>
        <w:tc>
          <w:tcPr>
            <w:tcW w:w="184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2.30832</w:t>
            </w:r>
          </w:p>
        </w:tc>
      </w:tr>
      <w:tr w:rsidR="005C0926" w:rsidRPr="0045587C" w:rsidTr="005C0926">
        <w:tc>
          <w:tcPr>
            <w:tcW w:w="1951"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(18:3)</w:t>
            </w:r>
          </w:p>
        </w:tc>
        <w:tc>
          <w:tcPr>
            <w:tcW w:w="255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HMDB0010388</w:t>
            </w:r>
          </w:p>
        </w:tc>
        <w:tc>
          <w:tcPr>
            <w:tcW w:w="184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0.33127</w:t>
            </w:r>
          </w:p>
        </w:tc>
      </w:tr>
      <w:tr w:rsidR="005C0926" w:rsidRPr="0045587C" w:rsidTr="005C0926">
        <w:tc>
          <w:tcPr>
            <w:tcW w:w="1951"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(20:1)</w:t>
            </w:r>
          </w:p>
        </w:tc>
        <w:tc>
          <w:tcPr>
            <w:tcW w:w="255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HMDB0010391</w:t>
            </w:r>
          </w:p>
        </w:tc>
        <w:tc>
          <w:tcPr>
            <w:tcW w:w="184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2.16471</w:t>
            </w:r>
          </w:p>
        </w:tc>
      </w:tr>
      <w:tr w:rsidR="005C0926" w:rsidRPr="0045587C" w:rsidTr="005C0926">
        <w:tc>
          <w:tcPr>
            <w:tcW w:w="1951"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(20:4)</w:t>
            </w:r>
          </w:p>
        </w:tc>
        <w:tc>
          <w:tcPr>
            <w:tcW w:w="255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HMDB0010396</w:t>
            </w:r>
          </w:p>
        </w:tc>
        <w:tc>
          <w:tcPr>
            <w:tcW w:w="1842" w:type="dxa"/>
            <w:tcBorders>
              <w:top w:val="nil"/>
              <w:left w:val="nil"/>
              <w:bottom w:val="nil"/>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2.00343</w:t>
            </w:r>
          </w:p>
        </w:tc>
      </w:tr>
      <w:tr w:rsidR="005C0926" w:rsidRPr="0045587C" w:rsidTr="005C0926">
        <w:tc>
          <w:tcPr>
            <w:tcW w:w="1951" w:type="dxa"/>
            <w:tcBorders>
              <w:top w:val="nil"/>
              <w:left w:val="nil"/>
              <w:bottom w:val="single" w:sz="4" w:space="0" w:color="auto"/>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proofErr w:type="spellStart"/>
            <w:r w:rsidRPr="0045587C">
              <w:rPr>
                <w:rFonts w:ascii="Times New Roman" w:hAnsi="Times New Roman" w:cs="Times New Roman"/>
                <w:color w:val="000000"/>
                <w:sz w:val="24"/>
                <w:szCs w:val="24"/>
              </w:rPr>
              <w:t>LysoPC</w:t>
            </w:r>
            <w:proofErr w:type="spellEnd"/>
            <w:r w:rsidRPr="0045587C">
              <w:rPr>
                <w:rFonts w:ascii="Times New Roman" w:hAnsi="Times New Roman" w:cs="Times New Roman"/>
                <w:color w:val="000000"/>
                <w:sz w:val="24"/>
                <w:szCs w:val="24"/>
              </w:rPr>
              <w:t>(22:6)</w:t>
            </w:r>
          </w:p>
        </w:tc>
        <w:tc>
          <w:tcPr>
            <w:tcW w:w="2552" w:type="dxa"/>
            <w:tcBorders>
              <w:top w:val="nil"/>
              <w:left w:val="nil"/>
              <w:bottom w:val="single" w:sz="4" w:space="0" w:color="auto"/>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HMDB0010404</w:t>
            </w:r>
          </w:p>
        </w:tc>
        <w:tc>
          <w:tcPr>
            <w:tcW w:w="1842" w:type="dxa"/>
            <w:tcBorders>
              <w:top w:val="nil"/>
              <w:left w:val="nil"/>
              <w:bottom w:val="single" w:sz="4" w:space="0" w:color="auto"/>
              <w:right w:val="nil"/>
            </w:tcBorders>
            <w:shd w:val="clear" w:color="auto" w:fill="auto"/>
            <w:vAlign w:val="bottom"/>
          </w:tcPr>
          <w:p w:rsidR="005C0926" w:rsidRPr="0045587C" w:rsidRDefault="005C0926" w:rsidP="00313CFC">
            <w:pPr>
              <w:spacing w:line="440" w:lineRule="exact"/>
              <w:rPr>
                <w:rFonts w:ascii="Times New Roman" w:hAnsi="Times New Roman" w:cs="Times New Roman"/>
                <w:color w:val="000000"/>
                <w:sz w:val="24"/>
                <w:szCs w:val="24"/>
              </w:rPr>
            </w:pPr>
            <w:r w:rsidRPr="0045587C">
              <w:rPr>
                <w:rFonts w:ascii="Times New Roman" w:hAnsi="Times New Roman" w:cs="Times New Roman"/>
                <w:color w:val="000000"/>
                <w:sz w:val="24"/>
                <w:szCs w:val="24"/>
              </w:rPr>
              <w:t>2.12753</w:t>
            </w:r>
          </w:p>
        </w:tc>
      </w:tr>
    </w:tbl>
    <w:p w:rsidR="005C0926" w:rsidRPr="0045587C" w:rsidRDefault="005C0926" w:rsidP="005C0926">
      <w:pPr>
        <w:rPr>
          <w:rFonts w:ascii="Times New Roman" w:hAnsi="Times New Roman" w:cs="Times New Roman"/>
          <w:sz w:val="24"/>
          <w:szCs w:val="24"/>
        </w:rPr>
      </w:pPr>
      <w:bookmarkStart w:id="0" w:name="_GoBack"/>
      <w:bookmarkEnd w:id="0"/>
    </w:p>
    <w:sectPr w:rsidR="005C0926" w:rsidRPr="0045587C">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26"/>
    <w:rsid w:val="005C0926"/>
    <w:rsid w:val="00785F26"/>
    <w:rsid w:val="00816C94"/>
    <w:rsid w:val="00875BB8"/>
    <w:rsid w:val="00D94A09"/>
    <w:rsid w:val="00E2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09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09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1495</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2024-04-22T02:55:00Z</dcterms:created>
  <dcterms:modified xsi:type="dcterms:W3CDTF">2024-04-22T04:02:00Z</dcterms:modified>
</cp:coreProperties>
</file>