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DA603" w14:textId="61B32344" w:rsidR="00347B5D" w:rsidRDefault="00DA7AA7">
      <w:r w:rsidRPr="00DA7AA7">
        <w:rPr>
          <w:b/>
          <w:bCs/>
        </w:rPr>
        <w:t xml:space="preserve">Supplementary Table </w:t>
      </w:r>
      <w:r w:rsidR="00795988">
        <w:rPr>
          <w:b/>
          <w:bCs/>
        </w:rPr>
        <w:t>3</w:t>
      </w:r>
      <w:r w:rsidRPr="00DA7AA7">
        <w:rPr>
          <w:b/>
          <w:bCs/>
        </w:rPr>
        <w:t>.</w:t>
      </w:r>
      <w:r>
        <w:t xml:space="preserve"> </w:t>
      </w:r>
      <w:r w:rsidR="00F21732" w:rsidRPr="00FC7657">
        <w:t xml:space="preserve">Pathways of genes altered by Tollip/SP-A deficiency (vs. </w:t>
      </w:r>
      <w:r w:rsidR="00F21732">
        <w:t>SP-A</w:t>
      </w:r>
      <w:r w:rsidR="00F21732" w:rsidRPr="00FC7657">
        <w:t xml:space="preserve"> deficiency) in mouse lung macrophages infected with IAV</w:t>
      </w:r>
    </w:p>
    <w:tbl>
      <w:tblPr>
        <w:tblStyle w:val="TableGrid"/>
        <w:tblW w:w="7830" w:type="dxa"/>
        <w:tblInd w:w="-5" w:type="dxa"/>
        <w:tblLook w:val="04A0" w:firstRow="1" w:lastRow="0" w:firstColumn="1" w:lastColumn="0" w:noHBand="0" w:noVBand="1"/>
      </w:tblPr>
      <w:tblGrid>
        <w:gridCol w:w="3330"/>
        <w:gridCol w:w="1260"/>
        <w:gridCol w:w="720"/>
        <w:gridCol w:w="1440"/>
        <w:gridCol w:w="1080"/>
      </w:tblGrid>
      <w:tr w:rsidR="00347B5D" w14:paraId="3F32B911" w14:textId="77777777" w:rsidTr="00347B5D">
        <w:tc>
          <w:tcPr>
            <w:tcW w:w="3330" w:type="dxa"/>
          </w:tcPr>
          <w:p w14:paraId="6A53F088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Signaling Pathways</w:t>
            </w:r>
          </w:p>
        </w:tc>
        <w:tc>
          <w:tcPr>
            <w:tcW w:w="1260" w:type="dxa"/>
          </w:tcPr>
          <w:p w14:paraId="313F7B0E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Gene Count</w:t>
            </w:r>
          </w:p>
        </w:tc>
        <w:tc>
          <w:tcPr>
            <w:tcW w:w="720" w:type="dxa"/>
          </w:tcPr>
          <w:p w14:paraId="6B60A645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440" w:type="dxa"/>
          </w:tcPr>
          <w:p w14:paraId="75D78B44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Up- or Down- Regulated</w:t>
            </w:r>
          </w:p>
        </w:tc>
        <w:tc>
          <w:tcPr>
            <w:tcW w:w="1080" w:type="dxa"/>
          </w:tcPr>
          <w:p w14:paraId="6906A69D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P value</w:t>
            </w:r>
          </w:p>
        </w:tc>
      </w:tr>
      <w:tr w:rsidR="00F21732" w14:paraId="43423147" w14:textId="77777777" w:rsidTr="00347B5D">
        <w:tc>
          <w:tcPr>
            <w:tcW w:w="3330" w:type="dxa"/>
          </w:tcPr>
          <w:p w14:paraId="17F28776" w14:textId="20D717B4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NOD-like receptor signaling pathway</w:t>
            </w:r>
          </w:p>
        </w:tc>
        <w:tc>
          <w:tcPr>
            <w:tcW w:w="1260" w:type="dxa"/>
          </w:tcPr>
          <w:p w14:paraId="4E437BE1" w14:textId="4C0D757F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14:paraId="0DF4418E" w14:textId="2A294196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7.8</w:t>
            </w:r>
          </w:p>
        </w:tc>
        <w:tc>
          <w:tcPr>
            <w:tcW w:w="1440" w:type="dxa"/>
          </w:tcPr>
          <w:p w14:paraId="6E839DC1" w14:textId="5C61A754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4A47E5A8" w14:textId="7EFC958A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1.67E-06</w:t>
            </w:r>
          </w:p>
        </w:tc>
      </w:tr>
      <w:tr w:rsidR="00F21732" w14:paraId="76689F6D" w14:textId="77777777" w:rsidTr="00347B5D">
        <w:tc>
          <w:tcPr>
            <w:tcW w:w="3330" w:type="dxa"/>
          </w:tcPr>
          <w:p w14:paraId="5D694310" w14:textId="525031EB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Influenza A</w:t>
            </w:r>
          </w:p>
        </w:tc>
        <w:tc>
          <w:tcPr>
            <w:tcW w:w="1260" w:type="dxa"/>
          </w:tcPr>
          <w:p w14:paraId="2A3EA796" w14:textId="24AB6523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720" w:type="dxa"/>
          </w:tcPr>
          <w:p w14:paraId="40AFF91D" w14:textId="1C47DE95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6.0</w:t>
            </w:r>
          </w:p>
        </w:tc>
        <w:tc>
          <w:tcPr>
            <w:tcW w:w="1440" w:type="dxa"/>
          </w:tcPr>
          <w:p w14:paraId="39F49C49" w14:textId="6C20F523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781C72AF" w14:textId="75FBC03C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4.43E-04</w:t>
            </w:r>
          </w:p>
        </w:tc>
      </w:tr>
      <w:tr w:rsidR="00F21732" w14:paraId="57D347FF" w14:textId="77777777" w:rsidTr="00347B5D">
        <w:tc>
          <w:tcPr>
            <w:tcW w:w="3330" w:type="dxa"/>
          </w:tcPr>
          <w:p w14:paraId="26B9228B" w14:textId="6315B63F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 cell receptor signaling pathway</w:t>
            </w:r>
          </w:p>
        </w:tc>
        <w:tc>
          <w:tcPr>
            <w:tcW w:w="1260" w:type="dxa"/>
          </w:tcPr>
          <w:p w14:paraId="276EF169" w14:textId="4D209883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14:paraId="6630047C" w14:textId="0CDB5E5F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4.2</w:t>
            </w:r>
          </w:p>
        </w:tc>
        <w:tc>
          <w:tcPr>
            <w:tcW w:w="1440" w:type="dxa"/>
          </w:tcPr>
          <w:p w14:paraId="5B2903DA" w14:textId="47692D7C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4F85B73C" w14:textId="76E69119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1.24E-03</w:t>
            </w:r>
          </w:p>
        </w:tc>
      </w:tr>
      <w:tr w:rsidR="00F21732" w14:paraId="5C53C803" w14:textId="77777777" w:rsidTr="00347B5D">
        <w:tc>
          <w:tcPr>
            <w:tcW w:w="3330" w:type="dxa"/>
          </w:tcPr>
          <w:p w14:paraId="5F7DDB40" w14:textId="77777777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Cytokine-cytokine receptor interaction</w:t>
            </w:r>
          </w:p>
        </w:tc>
        <w:tc>
          <w:tcPr>
            <w:tcW w:w="1260" w:type="dxa"/>
          </w:tcPr>
          <w:p w14:paraId="7A510960" w14:textId="4DCD8236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720" w:type="dxa"/>
          </w:tcPr>
          <w:p w14:paraId="11E1B3FE" w14:textId="3CF2A776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7.4</w:t>
            </w:r>
          </w:p>
        </w:tc>
        <w:tc>
          <w:tcPr>
            <w:tcW w:w="1440" w:type="dxa"/>
          </w:tcPr>
          <w:p w14:paraId="1AC2E487" w14:textId="2902CBEF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41C5CCEF" w14:textId="6EFB588A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3.52E-03</w:t>
            </w:r>
          </w:p>
        </w:tc>
      </w:tr>
      <w:tr w:rsidR="00F21732" w14:paraId="73BFE568" w14:textId="77777777" w:rsidTr="00347B5D">
        <w:tc>
          <w:tcPr>
            <w:tcW w:w="3330" w:type="dxa"/>
          </w:tcPr>
          <w:p w14:paraId="152CF71B" w14:textId="52FD722A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9107C61" w14:textId="69A579C2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8809093" w14:textId="3F598DE6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7370A47" w14:textId="0D84EBDF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5922C72" w14:textId="5F5CFDE4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</w:p>
        </w:tc>
      </w:tr>
      <w:tr w:rsidR="00F21732" w14:paraId="6D2B257D" w14:textId="77777777" w:rsidTr="00347B5D">
        <w:tc>
          <w:tcPr>
            <w:tcW w:w="3330" w:type="dxa"/>
          </w:tcPr>
          <w:p w14:paraId="23D0B860" w14:textId="5D42882D" w:rsidR="00F21732" w:rsidRPr="00505756" w:rsidRDefault="00F21732" w:rsidP="00F21732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ECM-receptor interaction</w:t>
            </w:r>
          </w:p>
        </w:tc>
        <w:tc>
          <w:tcPr>
            <w:tcW w:w="1260" w:type="dxa"/>
          </w:tcPr>
          <w:p w14:paraId="193DFC71" w14:textId="0E2221F2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14:paraId="7A0A2C0D" w14:textId="6219D4C4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>
              <w:rPr>
                <w:rFonts w:cs="Arial"/>
                <w:color w:val="C00000"/>
                <w:sz w:val="18"/>
                <w:szCs w:val="18"/>
              </w:rPr>
              <w:t>4.8</w:t>
            </w:r>
          </w:p>
        </w:tc>
        <w:tc>
          <w:tcPr>
            <w:tcW w:w="1440" w:type="dxa"/>
          </w:tcPr>
          <w:p w14:paraId="7348E6FB" w14:textId="5760A1EE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4ED2198D" w14:textId="05EFF9A4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9.64E-08</w:t>
            </w:r>
          </w:p>
        </w:tc>
      </w:tr>
      <w:tr w:rsidR="00F21732" w14:paraId="6B9345FB" w14:textId="77777777" w:rsidTr="00347B5D">
        <w:tc>
          <w:tcPr>
            <w:tcW w:w="3330" w:type="dxa"/>
          </w:tcPr>
          <w:p w14:paraId="2B4A2280" w14:textId="4276DF9C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Cell adhesion molecules (CAMs)</w:t>
            </w:r>
          </w:p>
        </w:tc>
        <w:tc>
          <w:tcPr>
            <w:tcW w:w="1260" w:type="dxa"/>
          </w:tcPr>
          <w:p w14:paraId="561A462A" w14:textId="29B89D83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14:paraId="4902A5E7" w14:textId="34B35F3E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>
              <w:rPr>
                <w:rFonts w:cs="Arial"/>
                <w:color w:val="C00000"/>
                <w:sz w:val="18"/>
                <w:szCs w:val="18"/>
              </w:rPr>
              <w:t>5.8</w:t>
            </w:r>
          </w:p>
        </w:tc>
        <w:tc>
          <w:tcPr>
            <w:tcW w:w="1440" w:type="dxa"/>
          </w:tcPr>
          <w:p w14:paraId="05A3774C" w14:textId="4FBF0F61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6B24530F" w14:textId="60FA35C8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1.20E-05</w:t>
            </w:r>
          </w:p>
        </w:tc>
      </w:tr>
      <w:tr w:rsidR="00F21732" w14:paraId="0912957D" w14:textId="77777777" w:rsidTr="00347B5D">
        <w:tc>
          <w:tcPr>
            <w:tcW w:w="3330" w:type="dxa"/>
          </w:tcPr>
          <w:p w14:paraId="0BF09ECE" w14:textId="11F4D197" w:rsidR="00F21732" w:rsidRPr="00505756" w:rsidRDefault="00F21732" w:rsidP="00F21732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Focal adhesion</w:t>
            </w:r>
          </w:p>
        </w:tc>
        <w:tc>
          <w:tcPr>
            <w:tcW w:w="1260" w:type="dxa"/>
          </w:tcPr>
          <w:p w14:paraId="2908F89D" w14:textId="76703F81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14:paraId="58366637" w14:textId="46660571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>
              <w:rPr>
                <w:rFonts w:cs="Arial"/>
                <w:color w:val="C00000"/>
                <w:sz w:val="18"/>
                <w:szCs w:val="18"/>
              </w:rPr>
              <w:t>6.7</w:t>
            </w:r>
          </w:p>
        </w:tc>
        <w:tc>
          <w:tcPr>
            <w:tcW w:w="1440" w:type="dxa"/>
          </w:tcPr>
          <w:p w14:paraId="39FC3B40" w14:textId="6FBDEC8E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1C79D5FA" w14:textId="3EFE917C" w:rsidR="00F21732" w:rsidRPr="00F21732" w:rsidRDefault="00F21732" w:rsidP="00F21732">
            <w:pPr>
              <w:rPr>
                <w:rFonts w:cs="Arial"/>
                <w:color w:val="C00000"/>
                <w:sz w:val="18"/>
                <w:szCs w:val="18"/>
              </w:rPr>
            </w:pPr>
            <w:r w:rsidRPr="00F21732">
              <w:rPr>
                <w:rFonts w:cs="Arial"/>
                <w:color w:val="C00000"/>
                <w:sz w:val="18"/>
                <w:szCs w:val="18"/>
              </w:rPr>
              <w:t>4.51E-05</w:t>
            </w:r>
          </w:p>
        </w:tc>
      </w:tr>
    </w:tbl>
    <w:p w14:paraId="747045F9" w14:textId="77777777" w:rsidR="00DA7AA7" w:rsidRDefault="00DA7AA7"/>
    <w:p w14:paraId="18A8769C" w14:textId="54413887" w:rsidR="00DA7AA7" w:rsidRDefault="00DA7AA7"/>
    <w:sectPr w:rsidR="00DA7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A7"/>
    <w:rsid w:val="0026632E"/>
    <w:rsid w:val="00347B5D"/>
    <w:rsid w:val="0037696D"/>
    <w:rsid w:val="0039660D"/>
    <w:rsid w:val="004F70C5"/>
    <w:rsid w:val="005C7CAD"/>
    <w:rsid w:val="007660AB"/>
    <w:rsid w:val="00795988"/>
    <w:rsid w:val="007D7A7C"/>
    <w:rsid w:val="00961CDD"/>
    <w:rsid w:val="00A85774"/>
    <w:rsid w:val="00A93641"/>
    <w:rsid w:val="00C97468"/>
    <w:rsid w:val="00CC1C9F"/>
    <w:rsid w:val="00CC42C0"/>
    <w:rsid w:val="00DA7AA7"/>
    <w:rsid w:val="00ED1A3F"/>
    <w:rsid w:val="00F2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734D7F"/>
  <w15:chartTrackingRefBased/>
  <w15:docId w15:val="{DBDE73F2-D728-EA46-82A7-E7AC16A7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AA7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AA7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Schaefer, Niccolette</dc:creator>
  <cp:keywords/>
  <dc:description/>
  <cp:lastModifiedBy>Schaefer, Niccolette</cp:lastModifiedBy>
  <cp:revision>6</cp:revision>
  <dcterms:created xsi:type="dcterms:W3CDTF">2023-09-13T18:09:00Z</dcterms:created>
  <dcterms:modified xsi:type="dcterms:W3CDTF">2024-03-26T20:52:00Z</dcterms:modified>
</cp:coreProperties>
</file>