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F24" w:rsidRPr="008C5F24" w:rsidRDefault="008C5F24" w:rsidP="008C5F24">
      <w:pPr>
        <w:widowControl/>
        <w:wordWrap/>
        <w:autoSpaceDE/>
        <w:autoSpaceDN/>
        <w:snapToGrid w:val="0"/>
        <w:textAlignment w:val="baseline"/>
        <w:rPr>
          <w:rFonts w:ascii="Aptos" w:eastAsia="Gulim" w:hAnsi="Aptos" w:cs="Gulim" w:hint="eastAsia"/>
          <w:color w:val="000000"/>
          <w:kern w:val="0"/>
          <w:sz w:val="24"/>
          <w:szCs w:val="24"/>
        </w:rPr>
      </w:pPr>
      <w:bookmarkStart w:id="0" w:name="_GoBack"/>
    </w:p>
    <w:p w:rsidR="008C5F24" w:rsidRPr="008C5F24" w:rsidRDefault="008C5F24" w:rsidP="008C5F24">
      <w:pPr>
        <w:widowControl/>
        <w:wordWrap/>
        <w:autoSpaceDE/>
        <w:autoSpaceDN/>
        <w:snapToGrid w:val="0"/>
        <w:textAlignment w:val="baseline"/>
        <w:rPr>
          <w:rFonts w:ascii="Aptos" w:eastAsia="Gulim" w:hAnsi="Aptos" w:cs="Gulim" w:hint="eastAsia"/>
          <w:color w:val="000000"/>
          <w:kern w:val="0"/>
          <w:sz w:val="24"/>
          <w:szCs w:val="24"/>
        </w:rPr>
      </w:pPr>
      <w:r w:rsidRPr="008C5F24">
        <w:rPr>
          <w:rFonts w:ascii="Aptos" w:eastAsia="Gulim" w:hAnsi="Aptos" w:cs="Gulim" w:hint="eastAsia"/>
          <w:noProof/>
          <w:color w:val="000000"/>
          <w:kern w:val="0"/>
          <w:sz w:val="24"/>
          <w:szCs w:val="24"/>
          <w:lang w:eastAsia="en-US"/>
        </w:rPr>
        <w:drawing>
          <wp:inline distT="0" distB="0" distL="0" distR="0">
            <wp:extent cx="5722620" cy="2636520"/>
            <wp:effectExtent l="0" t="0" r="0" b="0"/>
            <wp:docPr id="2" name="그림 2" descr="C:\Users\user\AppData\Local\Temp\clipData\clip_html0.files\clip_html0_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clipData\clip_html0.files\clip_html0_image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F24" w:rsidRPr="008C5F24" w:rsidRDefault="008C5F24" w:rsidP="008C5F24">
      <w:pPr>
        <w:pStyle w:val="NormalWeb"/>
        <w:spacing w:after="0" w:line="480" w:lineRule="auto"/>
        <w:rPr>
          <w:b/>
        </w:rPr>
      </w:pPr>
      <w:r w:rsidRPr="008C5F24">
        <w:rPr>
          <w:rFonts w:ascii="Times New Roman" w:hAnsi="Times New Roman" w:cs="Times New Roman"/>
          <w:b/>
          <w:snapToGrid w:val="0"/>
          <w:sz w:val="24"/>
          <w:szCs w:val="24"/>
        </w:rPr>
        <w:t>Supplementary Figure 1.  </w:t>
      </w:r>
      <w:r w:rsidRPr="008C5F24">
        <w:rPr>
          <w:rFonts w:ascii="Times New Roman" w:hAnsi="Times New Roman" w:cs="Times New Roman"/>
          <w:b/>
          <w:bCs/>
          <w:sz w:val="24"/>
          <w:szCs w:val="24"/>
        </w:rPr>
        <w:t>Changes in macrophage polarization by day after pleural effusion treatment on BMDM</w:t>
      </w:r>
    </w:p>
    <w:p w:rsidR="008C5F24" w:rsidRDefault="008C5F24" w:rsidP="008C5F24">
      <w:pPr>
        <w:pStyle w:val="NormalWeb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 Cell proliferation rate of macrophages after TPE or T (Transudate) treatment from Day 0 </w:t>
      </w:r>
    </w:p>
    <w:p w:rsidR="008C5F24" w:rsidRPr="008C5F24" w:rsidRDefault="008C5F24" w:rsidP="008C5F24">
      <w:pPr>
        <w:pStyle w:val="NormalWeb"/>
        <w:adjustRightInd w:val="0"/>
        <w:spacing w:after="0" w:line="480" w:lineRule="auto"/>
        <w:rPr>
          <w:rFonts w:ascii="Aptos" w:eastAsia="Gulim" w:hAnsi="Aptos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 Day 3. (b) The specific M2 (Arg-1 and YM-1) markers, M1 (</w:t>
      </w:r>
      <w:proofErr w:type="spellStart"/>
      <w:r>
        <w:rPr>
          <w:rFonts w:ascii="Times New Roman" w:hAnsi="Times New Roman" w:cs="Times New Roman"/>
          <w:sz w:val="24"/>
          <w:szCs w:val="24"/>
        </w:rPr>
        <w:t>iNOS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 markers and pan </w:t>
      </w:r>
      <w:r w:rsidRPr="008C5F24">
        <w:rPr>
          <w:rFonts w:ascii="Times New Roman" w:hAnsi="Times New Roman" w:cs="Times New Roman"/>
          <w:sz w:val="24"/>
          <w:szCs w:val="24"/>
        </w:rPr>
        <w:t>macrophage markers (CD68) were quantified by RT-qPCR after stimulation with TPE or T. The values represent the results of three experiments. TPE vs T: **p&lt; 0.01, *p&lt;0.05, D0 vs other time: #p&lt; 0.</w:t>
      </w:r>
      <w:r w:rsidRPr="008C5F24">
        <w:rPr>
          <w:rFonts w:ascii="Aptos" w:eastAsia="Gulim" w:hAnsi="Aptos"/>
          <w:sz w:val="24"/>
          <w:szCs w:val="24"/>
        </w:rPr>
        <w:t>05</w:t>
      </w:r>
    </w:p>
    <w:p w:rsidR="008C5F24" w:rsidRPr="008C5F24" w:rsidRDefault="008C5F24" w:rsidP="008C5F24">
      <w:pPr>
        <w:pStyle w:val="NormalWeb"/>
        <w:adjustRightInd w:val="0"/>
        <w:spacing w:after="0" w:line="480" w:lineRule="auto"/>
        <w:jc w:val="left"/>
      </w:pPr>
    </w:p>
    <w:bookmarkEnd w:id="0"/>
    <w:p w:rsidR="00C15585" w:rsidRPr="008C5F24" w:rsidRDefault="00C15585"/>
    <w:sectPr w:rsidR="00C15585" w:rsidRPr="008C5F2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Malgun Gothic Semilight"/>
    <w:panose1 w:val="020B0600000101010101"/>
    <w:charset w:val="81"/>
    <w:family w:val="modern"/>
    <w:pitch w:val="variable"/>
    <w:sig w:usb0="00000000" w:usb1="69D77CFB" w:usb2="00000030" w:usb3="00000000" w:csb0="0008009F" w:csb1="00000000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F24"/>
    <w:rsid w:val="008C5F24"/>
    <w:rsid w:val="00C15585"/>
    <w:rsid w:val="00C4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3CB74C-6007-44B4-940E-CD5825A0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5F24"/>
    <w:pPr>
      <w:widowControl/>
      <w:wordWrap/>
      <w:autoSpaceDE/>
      <w:autoSpaceDN/>
      <w:snapToGrid w:val="0"/>
      <w:textAlignment w:val="baseline"/>
    </w:pPr>
    <w:rPr>
      <w:rFonts w:ascii="Malgun Gothic" w:eastAsia="Malgun Gothic" w:hAnsi="Malgun Gothic" w:cs="Gulim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Melanie Lapinig</cp:lastModifiedBy>
  <cp:revision>2</cp:revision>
  <dcterms:created xsi:type="dcterms:W3CDTF">2024-03-04T17:30:00Z</dcterms:created>
  <dcterms:modified xsi:type="dcterms:W3CDTF">2024-05-04T10:11:00Z</dcterms:modified>
</cp:coreProperties>
</file>