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D71" w:rsidRDefault="00D957C1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z w:val="24"/>
          <w:lang w:eastAsia="en-US"/>
        </w:rPr>
        <w:drawing>
          <wp:inline distT="0" distB="0" distL="0" distR="0">
            <wp:extent cx="5731510" cy="3470910"/>
            <wp:effectExtent l="0" t="0" r="0" b="0"/>
            <wp:docPr id="1025" name="shape10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D71" w:rsidRDefault="00DE4D71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E4D71" w:rsidRDefault="00D957C1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Supplementary Figure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Effect of </w:t>
      </w:r>
      <w:r>
        <w:rPr>
          <w:rFonts w:ascii="Times New Roman" w:eastAsia="Times New Roman" w:hAnsi="Times New Roman" w:cs="Times New Roman"/>
          <w:b/>
          <w:sz w:val="22"/>
        </w:rPr>
        <w:t>3-methyladenine</w:t>
      </w:r>
      <w:r>
        <w:rPr>
          <w:rFonts w:ascii="Times New Roman" w:eastAsia="Times New Roman" w:hAnsi="Times New Roman" w:cs="Times New Roman"/>
          <w:b/>
          <w:sz w:val="22"/>
        </w:rPr>
        <w:t>(</w:t>
      </w:r>
      <w:r>
        <w:rPr>
          <w:rFonts w:ascii="Times New Roman" w:eastAsia="Times New Roman" w:hAnsi="Times New Roman" w:cs="Times New Roman"/>
          <w:b/>
          <w:sz w:val="22"/>
        </w:rPr>
        <w:t>3-MA)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and </w:t>
      </w:r>
      <w:r>
        <w:rPr>
          <w:rFonts w:ascii="Times New Roman" w:eastAsia="Times New Roman" w:hAnsi="Times New Roman" w:cs="Times New Roman"/>
          <w:b/>
          <w:sz w:val="22"/>
        </w:rPr>
        <w:t>bafilomycin</w:t>
      </w:r>
      <w:r>
        <w:rPr>
          <w:rFonts w:ascii="Times New Roman" w:eastAsia="Times New Roman" w:hAnsi="Times New Roman" w:cs="Times New Roman"/>
          <w:b/>
          <w:sz w:val="22"/>
        </w:rPr>
        <w:t>(</w:t>
      </w:r>
      <w:r>
        <w:rPr>
          <w:rFonts w:ascii="Times New Roman" w:eastAsia="Times New Roman" w:hAnsi="Times New Roman" w:cs="Times New Roman"/>
          <w:b/>
          <w:sz w:val="22"/>
        </w:rPr>
        <w:t xml:space="preserve">BafA1) on autophagy in </w:t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TPE-Arg-1</w:t>
      </w:r>
      <w:r>
        <w:rPr>
          <w:rFonts w:ascii="Times New Roman" w:eastAsia="Times New Roman" w:hAnsi="Times New Roman" w:cs="Times New Roman"/>
          <w:b/>
          <w:color w:val="000000"/>
          <w:sz w:val="22"/>
          <w:vertAlign w:val="superscript"/>
        </w:rPr>
        <w:t xml:space="preserve"> + </w:t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 xml:space="preserve">MФ CM treated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A549 cells</w:t>
      </w:r>
    </w:p>
    <w:p w:rsidR="00DE4D71" w:rsidRDefault="00D957C1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A549 cells were treated with vehicle control or </w:t>
      </w:r>
      <w:r>
        <w:rPr>
          <w:rFonts w:ascii="Times New Roman" w:eastAsia="Times New Roman" w:hAnsi="Times New Roman" w:cs="Times New Roman"/>
          <w:sz w:val="22"/>
        </w:rPr>
        <w:t xml:space="preserve">10 nM BafA1 or 10mM 3-Ma in the presence or absence of </w:t>
      </w:r>
      <w:r>
        <w:rPr>
          <w:rFonts w:ascii="Times New Roman" w:eastAsia="Times New Roman" w:hAnsi="Times New Roman" w:cs="Times New Roman"/>
          <w:color w:val="000000"/>
          <w:sz w:val="22"/>
        </w:rPr>
        <w:t>TPE-Arg-1</w:t>
      </w:r>
      <w:r>
        <w:rPr>
          <w:rFonts w:ascii="Times New Roman" w:eastAsia="Times New Roman" w:hAnsi="Times New Roman" w:cs="Times New Roman"/>
          <w:color w:val="000000"/>
          <w:sz w:val="22"/>
          <w:vertAlign w:val="superscript"/>
        </w:rPr>
        <w:t xml:space="preserve"> +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MФ CM for 48 hours. </w:t>
      </w:r>
      <w:r>
        <w:rPr>
          <w:rFonts w:ascii="Times New Roman" w:eastAsia="Times New Roman" w:hAnsi="Times New Roman" w:cs="Times New Roman"/>
          <w:kern w:val="1"/>
          <w:sz w:val="24"/>
          <w:szCs w:val="24"/>
        </w:rPr>
        <w:t>Thereafter</w:t>
      </w:r>
      <w:r>
        <w:rPr>
          <w:rFonts w:ascii="Times New Roman" w:eastAsia="Times New Roman" w:hAnsi="Times New Roman" w:cs="Times New Roman"/>
          <w:color w:val="000000"/>
          <w:sz w:val="22"/>
        </w:rPr>
        <w:t>, protein expression was examined using western blot analysis for LC3II /LC3I</w:t>
      </w:r>
      <w:r>
        <w:rPr>
          <w:rFonts w:ascii="Times New Roman" w:eastAsia="Times New Roman" w:hAnsi="Times New Roman" w:cs="Times New Roman"/>
          <w:sz w:val="22"/>
        </w:rPr>
        <w:t>, ATG-12 and actin.</w:t>
      </w:r>
    </w:p>
    <w:bookmarkEnd w:id="0"/>
    <w:p w:rsidR="00DE4D71" w:rsidRDefault="00DE4D71">
      <w:pPr>
        <w:spacing w:after="0" w:line="480" w:lineRule="auto"/>
        <w:rPr>
          <w:rFonts w:ascii="Times New Roman" w:eastAsia="Times New Roman" w:hAnsi="Times New Roman" w:cs="Times New Roman"/>
          <w:sz w:val="22"/>
        </w:rPr>
      </w:pPr>
    </w:p>
    <w:sectPr w:rsidR="00DE4D71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oNotDisplayPageBoundaries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71"/>
    <w:rsid w:val="00D957C1"/>
    <w:rsid w:val="00DE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2024-02-09T07:38:00Z</dcterms:created>
  <dcterms:modified xsi:type="dcterms:W3CDTF">2024-05-04T10:12:00Z</dcterms:modified>
  <cp:version>1100.0100.01</cp:version>
</cp:coreProperties>
</file>