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黑体" w:cs="Times New Roman"/>
          <w:b/>
          <w:bCs/>
          <w:color w:val="auto"/>
          <w:kern w:val="0"/>
          <w:sz w:val="24"/>
          <w:szCs w:val="24"/>
          <w:lang w:val="en-US" w:eastAsia="zh-CN"/>
        </w:rPr>
      </w:pPr>
      <w:r>
        <w:rPr>
          <w:rFonts w:hint="default" w:ascii="Times New Roman" w:hAnsi="Times New Roman" w:eastAsia="黑体" w:cs="Times New Roman"/>
          <w:b/>
          <w:bCs/>
          <w:color w:val="auto"/>
          <w:kern w:val="0"/>
          <w:sz w:val="24"/>
          <w:szCs w:val="24"/>
          <w:lang w:val="en-US" w:eastAsia="zh-CN"/>
        </w:rPr>
        <w:t>Supplemental Online Content</w:t>
      </w:r>
    </w:p>
    <w:p>
      <w:pPr>
        <w:pStyle w:val="2"/>
        <w:keepNext w:val="0"/>
        <w:keepLines w:val="0"/>
        <w:pageBreakBefore w:val="0"/>
        <w:widowControl/>
        <w:kinsoku/>
        <w:wordWrap/>
        <w:overflowPunct/>
        <w:topLinePunct w:val="0"/>
        <w:autoSpaceDE/>
        <w:autoSpaceDN/>
        <w:bidi w:val="0"/>
        <w:adjustRightInd/>
        <w:snapToGrid/>
        <w:spacing w:beforeAutospacing="0" w:afterAutospacing="0" w:line="480" w:lineRule="auto"/>
        <w:textAlignment w:val="auto"/>
        <w:rPr>
          <w:rFonts w:hint="eastAsia" w:ascii="Times New Roman" w:hAnsi="Times New Roman" w:eastAsia="宋体" w:cs="Times New Roman"/>
          <w:b/>
          <w:bCs/>
          <w:color w:val="auto"/>
          <w:sz w:val="20"/>
          <w:szCs w:val="20"/>
          <w:lang w:val="en-US" w:eastAsia="zh-CN"/>
        </w:rPr>
      </w:pPr>
      <w:r>
        <w:rPr>
          <w:rFonts w:hint="default" w:ascii="Times New Roman" w:hAnsi="Times New Roman" w:cs="Times New Roman"/>
          <w:b/>
          <w:bCs/>
          <w:color w:val="auto"/>
          <w:sz w:val="20"/>
          <w:szCs w:val="20"/>
          <w:lang w:val="en-US" w:eastAsia="zh-CN"/>
        </w:rPr>
        <w:t>Jian Zhang, Yuping</w:t>
      </w:r>
      <w:r>
        <w:rPr>
          <w:rFonts w:hint="default" w:ascii="Times New Roman" w:hAnsi="Times New Roman" w:eastAsia="Times New Roman" w:cs="Times New Roman"/>
          <w:b/>
          <w:bCs/>
          <w:color w:val="auto"/>
          <w:sz w:val="20"/>
          <w:szCs w:val="20"/>
        </w:rPr>
        <w:t xml:space="preserve"> </w:t>
      </w:r>
      <w:r>
        <w:rPr>
          <w:rFonts w:hint="default" w:ascii="Times New Roman" w:hAnsi="Times New Roman" w:cs="Times New Roman"/>
          <w:b/>
          <w:bCs/>
          <w:color w:val="auto"/>
          <w:sz w:val="20"/>
          <w:szCs w:val="20"/>
          <w:lang w:val="en-US" w:eastAsia="zh-CN"/>
        </w:rPr>
        <w:t>Sun</w:t>
      </w:r>
      <w:r>
        <w:rPr>
          <w:rFonts w:hint="default" w:ascii="Times New Roman" w:hAnsi="Times New Roman" w:cs="Times New Roman"/>
          <w:b/>
          <w:bCs/>
          <w:color w:val="auto"/>
          <w:sz w:val="20"/>
          <w:szCs w:val="20"/>
          <w:vertAlign w:val="baseline"/>
          <w:lang w:val="en-US" w:eastAsia="zh-CN"/>
        </w:rPr>
        <w:t xml:space="preserve">, </w:t>
      </w:r>
      <w:r>
        <w:rPr>
          <w:rFonts w:hint="default" w:ascii="Times New Roman" w:hAnsi="Times New Roman" w:cs="Times New Roman"/>
          <w:b/>
          <w:bCs/>
          <w:color w:val="auto"/>
          <w:sz w:val="20"/>
          <w:szCs w:val="20"/>
          <w:lang w:val="en-US" w:eastAsia="zh-CN"/>
        </w:rPr>
        <w:t>Aiqin Gao</w:t>
      </w:r>
      <w:r>
        <w:rPr>
          <w:rFonts w:hint="eastAsia" w:ascii="Times New Roman" w:hAnsi="Times New Roman" w:cs="Times New Roman"/>
          <w:b/>
          <w:bCs/>
          <w:color w:val="auto"/>
          <w:sz w:val="20"/>
          <w:szCs w:val="20"/>
          <w:lang w:val="en-US" w:eastAsia="zh-CN"/>
        </w:rPr>
        <w:t xml:space="preserve">，et al. </w:t>
      </w:r>
      <w:r>
        <w:rPr>
          <w:rFonts w:hint="default" w:ascii="Times New Roman" w:hAnsi="Times New Roman" w:eastAsia="Times New Roman" w:cs="Times New Roman"/>
          <w:b/>
          <w:bCs/>
          <w:color w:val="auto"/>
          <w:sz w:val="20"/>
          <w:szCs w:val="20"/>
        </w:rPr>
        <w:t>Correlation between Immune-Related Adverse Events and Efficacy of PD-1/PD-L1 Inhibitors in Small Cell Lung Cancer: A Multi-center Retrospective Study</w:t>
      </w:r>
      <w:r>
        <w:rPr>
          <w:rFonts w:hint="eastAsia" w:ascii="Times New Roman" w:hAnsi="Times New Roman" w:eastAsia="宋体" w:cs="Times New Roman"/>
          <w:b/>
          <w:bCs/>
          <w:color w:val="auto"/>
          <w:sz w:val="20"/>
          <w:szCs w:val="20"/>
          <w:lang w:val="en-US" w:eastAsia="zh-CN"/>
        </w:rPr>
        <w:t>.</w:t>
      </w:r>
    </w:p>
    <w:p>
      <w:pPr>
        <w:pStyle w:val="2"/>
        <w:keepNext w:val="0"/>
        <w:keepLines w:val="0"/>
        <w:pageBreakBefore w:val="0"/>
        <w:widowControl/>
        <w:kinsoku/>
        <w:wordWrap/>
        <w:overflowPunct/>
        <w:topLinePunct w:val="0"/>
        <w:autoSpaceDE/>
        <w:autoSpaceDN/>
        <w:bidi w:val="0"/>
        <w:adjustRightInd/>
        <w:snapToGrid/>
        <w:spacing w:beforeAutospacing="0" w:afterAutospacing="0" w:line="480" w:lineRule="auto"/>
        <w:textAlignment w:val="auto"/>
        <w:rPr>
          <w:rFonts w:hint="default" w:ascii="Times New Roman" w:hAnsi="Times New Roman" w:cs="Times New Roman"/>
          <w:b/>
          <w:bCs/>
          <w:color w:val="auto"/>
          <w:sz w:val="20"/>
          <w:szCs w:val="20"/>
          <w:lang w:val="en-US" w:eastAsia="zh-CN"/>
        </w:rPr>
      </w:pPr>
      <w:r>
        <w:rPr>
          <w:rFonts w:hint="default" w:ascii="Times New Roman" w:hAnsi="Times New Roman" w:cs="Times New Roman"/>
          <w:b/>
          <w:bCs/>
          <w:color w:val="auto"/>
          <w:sz w:val="20"/>
          <w:szCs w:val="20"/>
          <w:lang w:val="en-US" w:eastAsia="zh-CN"/>
        </w:rPr>
        <w:t>eMethods</w:t>
      </w:r>
    </w:p>
    <w:p>
      <w:pPr>
        <w:pStyle w:val="2"/>
        <w:keepNext w:val="0"/>
        <w:keepLines w:val="0"/>
        <w:pageBreakBefore w:val="0"/>
        <w:widowControl/>
        <w:kinsoku/>
        <w:wordWrap/>
        <w:overflowPunct/>
        <w:topLinePunct w:val="0"/>
        <w:autoSpaceDE/>
        <w:autoSpaceDN/>
        <w:bidi w:val="0"/>
        <w:adjustRightInd/>
        <w:snapToGrid/>
        <w:spacing w:beforeAutospacing="0" w:afterAutospacing="0" w:line="480" w:lineRule="auto"/>
        <w:textAlignment w:val="auto"/>
        <w:rPr>
          <w:rFonts w:hint="default" w:ascii="Times New Roman" w:hAnsi="Times New Roman" w:cs="Times New Roman"/>
          <w:b/>
          <w:bCs/>
          <w:color w:val="auto"/>
          <w:sz w:val="20"/>
          <w:szCs w:val="20"/>
          <w:lang w:val="en-US" w:eastAsia="zh-CN"/>
        </w:rPr>
      </w:pPr>
      <w:r>
        <w:rPr>
          <w:rFonts w:hint="default" w:ascii="Times New Roman" w:hAnsi="Times New Roman" w:cs="Times New Roman"/>
          <w:b/>
          <w:bCs/>
          <w:color w:val="auto"/>
          <w:sz w:val="20"/>
          <w:szCs w:val="20"/>
          <w:lang w:val="en-US" w:eastAsia="zh-CN"/>
        </w:rPr>
        <w:t>eReferences</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val="0"/>
          <w:bCs w:val="0"/>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1</w:t>
      </w:r>
      <w:r>
        <w:rPr>
          <w:rFonts w:ascii="Times New Roman" w:hAnsi="Times New Roman" w:cs="Times New Roman"/>
          <w:b/>
          <w:bCs/>
          <w:color w:val="auto"/>
          <w:kern w:val="0"/>
          <w:sz w:val="20"/>
          <w:szCs w:val="20"/>
        </w:rPr>
        <w:t xml:space="preserve">  </w:t>
      </w:r>
      <w:r>
        <w:rPr>
          <w:rFonts w:ascii="Times New Roman" w:hAnsi="Times New Roman" w:cs="Times New Roman"/>
          <w:b w:val="0"/>
          <w:bCs w:val="0"/>
          <w:color w:val="auto"/>
          <w:kern w:val="0"/>
          <w:sz w:val="20"/>
          <w:szCs w:val="20"/>
        </w:rPr>
        <w:t xml:space="preserve">Summary of immune-related adverse events and their treatment </w:t>
      </w:r>
      <w:r>
        <w:rPr>
          <w:rFonts w:hint="eastAsia" w:ascii="Times New Roman" w:hAnsi="Times New Roman" w:cs="Times New Roman"/>
          <w:b w:val="0"/>
          <w:bCs w:val="0"/>
          <w:color w:val="auto"/>
          <w:kern w:val="0"/>
          <w:sz w:val="20"/>
          <w:szCs w:val="20"/>
          <w:lang w:val="en-US" w:eastAsia="zh-CN"/>
        </w:rPr>
        <w:t>in</w:t>
      </w:r>
      <w:r>
        <w:rPr>
          <w:rFonts w:ascii="Times New Roman" w:hAnsi="Times New Roman" w:cs="Times New Roman"/>
          <w:b w:val="0"/>
          <w:bCs w:val="0"/>
          <w:color w:val="auto"/>
          <w:kern w:val="0"/>
          <w:sz w:val="20"/>
          <w:szCs w:val="20"/>
        </w:rPr>
        <w:t xml:space="preserve"> SCLC treated with immunotherapy.</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cs="Times New Roman"/>
          <w:b/>
          <w:bCs/>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2</w:t>
      </w:r>
      <w:r>
        <w:rPr>
          <w:rFonts w:ascii="Times New Roman" w:hAnsi="Times New Roman" w:cs="Times New Roman"/>
          <w:b/>
          <w:bCs/>
          <w:color w:val="auto"/>
          <w:kern w:val="0"/>
          <w:sz w:val="20"/>
          <w:szCs w:val="20"/>
        </w:rPr>
        <w:t xml:space="preserve">  </w:t>
      </w:r>
      <w:r>
        <w:rPr>
          <w:rFonts w:ascii="Times New Roman" w:hAnsi="Times New Roman" w:cs="Times New Roman"/>
          <w:b w:val="0"/>
          <w:bCs w:val="0"/>
          <w:color w:val="auto"/>
          <w:kern w:val="0"/>
          <w:sz w:val="20"/>
          <w:szCs w:val="20"/>
        </w:rPr>
        <w:t xml:space="preserve">Multivariate logistic regression of risk factors for irAEs in </w:t>
      </w:r>
      <w:r>
        <w:rPr>
          <w:rFonts w:hint="eastAsia" w:ascii="Times New Roman" w:hAnsi="Times New Roman" w:cs="Times New Roman"/>
          <w:b w:val="0"/>
          <w:bCs w:val="0"/>
          <w:color w:val="auto"/>
          <w:kern w:val="0"/>
          <w:sz w:val="20"/>
          <w:szCs w:val="20"/>
          <w:lang w:val="en-US" w:eastAsia="zh-CN"/>
        </w:rPr>
        <w:t xml:space="preserve">SCLC </w:t>
      </w:r>
      <w:r>
        <w:rPr>
          <w:rFonts w:ascii="Times New Roman" w:hAnsi="Times New Roman" w:cs="Times New Roman"/>
          <w:b w:val="0"/>
          <w:bCs w:val="0"/>
          <w:color w:val="auto"/>
          <w:kern w:val="0"/>
          <w:sz w:val="20"/>
          <w:szCs w:val="20"/>
        </w:rPr>
        <w:t>patients treated with immunotherapy.</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cs="Times New Roman"/>
          <w:b/>
          <w:bCs/>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3</w:t>
      </w:r>
      <w:r>
        <w:rPr>
          <w:rFonts w:ascii="Times New Roman" w:hAnsi="Times New Roman" w:cs="Times New Roman"/>
          <w:b/>
          <w:bCs/>
          <w:color w:val="auto"/>
          <w:kern w:val="0"/>
          <w:sz w:val="20"/>
          <w:szCs w:val="20"/>
        </w:rPr>
        <w:t xml:space="preserve">  </w:t>
      </w:r>
      <w:r>
        <w:rPr>
          <w:rFonts w:ascii="Times New Roman" w:hAnsi="Times New Roman" w:cs="Times New Roman"/>
          <w:b w:val="0"/>
          <w:bCs w:val="0"/>
          <w:color w:val="auto"/>
          <w:kern w:val="0"/>
          <w:sz w:val="20"/>
          <w:szCs w:val="20"/>
        </w:rPr>
        <w:t xml:space="preserve">Multivariate Cox regression model of overall and progression-free survival in </w:t>
      </w:r>
      <w:r>
        <w:rPr>
          <w:rFonts w:hint="eastAsia" w:ascii="Times New Roman" w:hAnsi="Times New Roman" w:cs="Times New Roman"/>
          <w:b w:val="0"/>
          <w:bCs w:val="0"/>
          <w:color w:val="auto"/>
          <w:kern w:val="0"/>
          <w:sz w:val="20"/>
          <w:szCs w:val="20"/>
          <w:lang w:val="en-US" w:eastAsia="zh-CN"/>
        </w:rPr>
        <w:t xml:space="preserve">SCLC </w:t>
      </w:r>
      <w:r>
        <w:rPr>
          <w:rFonts w:ascii="Times New Roman" w:hAnsi="Times New Roman" w:cs="Times New Roman"/>
          <w:b w:val="0"/>
          <w:bCs w:val="0"/>
          <w:color w:val="auto"/>
          <w:kern w:val="0"/>
          <w:sz w:val="20"/>
          <w:szCs w:val="20"/>
        </w:rPr>
        <w:t xml:space="preserve">patients </w:t>
      </w:r>
      <w:r>
        <w:rPr>
          <w:rFonts w:hint="eastAsia" w:ascii="Times New Roman" w:hAnsi="Times New Roman" w:cs="Times New Roman"/>
          <w:b w:val="0"/>
          <w:bCs w:val="0"/>
          <w:color w:val="auto"/>
          <w:kern w:val="0"/>
          <w:sz w:val="20"/>
          <w:szCs w:val="20"/>
          <w:lang w:val="en-US" w:eastAsia="zh-CN"/>
        </w:rPr>
        <w:t>t</w:t>
      </w:r>
      <w:r>
        <w:rPr>
          <w:rFonts w:ascii="Times New Roman" w:hAnsi="Times New Roman" w:cs="Times New Roman"/>
          <w:b w:val="0"/>
          <w:bCs w:val="0"/>
          <w:color w:val="auto"/>
          <w:kern w:val="0"/>
          <w:sz w:val="20"/>
          <w:szCs w:val="20"/>
        </w:rPr>
        <w:t>reated with anti-PD(L)1 immunotherapy, utilizing irAEs as a time-varying covariate.</w:t>
      </w:r>
      <w:r>
        <w:rPr>
          <w:rFonts w:ascii="Times New Roman" w:hAnsi="Times New Roman" w:cs="Times New Roman"/>
          <w:b/>
          <w:bCs/>
          <w:color w:val="auto"/>
          <w:kern w:val="0"/>
          <w:sz w:val="20"/>
          <w:szCs w:val="20"/>
        </w:rPr>
        <w:t xml:space="preserve"> </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val="0"/>
          <w:bCs w:val="0"/>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4</w:t>
      </w:r>
      <w:r>
        <w:rPr>
          <w:rFonts w:ascii="Times New Roman" w:hAnsi="Times New Roman" w:cs="Times New Roman"/>
          <w:b/>
          <w:bCs/>
          <w:color w:val="auto"/>
          <w:kern w:val="0"/>
          <w:sz w:val="20"/>
          <w:szCs w:val="20"/>
        </w:rPr>
        <w:t xml:space="preserve">  </w:t>
      </w:r>
      <w:r>
        <w:rPr>
          <w:rFonts w:ascii="Times New Roman" w:hAnsi="Times New Roman" w:cs="Times New Roman"/>
          <w:b w:val="0"/>
          <w:bCs w:val="0"/>
          <w:color w:val="auto"/>
          <w:kern w:val="0"/>
          <w:sz w:val="20"/>
          <w:szCs w:val="20"/>
        </w:rPr>
        <w:t xml:space="preserve">Multivariate Cox regression model of overall and progression-free survival in </w:t>
      </w:r>
      <w:r>
        <w:rPr>
          <w:rFonts w:hint="eastAsia" w:ascii="Times New Roman" w:hAnsi="Times New Roman" w:cs="Times New Roman"/>
          <w:b w:val="0"/>
          <w:bCs w:val="0"/>
          <w:color w:val="auto"/>
          <w:kern w:val="0"/>
          <w:sz w:val="20"/>
          <w:szCs w:val="20"/>
          <w:lang w:val="en-US" w:eastAsia="zh-CN"/>
        </w:rPr>
        <w:t xml:space="preserve">SCLC </w:t>
      </w:r>
      <w:r>
        <w:rPr>
          <w:rFonts w:ascii="Times New Roman" w:hAnsi="Times New Roman" w:cs="Times New Roman"/>
          <w:b w:val="0"/>
          <w:bCs w:val="0"/>
          <w:color w:val="auto"/>
          <w:kern w:val="0"/>
          <w:sz w:val="20"/>
          <w:szCs w:val="20"/>
        </w:rPr>
        <w:t xml:space="preserve">patients treated with anti-PD(L)1 immunotherapy, utilizing the three most common single irAEs as categorical variables. </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val="0"/>
          <w:bCs w:val="0"/>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5</w:t>
      </w:r>
      <w:r>
        <w:rPr>
          <w:rFonts w:ascii="Times New Roman" w:hAnsi="Times New Roman" w:cs="Times New Roman"/>
          <w:b/>
          <w:bCs/>
          <w:color w:val="auto"/>
          <w:kern w:val="0"/>
          <w:sz w:val="20"/>
          <w:szCs w:val="20"/>
        </w:rPr>
        <w:t xml:space="preserve">  </w:t>
      </w:r>
      <w:r>
        <w:rPr>
          <w:rFonts w:ascii="Times New Roman" w:hAnsi="Times New Roman" w:cs="Times New Roman"/>
          <w:b w:val="0"/>
          <w:bCs w:val="0"/>
          <w:color w:val="auto"/>
          <w:kern w:val="0"/>
          <w:sz w:val="20"/>
          <w:szCs w:val="20"/>
        </w:rPr>
        <w:t xml:space="preserve">Multivariate Cox regression model of overall and progression-free survival in </w:t>
      </w:r>
      <w:r>
        <w:rPr>
          <w:rFonts w:hint="eastAsia" w:ascii="Times New Roman" w:hAnsi="Times New Roman" w:cs="Times New Roman"/>
          <w:b w:val="0"/>
          <w:bCs w:val="0"/>
          <w:color w:val="auto"/>
          <w:kern w:val="0"/>
          <w:sz w:val="20"/>
          <w:szCs w:val="20"/>
          <w:lang w:val="en-US" w:eastAsia="zh-CN"/>
        </w:rPr>
        <w:t xml:space="preserve">SCLC </w:t>
      </w:r>
      <w:r>
        <w:rPr>
          <w:rFonts w:ascii="Times New Roman" w:hAnsi="Times New Roman" w:cs="Times New Roman"/>
          <w:b w:val="0"/>
          <w:bCs w:val="0"/>
          <w:color w:val="auto"/>
          <w:kern w:val="0"/>
          <w:sz w:val="20"/>
          <w:szCs w:val="20"/>
        </w:rPr>
        <w:t>patients treated with anti-PD(L)1 immunotherapy, utilizing irAEs as a categorical variable.</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val="0"/>
          <w:bCs w:val="0"/>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6</w:t>
      </w:r>
      <w:r>
        <w:rPr>
          <w:rFonts w:ascii="Times New Roman" w:hAnsi="Times New Roman" w:cs="Times New Roman"/>
          <w:b/>
          <w:bCs/>
          <w:color w:val="auto"/>
          <w:kern w:val="0"/>
          <w:sz w:val="20"/>
          <w:szCs w:val="20"/>
        </w:rPr>
        <w:t xml:space="preserve">  </w:t>
      </w:r>
      <w:r>
        <w:rPr>
          <w:rFonts w:ascii="Times New Roman" w:hAnsi="Times New Roman" w:cs="Times New Roman"/>
          <w:b w:val="0"/>
          <w:bCs w:val="0"/>
          <w:color w:val="auto"/>
          <w:kern w:val="0"/>
          <w:sz w:val="20"/>
          <w:szCs w:val="20"/>
        </w:rPr>
        <w:t xml:space="preserve">Multivariate Cox regression model of overall and progression-free survival in </w:t>
      </w:r>
      <w:r>
        <w:rPr>
          <w:rFonts w:hint="eastAsia" w:ascii="Times New Roman" w:hAnsi="Times New Roman" w:cs="Times New Roman"/>
          <w:b w:val="0"/>
          <w:bCs w:val="0"/>
          <w:color w:val="auto"/>
          <w:kern w:val="0"/>
          <w:sz w:val="20"/>
          <w:szCs w:val="20"/>
          <w:lang w:val="en-US" w:eastAsia="zh-CN"/>
        </w:rPr>
        <w:t xml:space="preserve">SCLC </w:t>
      </w:r>
      <w:r>
        <w:rPr>
          <w:rFonts w:ascii="Times New Roman" w:hAnsi="Times New Roman" w:cs="Times New Roman"/>
          <w:b w:val="0"/>
          <w:bCs w:val="0"/>
          <w:color w:val="auto"/>
          <w:kern w:val="0"/>
          <w:sz w:val="20"/>
          <w:szCs w:val="20"/>
        </w:rPr>
        <w:t xml:space="preserve">patients treated with anti-PD(L)1 immunotherapy, utilizing multi-system irAEs as a continuous variable. </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val="0"/>
          <w:bCs w:val="0"/>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7</w:t>
      </w:r>
      <w:r>
        <w:rPr>
          <w:rFonts w:ascii="Times New Roman" w:hAnsi="Times New Roman" w:cs="Times New Roman"/>
          <w:b/>
          <w:bCs/>
          <w:color w:val="auto"/>
          <w:kern w:val="0"/>
          <w:sz w:val="20"/>
          <w:szCs w:val="20"/>
        </w:rPr>
        <w:t xml:space="preserve">  </w:t>
      </w:r>
      <w:r>
        <w:rPr>
          <w:rFonts w:hint="eastAsia" w:ascii="Times New Roman" w:hAnsi="Times New Roman" w:eastAsia="宋体" w:cs="Times New Roman"/>
          <w:color w:val="auto"/>
          <w:kern w:val="0"/>
          <w:sz w:val="20"/>
          <w:szCs w:val="20"/>
          <w:lang w:val="en-US" w:eastAsia="zh-CN" w:bidi="ar"/>
        </w:rPr>
        <w:t>P</w:t>
      </w:r>
      <w:r>
        <w:rPr>
          <w:rFonts w:hint="default" w:ascii="Times New Roman" w:hAnsi="Times New Roman" w:eastAsia="宋体" w:cs="Times New Roman"/>
          <w:color w:val="auto"/>
          <w:kern w:val="0"/>
          <w:sz w:val="20"/>
          <w:szCs w:val="20"/>
          <w:lang w:val="en-US" w:eastAsia="zh-CN" w:bidi="ar"/>
        </w:rPr>
        <w:t>rognosis</w:t>
      </w:r>
      <w:r>
        <w:rPr>
          <w:rFonts w:hint="eastAsia" w:ascii="Times New Roman" w:hAnsi="Times New Roman" w:cs="Times New Roman"/>
          <w:color w:val="auto"/>
          <w:sz w:val="20"/>
          <w:szCs w:val="20"/>
          <w:lang w:val="en-US" w:eastAsia="zh-CN"/>
        </w:rPr>
        <w:t xml:space="preserve"> of patients with </w:t>
      </w:r>
      <w:r>
        <w:rPr>
          <w:rFonts w:hint="default" w:ascii="Arial" w:hAnsi="Arial" w:cs="Arial"/>
          <w:color w:val="auto"/>
          <w:sz w:val="20"/>
          <w:szCs w:val="20"/>
          <w:lang w:val="en-US" w:eastAsia="zh-CN"/>
        </w:rPr>
        <w:t>≥</w:t>
      </w:r>
      <w:r>
        <w:rPr>
          <w:rFonts w:hint="default" w:ascii="Times New Roman" w:hAnsi="Times New Roman" w:cs="Times New Roman"/>
          <w:color w:val="auto"/>
          <w:sz w:val="20"/>
          <w:szCs w:val="20"/>
          <w:lang w:val="en-US" w:eastAsia="zh-CN"/>
        </w:rPr>
        <w:t xml:space="preserve"> </w:t>
      </w:r>
      <w:r>
        <w:rPr>
          <w:rFonts w:hint="default" w:ascii="Times New Roman" w:hAnsi="Times New Roman" w:eastAsia="宋体" w:cs="Times New Roman"/>
          <w:color w:val="auto"/>
          <w:kern w:val="0"/>
          <w:sz w:val="20"/>
          <w:szCs w:val="20"/>
          <w:lang w:val="en-US" w:eastAsia="zh-CN" w:bidi="ar"/>
        </w:rPr>
        <w:t>Grade 3</w:t>
      </w:r>
      <w:r>
        <w:rPr>
          <w:rFonts w:hint="eastAsia" w:ascii="Times New Roman" w:hAnsi="Times New Roman" w:eastAsia="宋体" w:cs="Times New Roman"/>
          <w:color w:val="auto"/>
          <w:kern w:val="0"/>
          <w:sz w:val="20"/>
          <w:szCs w:val="20"/>
          <w:lang w:val="en-US" w:eastAsia="zh-CN" w:bidi="ar"/>
        </w:rPr>
        <w:t xml:space="preserve"> </w:t>
      </w:r>
      <w:r>
        <w:rPr>
          <w:rFonts w:hint="default" w:ascii="Times New Roman" w:hAnsi="Times New Roman" w:eastAsia="宋体" w:cs="Times New Roman"/>
          <w:color w:val="auto"/>
          <w:kern w:val="0"/>
          <w:sz w:val="20"/>
          <w:szCs w:val="20"/>
          <w:lang w:val="en-US" w:eastAsia="zh-CN" w:bidi="ar"/>
        </w:rPr>
        <w:t>irAEs</w:t>
      </w:r>
      <w:r>
        <w:rPr>
          <w:rFonts w:hint="eastAsia" w:ascii="Times New Roman" w:hAnsi="Times New Roman" w:cs="Times New Roman"/>
          <w:color w:val="auto"/>
          <w:sz w:val="20"/>
          <w:szCs w:val="20"/>
          <w:lang w:val="en-US" w:eastAsia="zh-CN"/>
        </w:rPr>
        <w:t>.</w:t>
      </w:r>
      <w:r>
        <w:rPr>
          <w:rFonts w:ascii="Times New Roman" w:hAnsi="Times New Roman" w:cs="Times New Roman"/>
          <w:b w:val="0"/>
          <w:bCs w:val="0"/>
          <w:color w:val="auto"/>
          <w:kern w:val="0"/>
          <w:sz w:val="20"/>
          <w:szCs w:val="20"/>
        </w:rPr>
        <w:t xml:space="preserve"> </w:t>
      </w:r>
    </w:p>
    <w:p>
      <w:pPr>
        <w:numPr>
          <w:ilvl w:val="0"/>
          <w:numId w:val="0"/>
        </w:numPr>
        <w:rPr>
          <w:rFonts w:hint="default" w:ascii="Times New Roman" w:hAnsi="Times New Roman" w:cs="Times New Roman"/>
          <w:b/>
          <w:bCs/>
          <w:color w:val="auto"/>
          <w:sz w:val="20"/>
          <w:szCs w:val="20"/>
        </w:rPr>
      </w:pPr>
      <w:r>
        <w:rPr>
          <w:rFonts w:hint="eastAsia" w:ascii="Times New Roman" w:hAnsi="Times New Roman" w:cs="Times New Roman"/>
          <w:b/>
          <w:bCs/>
          <w:color w:val="auto"/>
          <w:sz w:val="20"/>
          <w:szCs w:val="20"/>
          <w:lang w:val="en-US" w:eastAsia="zh-CN"/>
        </w:rPr>
        <w:t>e</w:t>
      </w:r>
      <w:r>
        <w:rPr>
          <w:rFonts w:hint="default" w:ascii="Times New Roman" w:hAnsi="Times New Roman" w:cs="Times New Roman"/>
          <w:b/>
          <w:bCs/>
          <w:color w:val="auto"/>
          <w:sz w:val="20"/>
          <w:szCs w:val="20"/>
        </w:rPr>
        <w:t xml:space="preserve">Figure 1. </w:t>
      </w:r>
      <w:r>
        <w:rPr>
          <w:rFonts w:hint="default" w:ascii="Times New Roman" w:hAnsi="Times New Roman" w:cs="Times New Roman"/>
          <w:b w:val="0"/>
          <w:bCs w:val="0"/>
          <w:color w:val="auto"/>
          <w:sz w:val="20"/>
          <w:szCs w:val="20"/>
        </w:rPr>
        <w:t>Study design: inclusion and exclusion criteria.</w:t>
      </w:r>
    </w:p>
    <w:p>
      <w:pPr>
        <w:numPr>
          <w:ilvl w:val="0"/>
          <w:numId w:val="0"/>
        </w:numPr>
        <w:rPr>
          <w:rFonts w:hint="default" w:ascii="Times New Roman" w:hAnsi="Times New Roman" w:cs="Times New Roman"/>
          <w:b w:val="0"/>
          <w:bCs w:val="0"/>
          <w:color w:val="auto"/>
          <w:sz w:val="20"/>
          <w:szCs w:val="20"/>
        </w:rPr>
      </w:pPr>
      <w:r>
        <w:rPr>
          <w:rFonts w:hint="eastAsia" w:ascii="Times New Roman" w:hAnsi="Times New Roman" w:cs="Times New Roman"/>
          <w:b/>
          <w:bCs/>
          <w:color w:val="auto"/>
          <w:sz w:val="20"/>
          <w:szCs w:val="20"/>
          <w:lang w:val="en-US" w:eastAsia="zh-CN"/>
        </w:rPr>
        <w:t>e</w:t>
      </w:r>
      <w:r>
        <w:rPr>
          <w:rFonts w:hint="default" w:ascii="Times New Roman" w:hAnsi="Times New Roman" w:cs="Times New Roman"/>
          <w:b/>
          <w:bCs/>
          <w:color w:val="auto"/>
          <w:sz w:val="20"/>
          <w:szCs w:val="20"/>
        </w:rPr>
        <w:t xml:space="preserve">Figure </w:t>
      </w:r>
      <w:r>
        <w:rPr>
          <w:rFonts w:hint="default" w:ascii="Times New Roman" w:hAnsi="Times New Roman" w:cs="Times New Roman"/>
          <w:b/>
          <w:bCs/>
          <w:color w:val="auto"/>
          <w:sz w:val="20"/>
          <w:szCs w:val="20"/>
          <w:lang w:val="en-US" w:eastAsia="zh-CN"/>
        </w:rPr>
        <w:t>2</w:t>
      </w:r>
      <w:r>
        <w:rPr>
          <w:rFonts w:hint="default" w:ascii="Times New Roman" w:hAnsi="Times New Roman" w:cs="Times New Roman"/>
          <w:b/>
          <w:bCs/>
          <w:color w:val="auto"/>
          <w:sz w:val="20"/>
          <w:szCs w:val="20"/>
        </w:rPr>
        <w:t xml:space="preserve">. </w:t>
      </w:r>
      <w:r>
        <w:rPr>
          <w:rFonts w:hint="default" w:ascii="Times New Roman" w:hAnsi="Times New Roman" w:cs="Times New Roman"/>
          <w:b w:val="0"/>
          <w:bCs w:val="0"/>
          <w:color w:val="auto"/>
          <w:sz w:val="20"/>
          <w:szCs w:val="20"/>
          <w:lang w:val="en-US" w:eastAsia="zh-CN"/>
        </w:rPr>
        <w:t xml:space="preserve">(A) </w:t>
      </w:r>
      <w:r>
        <w:rPr>
          <w:rFonts w:hint="default" w:ascii="Times New Roman" w:hAnsi="Times New Roman" w:cs="Times New Roman"/>
          <w:b w:val="0"/>
          <w:bCs w:val="0"/>
          <w:color w:val="auto"/>
          <w:sz w:val="20"/>
          <w:szCs w:val="20"/>
        </w:rPr>
        <w:t xml:space="preserve">Chord diagram displaying the spectrum of multi-system irAEs in </w:t>
      </w:r>
      <w:r>
        <w:rPr>
          <w:rFonts w:hint="default" w:ascii="Times New Roman" w:hAnsi="Times New Roman" w:cs="Times New Roman"/>
          <w:b w:val="0"/>
          <w:bCs w:val="0"/>
          <w:color w:val="auto"/>
          <w:sz w:val="20"/>
          <w:szCs w:val="20"/>
          <w:lang w:val="en-US" w:eastAsia="zh-CN"/>
        </w:rPr>
        <w:t xml:space="preserve">SCLC </w:t>
      </w:r>
      <w:r>
        <w:rPr>
          <w:rFonts w:hint="default" w:ascii="Times New Roman" w:hAnsi="Times New Roman" w:cs="Times New Roman"/>
          <w:b w:val="0"/>
          <w:bCs w:val="0"/>
          <w:color w:val="auto"/>
          <w:sz w:val="20"/>
          <w:szCs w:val="20"/>
        </w:rPr>
        <w:t>patients treated with</w:t>
      </w:r>
      <w:r>
        <w:rPr>
          <w:rFonts w:hint="default" w:ascii="Times New Roman" w:hAnsi="Times New Roman" w:cs="Times New Roman"/>
          <w:b w:val="0"/>
          <w:bCs w:val="0"/>
          <w:color w:val="auto"/>
          <w:sz w:val="20"/>
          <w:szCs w:val="20"/>
          <w:lang w:val="en-US" w:eastAsia="zh-CN"/>
        </w:rPr>
        <w:t xml:space="preserve"> PD-1/PD-L1 inhibitors. (B and C) </w:t>
      </w:r>
      <w:r>
        <w:rPr>
          <w:rFonts w:hint="default" w:ascii="Times New Roman" w:hAnsi="Times New Roman" w:cs="Times New Roman"/>
          <w:b w:val="0"/>
          <w:bCs w:val="0"/>
          <w:color w:val="auto"/>
          <w:sz w:val="20"/>
          <w:szCs w:val="20"/>
        </w:rPr>
        <w:t>Time to onset of multigroup</w:t>
      </w:r>
      <w:r>
        <w:rPr>
          <w:rFonts w:hint="default" w:ascii="Times New Roman" w:hAnsi="Times New Roman" w:cs="Times New Roman"/>
          <w:b w:val="0"/>
          <w:bCs w:val="0"/>
          <w:color w:val="auto"/>
          <w:sz w:val="20"/>
          <w:szCs w:val="20"/>
          <w:lang w:val="en-US" w:eastAsia="zh-CN"/>
        </w:rPr>
        <w:t xml:space="preserve"> </w:t>
      </w:r>
      <w:r>
        <w:rPr>
          <w:rFonts w:hint="default" w:ascii="Times New Roman" w:hAnsi="Times New Roman" w:cs="Times New Roman"/>
          <w:b w:val="0"/>
          <w:bCs w:val="0"/>
          <w:color w:val="auto"/>
          <w:sz w:val="20"/>
          <w:szCs w:val="20"/>
        </w:rPr>
        <w:t>irAE</w:t>
      </w:r>
      <w:r>
        <w:rPr>
          <w:rFonts w:hint="default" w:ascii="Times New Roman" w:hAnsi="Times New Roman" w:cs="Times New Roman"/>
          <w:b w:val="0"/>
          <w:bCs w:val="0"/>
          <w:color w:val="auto"/>
          <w:sz w:val="20"/>
          <w:szCs w:val="20"/>
          <w:lang w:val="en-US" w:eastAsia="zh-CN"/>
        </w:rPr>
        <w:t>s(B)</w:t>
      </w:r>
      <w:r>
        <w:rPr>
          <w:rFonts w:hint="default" w:ascii="Times New Roman" w:hAnsi="Times New Roman" w:cs="Times New Roman"/>
          <w:b w:val="0"/>
          <w:bCs w:val="0"/>
          <w:color w:val="auto"/>
          <w:sz w:val="20"/>
          <w:szCs w:val="20"/>
        </w:rPr>
        <w:t xml:space="preserve"> </w:t>
      </w:r>
      <w:r>
        <w:rPr>
          <w:rFonts w:hint="default" w:ascii="Times New Roman" w:hAnsi="Times New Roman" w:cs="Times New Roman"/>
          <w:b w:val="0"/>
          <w:bCs w:val="0"/>
          <w:color w:val="auto"/>
          <w:sz w:val="20"/>
          <w:szCs w:val="20"/>
          <w:lang w:val="en-US" w:eastAsia="zh-CN"/>
        </w:rPr>
        <w:t xml:space="preserve">or </w:t>
      </w:r>
      <w:r>
        <w:rPr>
          <w:rFonts w:hint="default" w:ascii="Times New Roman" w:hAnsi="Times New Roman" w:cs="Times New Roman"/>
          <w:b w:val="0"/>
          <w:bCs w:val="0"/>
          <w:color w:val="auto"/>
          <w:sz w:val="20"/>
          <w:szCs w:val="20"/>
        </w:rPr>
        <w:t>multi-system</w:t>
      </w:r>
      <w:r>
        <w:rPr>
          <w:rFonts w:hint="default" w:ascii="Times New Roman" w:hAnsi="Times New Roman" w:cs="Times New Roman"/>
          <w:b w:val="0"/>
          <w:bCs w:val="0"/>
          <w:color w:val="auto"/>
          <w:sz w:val="20"/>
          <w:szCs w:val="20"/>
          <w:lang w:val="en-US" w:eastAsia="zh-CN"/>
        </w:rPr>
        <w:t xml:space="preserve"> </w:t>
      </w:r>
      <w:r>
        <w:rPr>
          <w:rFonts w:hint="default" w:ascii="Times New Roman" w:hAnsi="Times New Roman" w:cs="Times New Roman"/>
          <w:b w:val="0"/>
          <w:bCs w:val="0"/>
          <w:color w:val="auto"/>
          <w:sz w:val="20"/>
          <w:szCs w:val="20"/>
        </w:rPr>
        <w:t>irAE</w:t>
      </w:r>
      <w:r>
        <w:rPr>
          <w:rFonts w:hint="default" w:ascii="Times New Roman" w:hAnsi="Times New Roman" w:cs="Times New Roman"/>
          <w:b w:val="0"/>
          <w:bCs w:val="0"/>
          <w:color w:val="auto"/>
          <w:sz w:val="20"/>
          <w:szCs w:val="20"/>
          <w:lang w:val="en-US" w:eastAsia="zh-CN"/>
        </w:rPr>
        <w:t xml:space="preserve">s(C) </w:t>
      </w:r>
      <w:r>
        <w:rPr>
          <w:rFonts w:hint="default" w:ascii="Times New Roman" w:hAnsi="Times New Roman" w:cs="Times New Roman"/>
          <w:b w:val="0"/>
          <w:bCs w:val="0"/>
          <w:color w:val="auto"/>
          <w:sz w:val="20"/>
          <w:szCs w:val="20"/>
        </w:rPr>
        <w:t xml:space="preserve">in </w:t>
      </w:r>
      <w:r>
        <w:rPr>
          <w:rFonts w:hint="default" w:ascii="Times New Roman" w:hAnsi="Times New Roman" w:cs="Times New Roman"/>
          <w:b w:val="0"/>
          <w:bCs w:val="0"/>
          <w:color w:val="auto"/>
          <w:sz w:val="20"/>
          <w:szCs w:val="20"/>
          <w:lang w:val="en-US" w:eastAsia="zh-CN"/>
        </w:rPr>
        <w:t xml:space="preserve">SCLC </w:t>
      </w:r>
      <w:r>
        <w:rPr>
          <w:rFonts w:hint="default" w:ascii="Times New Roman" w:hAnsi="Times New Roman" w:cs="Times New Roman"/>
          <w:b w:val="0"/>
          <w:bCs w:val="0"/>
          <w:color w:val="auto"/>
          <w:sz w:val="20"/>
          <w:szCs w:val="20"/>
        </w:rPr>
        <w:t xml:space="preserve">patients treated with </w:t>
      </w:r>
      <w:r>
        <w:rPr>
          <w:rFonts w:hint="default" w:ascii="Times New Roman" w:hAnsi="Times New Roman" w:cs="Times New Roman"/>
          <w:b w:val="0"/>
          <w:bCs w:val="0"/>
          <w:color w:val="auto"/>
          <w:sz w:val="20"/>
          <w:szCs w:val="20"/>
          <w:lang w:val="en-US" w:eastAsia="zh-CN"/>
        </w:rPr>
        <w:t>PD-1/PD-L1 inhibitors</w:t>
      </w:r>
      <w:r>
        <w:rPr>
          <w:rFonts w:hint="default" w:ascii="Times New Roman" w:hAnsi="Times New Roman" w:cs="Times New Roman"/>
          <w:b w:val="0"/>
          <w:bCs w:val="0"/>
          <w:color w:val="auto"/>
          <w:sz w:val="20"/>
          <w:szCs w:val="20"/>
        </w:rPr>
        <w:t>.</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val="0"/>
          <w:bCs w:val="0"/>
          <w:color w:val="auto"/>
          <w:kern w:val="0"/>
          <w:sz w:val="20"/>
          <w:szCs w:val="20"/>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val="0"/>
          <w:bCs w:val="0"/>
          <w:color w:val="auto"/>
          <w:kern w:val="0"/>
          <w:sz w:val="20"/>
          <w:szCs w:val="20"/>
        </w:rPr>
      </w:pPr>
      <w:r>
        <w:rPr>
          <w:rFonts w:hint="eastAsia" w:ascii="Times New Roman" w:hAnsi="Times New Roman" w:cs="Times New Roman"/>
          <w:b w:val="0"/>
          <w:bCs w:val="0"/>
          <w:color w:val="auto"/>
          <w:kern w:val="0"/>
          <w:sz w:val="20"/>
          <w:szCs w:val="20"/>
        </w:rPr>
        <w:t>This supplemental material has been provided by the authors to give readers additional</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val="0"/>
          <w:bCs w:val="0"/>
          <w:color w:val="auto"/>
          <w:kern w:val="0"/>
          <w:sz w:val="20"/>
          <w:szCs w:val="20"/>
        </w:rPr>
      </w:pPr>
      <w:r>
        <w:rPr>
          <w:rFonts w:hint="eastAsia" w:ascii="Times New Roman" w:hAnsi="Times New Roman" w:cs="Times New Roman"/>
          <w:b w:val="0"/>
          <w:bCs w:val="0"/>
          <w:color w:val="auto"/>
          <w:kern w:val="0"/>
          <w:sz w:val="20"/>
          <w:szCs w:val="20"/>
        </w:rPr>
        <w:t>information about their work.</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bCs/>
          <w:color w:val="auto"/>
          <w:kern w:val="0"/>
          <w:sz w:val="20"/>
          <w:szCs w:val="20"/>
        </w:rPr>
      </w:pP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bCs/>
          <w:color w:val="auto"/>
          <w:kern w:val="0"/>
          <w:sz w:val="20"/>
          <w:szCs w:val="20"/>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80" w:lineRule="auto"/>
        <w:textAlignment w:val="auto"/>
        <w:rPr>
          <w:rFonts w:hint="default" w:ascii="Times New Roman" w:hAnsi="Times New Roman" w:cs="Times New Roman"/>
          <w:b/>
          <w:bCs/>
          <w:color w:val="auto"/>
          <w:sz w:val="20"/>
          <w:szCs w:val="20"/>
          <w:lang w:val="en-US" w:eastAsia="zh-CN"/>
        </w:rPr>
      </w:pPr>
    </w:p>
    <w:p>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黑体" w:cs="Times New Roman"/>
          <w:b/>
          <w:bCs/>
          <w:color w:val="auto"/>
          <w:kern w:val="0"/>
          <w:sz w:val="24"/>
          <w:szCs w:val="24"/>
          <w:lang w:val="en-US" w:eastAsia="zh-CN"/>
        </w:rPr>
      </w:pPr>
    </w:p>
    <w:p>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黑体" w:cs="Times New Roman"/>
          <w:b/>
          <w:bCs/>
          <w:color w:val="auto"/>
          <w:kern w:val="0"/>
          <w:sz w:val="24"/>
          <w:szCs w:val="24"/>
          <w:lang w:val="en-US" w:eastAsia="zh-CN"/>
        </w:rPr>
      </w:pPr>
    </w:p>
    <w:p>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黑体" w:cs="Times New Roman"/>
          <w:b/>
          <w:bCs/>
          <w:color w:val="auto"/>
          <w:kern w:val="0"/>
          <w:sz w:val="24"/>
          <w:szCs w:val="24"/>
          <w:lang w:val="en-US" w:eastAsia="zh-CN"/>
        </w:rPr>
      </w:pPr>
    </w:p>
    <w:p>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黑体" w:cs="Times New Roman"/>
          <w:b/>
          <w:bCs/>
          <w:color w:val="auto"/>
          <w:kern w:val="0"/>
          <w:sz w:val="24"/>
          <w:szCs w:val="24"/>
          <w:lang w:val="en-US" w:eastAsia="zh-CN"/>
        </w:rPr>
      </w:pPr>
    </w:p>
    <w:p>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黑体" w:cs="Times New Roman"/>
          <w:b/>
          <w:bCs/>
          <w:color w:val="auto"/>
          <w:kern w:val="0"/>
          <w:sz w:val="24"/>
          <w:szCs w:val="24"/>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r>
        <w:rPr>
          <w:rFonts w:hint="eastAsia" w:ascii="Times New Roman" w:hAnsi="Times New Roman" w:cs="Times New Roman"/>
          <w:b/>
          <w:bCs/>
          <w:color w:val="auto"/>
          <w:kern w:val="0"/>
          <w:sz w:val="20"/>
          <w:szCs w:val="20"/>
          <w:lang w:val="en-US" w:eastAsia="zh-CN"/>
        </w:rPr>
        <w:t>eMethods</w:t>
      </w: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r>
        <w:rPr>
          <w:rFonts w:hint="eastAsia" w:ascii="Times New Roman" w:hAnsi="Times New Roman" w:cs="Times New Roman"/>
          <w:b/>
          <w:bCs/>
          <w:color w:val="auto"/>
          <w:kern w:val="0"/>
          <w:sz w:val="20"/>
          <w:szCs w:val="20"/>
          <w:lang w:val="en-US" w:eastAsia="zh-CN"/>
        </w:rPr>
        <w:t>Study Population</w:t>
      </w:r>
    </w:p>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Times New Roman" w:cs="Times New Roman"/>
          <w:color w:val="auto"/>
          <w:sz w:val="20"/>
          <w:szCs w:val="20"/>
        </w:rPr>
      </w:pPr>
      <w:r>
        <w:rPr>
          <w:rFonts w:hint="default" w:ascii="Times New Roman" w:hAnsi="Times New Roman" w:eastAsia="Times New Roman" w:cs="Times New Roman"/>
          <w:color w:val="auto"/>
          <w:sz w:val="20"/>
          <w:szCs w:val="20"/>
        </w:rPr>
        <w:t>ES-SCLC patients treated with PD-1/PD-L1 inhibitors combined with etoposide and platinum were retrospectively analyzed from Shandong Cancer Hospital, Shandong Provincial Hospital, and Qilu Hospital of Shandong University between January 2018 and June 2022. Patients with limited-stage SCLC, or concurrently with other cancer types were excluded</w:t>
      </w:r>
      <w:r>
        <w:rPr>
          <w:rFonts w:hint="default" w:ascii="Times New Roman" w:hAnsi="Times New Roman" w:cs="Times New Roman"/>
          <w:color w:val="auto"/>
          <w:sz w:val="20"/>
          <w:szCs w:val="20"/>
          <w:lang w:val="en-US" w:eastAsia="zh-CN"/>
        </w:rPr>
        <w:t xml:space="preserve"> </w:t>
      </w:r>
      <w:r>
        <w:rPr>
          <w:rFonts w:hint="default" w:ascii="Times New Roman" w:hAnsi="Times New Roman" w:eastAsia="Times New Roman" w:cs="Times New Roman"/>
          <w:color w:val="auto"/>
          <w:sz w:val="20"/>
          <w:szCs w:val="20"/>
        </w:rPr>
        <w:t>.</w:t>
      </w:r>
      <w:r>
        <w:rPr>
          <w:rFonts w:hint="default" w:ascii="Times New Roman" w:hAnsi="Times New Roman" w:cs="Times New Roman"/>
          <w:color w:val="auto"/>
          <w:sz w:val="20"/>
          <w:szCs w:val="20"/>
          <w:lang w:val="en-US" w:eastAsia="zh-CN"/>
        </w:rPr>
        <w:t xml:space="preserve"> I</w:t>
      </w:r>
      <w:r>
        <w:rPr>
          <w:rFonts w:hint="default" w:ascii="Times New Roman" w:hAnsi="Times New Roman" w:eastAsia="Times New Roman" w:cs="Times New Roman"/>
          <w:color w:val="auto"/>
          <w:sz w:val="20"/>
          <w:szCs w:val="20"/>
        </w:rPr>
        <w:t xml:space="preserve">rAEs were defined as adverse events with a potential immunologic basis that required close monitoring and/or potential intervention with immunosuppressives or hormone replacement. Thyroid function was evaluated at baseline and every 6 weeks thereafter. Patient symptoms and physical exploration and laboratory data were assessed at every cycle. Endocrine system toxicity, skin reactions, immune pneumonia, gastrointestinal reactions, cardiovascular system reactions, and neurological reactions are examples of irAE. Multisystem irAEs were defined as irAEs involving more than </w:t>
      </w:r>
      <w:r>
        <w:rPr>
          <w:rFonts w:hint="default" w:ascii="Times New Roman" w:hAnsi="Times New Roman" w:cs="Times New Roman"/>
          <w:color w:val="auto"/>
          <w:sz w:val="20"/>
          <w:szCs w:val="20"/>
          <w:lang w:val="en-US" w:eastAsia="zh-CN"/>
        </w:rPr>
        <w:t>one</w:t>
      </w:r>
      <w:r>
        <w:rPr>
          <w:rFonts w:hint="default" w:ascii="Times New Roman" w:hAnsi="Times New Roman" w:eastAsia="Times New Roman" w:cs="Times New Roman"/>
          <w:color w:val="auto"/>
          <w:sz w:val="20"/>
          <w:szCs w:val="20"/>
        </w:rPr>
        <w:t xml:space="preserve"> organ </w:t>
      </w:r>
      <w:r>
        <w:rPr>
          <w:rFonts w:hint="default" w:ascii="Times New Roman" w:hAnsi="Times New Roman" w:cs="Times New Roman"/>
          <w:color w:val="auto"/>
          <w:sz w:val="20"/>
          <w:szCs w:val="20"/>
          <w:lang w:val="en-US" w:eastAsia="zh-CN"/>
        </w:rPr>
        <w:t xml:space="preserve">or </w:t>
      </w:r>
      <w:r>
        <w:rPr>
          <w:rFonts w:hint="default" w:ascii="Times New Roman" w:hAnsi="Times New Roman" w:eastAsia="Times New Roman" w:cs="Times New Roman"/>
          <w:color w:val="auto"/>
          <w:sz w:val="20"/>
          <w:szCs w:val="20"/>
        </w:rPr>
        <w:t xml:space="preserve">system. Based on the occurrence of irAEs, patients were divided into irAEs versus no-irAEs groups. </w:t>
      </w:r>
    </w:p>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Times New Roman" w:cs="Times New Roman"/>
          <w:b/>
          <w:bCs/>
          <w:i/>
          <w:iCs/>
          <w:color w:val="auto"/>
          <w:sz w:val="20"/>
          <w:szCs w:val="20"/>
        </w:rPr>
      </w:pPr>
      <w:r>
        <w:rPr>
          <w:rFonts w:hint="default" w:ascii="Times New Roman" w:hAnsi="Times New Roman" w:eastAsia="Times New Roman" w:cs="Times New Roman"/>
          <w:b/>
          <w:bCs/>
          <w:i/>
          <w:iCs/>
          <w:color w:val="auto"/>
          <w:sz w:val="20"/>
          <w:szCs w:val="20"/>
        </w:rPr>
        <w:t>Data Collection and irAE Assessment</w:t>
      </w:r>
    </w:p>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Times New Roman" w:cs="Times New Roman"/>
          <w:color w:val="auto"/>
          <w:sz w:val="20"/>
          <w:szCs w:val="20"/>
        </w:rPr>
      </w:pPr>
      <w:r>
        <w:rPr>
          <w:rFonts w:hint="default" w:ascii="Times New Roman" w:hAnsi="Times New Roman" w:eastAsia="Times New Roman" w:cs="Times New Roman"/>
          <w:color w:val="auto"/>
          <w:sz w:val="20"/>
          <w:szCs w:val="20"/>
        </w:rPr>
        <w:t>Basic clinical characteristics, PD-1 therapy types and dosages, irAE types, onset, severity, management, and prognosis of patients are all collected. The National Cancer Institute Common Adverse Event Terminology Criteria Version 5.0 were used to evaluate grading and classification criteria. SCLC was staged by combining the VALG staging method with the TNM staging system</w:t>
      </w:r>
      <w:r>
        <w:rPr>
          <w:rFonts w:hint="default" w:ascii="Times New Roman" w:hAnsi="Times New Roman" w:eastAsia="Times New Roman" w:cs="Times New Roman"/>
          <w:color w:val="auto"/>
          <w:sz w:val="20"/>
          <w:szCs w:val="20"/>
        </w:rPr>
        <w:fldChar w:fldCharType="begin"/>
      </w:r>
      <w:r>
        <w:rPr>
          <w:rFonts w:hint="eastAsia" w:ascii="Times New Roman" w:hAnsi="Times New Roman" w:eastAsia="宋体" w:cs="Times New Roman"/>
          <w:color w:val="auto"/>
          <w:sz w:val="20"/>
          <w:szCs w:val="20"/>
          <w:lang w:eastAsia="zh-CN"/>
        </w:rPr>
        <w:instrText xml:space="preserve"> ADDIN EN.CITE &lt;EndNote&gt;&lt;Cite&gt;&lt;Author&gt;Kalemkerian&lt;/Author&gt;&lt;Year&gt;2013&lt;/Year&gt;&lt;RecNum&gt;17&lt;/RecNum&gt;&lt;DisplayText&gt;[1]&lt;/DisplayText&gt;&lt;record&gt;&lt;rec-number&gt;17&lt;/rec-number&gt;&lt;foreign-keys&gt;&lt;key app="EN" db-id="wa5pzzdrje9dxnexf58pf9f8xdstetszfw5d" timestamp="1685978035"&gt;17&lt;/key&gt;&lt;/foreign-keys&gt;&lt;ref-type name="Journal Article"&gt;17&lt;/ref-type&gt;&lt;contributors&gt;&lt;authors&gt;&lt;author&gt;Kalemkerian, G. P.&lt;/author&gt;&lt;author&gt;Gadgeel, S. M.&lt;/author&gt;&lt;/authors&gt;&lt;/contributors&gt;&lt;auth-address&gt;Division of Hematology/Oncology, University of Michigan, Ann Arbor, Michigan 48109-5848, USA. kalemker@umich.edu&lt;/auth-address&gt;&lt;titles&gt;&lt;title&gt;Modern staging of small cell lung cancer&lt;/title&gt;&lt;secondary-title&gt;J Natl Compr Canc Netw&lt;/secondary-title&gt;&lt;alt-title&gt;Journal of the National Comprehensive Cancer Network : JNCCN&lt;/alt-title&gt;&lt;/titles&gt;&lt;periodical&gt;&lt;full-title&gt;J Natl Compr Canc Netw&lt;/full-title&gt;&lt;abbr-1&gt;Journal of the National Comprehensive Cancer Network : JNCCN&lt;/abbr-1&gt;&lt;/periodical&gt;&lt;alt-periodical&gt;&lt;full-title&gt;J Natl Compr Canc Netw&lt;/full-title&gt;&lt;abbr-1&gt;Journal of the National Comprehensive Cancer Network : JNCCN&lt;/abbr-1&gt;&lt;/alt-periodical&gt;&lt;pages&gt;99-104&lt;/pages&gt;&lt;volume&gt;11&lt;/volume&gt;&lt;number&gt;1&lt;/number&gt;&lt;edition&gt;2013/01/12&lt;/edition&gt;&lt;keywords&gt;&lt;keyword&gt;Humans&lt;/keyword&gt;&lt;keyword&gt;Lung Neoplasms/classification/*secondary&lt;/keyword&gt;&lt;keyword&gt;Neoplasm Staging/*methods&lt;/keyword&gt;&lt;keyword&gt;Positron-Emission Tomography&lt;/keyword&gt;&lt;keyword&gt;Small Cell Lung Carcinoma/classification/*pathology&lt;/keyword&gt;&lt;/keywords&gt;&lt;dates&gt;&lt;year&gt;2013&lt;/year&gt;&lt;pub-dates&gt;&lt;date&gt;Jan 1&lt;/date&gt;&lt;/pub-dates&gt;&lt;/dates&gt;&lt;isbn&gt;1540-1405&lt;/isbn&gt;&lt;accession-num&gt;23307985&lt;/accession-num&gt;&lt;urls&gt;&lt;/urls&gt;&lt;electronic-resource-num&gt;10.6004/jnccn.2013.0012&lt;/electronic-resource-num&gt;&lt;remote-database-provider&gt;NLM&lt;/remote-database-provider&gt;&lt;language&gt;eng&lt;/language&gt;&lt;/record&gt;&lt;/Cite&gt;&lt;/EndNote&gt;</w:instrText>
      </w:r>
      <w:r>
        <w:rPr>
          <w:rFonts w:hint="default" w:ascii="Times New Roman" w:hAnsi="Times New Roman" w:eastAsia="Times New Roman" w:cs="Times New Roman"/>
          <w:color w:val="auto"/>
          <w:sz w:val="20"/>
          <w:szCs w:val="20"/>
        </w:rPr>
        <w:fldChar w:fldCharType="separate"/>
      </w:r>
      <w:r>
        <w:rPr>
          <w:rFonts w:hint="eastAsia" w:ascii="Times New Roman" w:hAnsi="Times New Roman" w:eastAsia="Times New Roman" w:cs="Times New Roman"/>
          <w:color w:val="auto"/>
          <w:kern w:val="2"/>
          <w:sz w:val="20"/>
          <w:szCs w:val="20"/>
          <w:lang w:val="en-US" w:eastAsia="zh-CN" w:bidi="ar-SA"/>
        </w:rPr>
        <w:t>[1]</w:t>
      </w:r>
      <w:r>
        <w:rPr>
          <w:rFonts w:hint="default" w:ascii="Times New Roman" w:hAnsi="Times New Roman" w:eastAsia="Times New Roman" w:cs="Times New Roman"/>
          <w:color w:val="auto"/>
          <w:sz w:val="20"/>
          <w:szCs w:val="20"/>
        </w:rPr>
        <w:fldChar w:fldCharType="end"/>
      </w:r>
      <w:r>
        <w:rPr>
          <w:rFonts w:hint="default" w:ascii="Times New Roman" w:hAnsi="Times New Roman" w:eastAsia="Times New Roman" w:cs="Times New Roman"/>
          <w:color w:val="auto"/>
          <w:sz w:val="20"/>
          <w:szCs w:val="20"/>
        </w:rPr>
        <w:t>. Radiological assessments were performed every 6-8 weeks to determine the best objective efficacy of treatment using the Response Evaluation Criteria in Solid Tumours (RECIST) (version 1.1). The objective remission rate (ORR), disease control rate (DCR), progression-free survival (PFS), and OS were used to assess the efficacy of PD-1/PD-L1 inhibitors.</w:t>
      </w:r>
      <w:r>
        <w:rPr>
          <w:rFonts w:hint="default" w:ascii="Times New Roman" w:hAnsi="Times New Roman" w:cs="Times New Roman"/>
          <w:color w:val="auto"/>
          <w:sz w:val="20"/>
          <w:szCs w:val="20"/>
          <w:lang w:val="en-US" w:eastAsia="zh-CN"/>
        </w:rPr>
        <w:t xml:space="preserve"> </w:t>
      </w:r>
      <w:r>
        <w:rPr>
          <w:rFonts w:hint="default" w:ascii="Times New Roman" w:hAnsi="Times New Roman" w:eastAsia="Times New Roman" w:cs="Times New Roman"/>
          <w:color w:val="auto"/>
          <w:sz w:val="20"/>
          <w:szCs w:val="20"/>
        </w:rPr>
        <w:t xml:space="preserve">ORR </w:t>
      </w:r>
      <w:r>
        <w:rPr>
          <w:rFonts w:hint="default" w:ascii="Times New Roman" w:hAnsi="Times New Roman" w:cs="Times New Roman"/>
          <w:color w:val="auto"/>
          <w:sz w:val="20"/>
          <w:szCs w:val="20"/>
          <w:lang w:val="en-US" w:eastAsia="zh-CN"/>
        </w:rPr>
        <w:t xml:space="preserve">was defined as the ratio of </w:t>
      </w:r>
      <w:r>
        <w:rPr>
          <w:rFonts w:hint="default" w:ascii="Times New Roman" w:hAnsi="Times New Roman" w:eastAsia="Times New Roman" w:cs="Times New Roman"/>
          <w:color w:val="auto"/>
          <w:sz w:val="20"/>
          <w:szCs w:val="20"/>
        </w:rPr>
        <w:t>patients</w:t>
      </w:r>
      <w:r>
        <w:rPr>
          <w:rFonts w:hint="default" w:ascii="Times New Roman" w:hAnsi="Times New Roman" w:cs="Times New Roman"/>
          <w:color w:val="auto"/>
          <w:sz w:val="20"/>
          <w:szCs w:val="20"/>
          <w:lang w:val="en-US" w:eastAsia="zh-CN"/>
        </w:rPr>
        <w:t xml:space="preserve"> who obtain</w:t>
      </w:r>
      <w:r>
        <w:rPr>
          <w:rFonts w:hint="default" w:ascii="Times New Roman" w:hAnsi="Times New Roman" w:eastAsia="Times New Roman" w:cs="Times New Roman"/>
          <w:color w:val="auto"/>
          <w:sz w:val="20"/>
          <w:szCs w:val="20"/>
        </w:rPr>
        <w:t xml:space="preserve"> partial or complete remission, while DCR </w:t>
      </w:r>
      <w:r>
        <w:rPr>
          <w:rFonts w:hint="default" w:ascii="Times New Roman" w:hAnsi="Times New Roman" w:cs="Times New Roman"/>
          <w:color w:val="auto"/>
          <w:sz w:val="20"/>
          <w:szCs w:val="20"/>
          <w:lang w:val="en-US" w:eastAsia="zh-CN"/>
        </w:rPr>
        <w:t>as the ratio of</w:t>
      </w:r>
      <w:r>
        <w:rPr>
          <w:rFonts w:hint="default" w:ascii="Times New Roman" w:hAnsi="Times New Roman" w:eastAsia="Times New Roman" w:cs="Times New Roman"/>
          <w:color w:val="auto"/>
          <w:sz w:val="20"/>
          <w:szCs w:val="20"/>
        </w:rPr>
        <w:t xml:space="preserve"> patients </w:t>
      </w:r>
      <w:r>
        <w:rPr>
          <w:rFonts w:hint="default" w:ascii="Times New Roman" w:hAnsi="Times New Roman" w:cs="Times New Roman"/>
          <w:color w:val="auto"/>
          <w:sz w:val="20"/>
          <w:szCs w:val="20"/>
          <w:lang w:val="en-US" w:eastAsia="zh-CN"/>
        </w:rPr>
        <w:t>with</w:t>
      </w:r>
      <w:r>
        <w:rPr>
          <w:rFonts w:hint="default" w:ascii="Times New Roman" w:hAnsi="Times New Roman" w:eastAsia="Times New Roman" w:cs="Times New Roman"/>
          <w:color w:val="auto"/>
          <w:sz w:val="20"/>
          <w:szCs w:val="20"/>
        </w:rPr>
        <w:t xml:space="preserve"> partial, complete, or stable disease. Progression-free survival is defined as the time from the start of ICI to progression or death (PFS) from any cause. The time from the start of ICI to death or the most recent visit was defined as OS. </w:t>
      </w:r>
    </w:p>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Times New Roman" w:cs="Times New Roman"/>
          <w:b/>
          <w:bCs/>
          <w:i/>
          <w:iCs/>
          <w:color w:val="auto"/>
          <w:sz w:val="20"/>
          <w:szCs w:val="20"/>
        </w:rPr>
      </w:pPr>
      <w:r>
        <w:rPr>
          <w:rFonts w:hint="default" w:ascii="Times New Roman" w:hAnsi="Times New Roman" w:eastAsia="Times New Roman" w:cs="Times New Roman"/>
          <w:b/>
          <w:bCs/>
          <w:i/>
          <w:iCs/>
          <w:color w:val="auto"/>
          <w:sz w:val="20"/>
          <w:szCs w:val="20"/>
        </w:rPr>
        <w:t>Statistical Analysis</w:t>
      </w:r>
    </w:p>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Times New Roman" w:cs="Times New Roman"/>
          <w:color w:val="auto"/>
          <w:sz w:val="20"/>
          <w:szCs w:val="20"/>
        </w:rPr>
      </w:pPr>
      <w:r>
        <w:rPr>
          <w:rFonts w:hint="default" w:ascii="Times New Roman" w:hAnsi="Times New Roman" w:eastAsia="Times New Roman" w:cs="Times New Roman"/>
          <w:color w:val="auto"/>
          <w:sz w:val="20"/>
          <w:szCs w:val="20"/>
        </w:rPr>
        <w:t xml:space="preserve">Categorical and continuous variables were descriptively summarized using percentages and medians. Patients' baseline clinical characteristics in both groups were examined. The Mann-Whitney U rank sum test was used to estimate age and number of immunotherapy cycles, the Pearson χ2 test was used to test dichotomous variables such as gender, smoking status, and ECOG PS, and the R × C table χ2 test was used to test history of radiation therapy. The Kaplan-Meier method was used to estimate the PFS and OS analyses. A two-sided log-rank test was used to estimate the risk of irAE. To compare the time to the first irAE in multiple groups of irAE patients, the Kruskal-Wallis rank sum test was used. To compare the time to the first irAE occurrence in patients with single versus multiple system irAEs, the Mann-Whitney U rank sum test was used. Univariate and multivariate COX regression risk proportional model analysis were used to assess differences in PFS and OS between irAEs groups, with </w:t>
      </w:r>
      <w:r>
        <w:rPr>
          <w:rFonts w:hint="default" w:ascii="Times New Roman" w:hAnsi="Times New Roman" w:eastAsia="Times New Roman" w:cs="Times New Roman"/>
          <w:i/>
          <w:iCs/>
          <w:color w:val="auto"/>
          <w:sz w:val="20"/>
          <w:szCs w:val="20"/>
        </w:rPr>
        <w:t>P</w:t>
      </w:r>
      <w:r>
        <w:rPr>
          <w:rFonts w:hint="eastAsia" w:ascii="Times New Roman" w:hAnsi="Times New Roman" w:eastAsia="宋体" w:cs="Times New Roman"/>
          <w:i/>
          <w:iCs/>
          <w:color w:val="auto"/>
          <w:sz w:val="20"/>
          <w:szCs w:val="20"/>
          <w:lang w:val="en-US" w:eastAsia="zh-CN"/>
        </w:rPr>
        <w:t xml:space="preserve"> </w:t>
      </w:r>
      <w:r>
        <w:rPr>
          <w:rFonts w:hint="default" w:ascii="Times New Roman" w:hAnsi="Times New Roman" w:eastAsia="Times New Roman" w:cs="Times New Roman"/>
          <w:color w:val="auto"/>
          <w:sz w:val="20"/>
          <w:szCs w:val="20"/>
        </w:rPr>
        <w:t>&lt;</w:t>
      </w:r>
      <w:r>
        <w:rPr>
          <w:rFonts w:hint="eastAsia" w:ascii="Times New Roman" w:hAnsi="Times New Roman" w:eastAsia="宋体" w:cs="Times New Roman"/>
          <w:color w:val="auto"/>
          <w:sz w:val="20"/>
          <w:szCs w:val="20"/>
          <w:lang w:val="en-US" w:eastAsia="zh-CN"/>
        </w:rPr>
        <w:t xml:space="preserve"> </w:t>
      </w:r>
      <w:r>
        <w:rPr>
          <w:rFonts w:hint="default" w:ascii="Times New Roman" w:hAnsi="Times New Roman" w:eastAsia="Times New Roman" w:cs="Times New Roman"/>
          <w:color w:val="auto"/>
          <w:sz w:val="20"/>
          <w:szCs w:val="20"/>
        </w:rPr>
        <w:t>0.05 considered a statistically significant difference. SPSS 26.0 was used for all statistical analyses. We treated irAE as a time-dependent covariate to avoid lead-time bias caused by its time-dependent nature</w:t>
      </w:r>
      <w:r>
        <w:rPr>
          <w:rFonts w:hint="default" w:ascii="Times New Roman" w:hAnsi="Times New Roman" w:eastAsia="Times New Roman" w:cs="Times New Roman"/>
          <w:color w:val="auto"/>
          <w:sz w:val="20"/>
          <w:szCs w:val="20"/>
        </w:rPr>
        <w:fldChar w:fldCharType="begin">
          <w:fldData xml:space="preserve">PEVuZE5vdGU+PENpdGU+PEF1dGhvcj5TaGFua2FyPC9BdXRob3I+PFllYXI+MjAyMDwvWWVhcj48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</w:fldData>
        </w:fldChar>
      </w:r>
      <w:r>
        <w:rPr>
          <w:rFonts w:hint="eastAsia" w:ascii="Times New Roman" w:hAnsi="Times New Roman" w:eastAsia="宋体" w:cs="Times New Roman"/>
          <w:color w:val="auto"/>
          <w:sz w:val="20"/>
          <w:szCs w:val="20"/>
          <w:lang w:eastAsia="zh-CN"/>
        </w:rPr>
        <w:instrText xml:space="preserve"> ADDIN EN.CITE </w:instrText>
      </w:r>
      <w:r>
        <w:rPr>
          <w:rFonts w:hint="eastAsia" w:ascii="Times New Roman" w:hAnsi="Times New Roman" w:eastAsia="宋体" w:cs="Times New Roman"/>
          <w:color w:val="auto"/>
          <w:sz w:val="20"/>
          <w:szCs w:val="20"/>
          <w:lang w:eastAsia="zh-CN"/>
        </w:rPr>
        <w:fldChar w:fldCharType="begin">
          <w:fldData xml:space="preserve">PEVuZE5vdGU+PENpdGU+PEF1dGhvcj5TaGFua2FyPC9BdXRob3I+PFllYXI+MjAyMDwvWWVhcj48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=
</w:fldData>
        </w:fldChar>
      </w:r>
      <w:r>
        <w:rPr>
          <w:rFonts w:hint="eastAsia" w:ascii="Times New Roman" w:hAnsi="Times New Roman" w:eastAsia="宋体" w:cs="Times New Roman"/>
          <w:color w:val="auto"/>
          <w:sz w:val="20"/>
          <w:szCs w:val="20"/>
          <w:lang w:eastAsia="zh-CN"/>
        </w:rPr>
        <w:instrText xml:space="preserve"> ADDIN EN.CITE.DATA </w:instrText>
      </w:r>
      <w:r>
        <w:rPr>
          <w:rFonts w:hint="eastAsia" w:ascii="Times New Roman" w:hAnsi="Times New Roman" w:eastAsia="宋体" w:cs="Times New Roman"/>
          <w:color w:val="auto"/>
          <w:sz w:val="20"/>
          <w:szCs w:val="20"/>
          <w:lang w:eastAsia="zh-CN"/>
        </w:rPr>
        <w:fldChar w:fldCharType="separate"/>
      </w:r>
      <w:r>
        <w:rPr>
          <w:rFonts w:hint="eastAsia" w:ascii="Times New Roman" w:hAnsi="Times New Roman" w:eastAsia="宋体" w:cs="Times New Roman"/>
          <w:color w:val="auto"/>
          <w:sz w:val="20"/>
          <w:szCs w:val="20"/>
          <w:lang w:eastAsia="zh-CN"/>
        </w:rPr>
        <w:fldChar w:fldCharType="end"/>
      </w:r>
      <w:r>
        <w:rPr>
          <w:rFonts w:hint="default" w:ascii="Times New Roman" w:hAnsi="Times New Roman" w:eastAsia="Times New Roman" w:cs="Times New Roman"/>
          <w:color w:val="auto"/>
          <w:sz w:val="20"/>
          <w:szCs w:val="20"/>
        </w:rPr>
        <w:fldChar w:fldCharType="separate"/>
      </w:r>
      <w:r>
        <w:rPr>
          <w:rFonts w:hint="eastAsia" w:ascii="Times New Roman" w:hAnsi="Times New Roman" w:eastAsia="Times New Roman" w:cs="Times New Roman"/>
          <w:color w:val="auto"/>
          <w:kern w:val="2"/>
          <w:sz w:val="20"/>
          <w:szCs w:val="20"/>
          <w:lang w:val="en-US" w:eastAsia="zh-CN" w:bidi="ar-SA"/>
        </w:rPr>
        <w:t>[2]</w:t>
      </w:r>
      <w:r>
        <w:rPr>
          <w:rFonts w:hint="default" w:ascii="Times New Roman" w:hAnsi="Times New Roman" w:eastAsia="Times New Roman" w:cs="Times New Roman"/>
          <w:color w:val="auto"/>
          <w:sz w:val="20"/>
          <w:szCs w:val="20"/>
        </w:rPr>
        <w:fldChar w:fldCharType="end"/>
      </w:r>
      <w:r>
        <w:rPr>
          <w:rFonts w:hint="default" w:ascii="Times New Roman" w:hAnsi="Times New Roman" w:eastAsia="Times New Roman" w:cs="Times New Roman"/>
          <w:color w:val="auto"/>
          <w:sz w:val="20"/>
          <w:szCs w:val="20"/>
        </w:rPr>
        <w:t>.</w:t>
      </w:r>
    </w:p>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Times New Roman" w:cs="Times New Roman"/>
          <w:color w:val="auto"/>
          <w:sz w:val="20"/>
          <w:szCs w:val="20"/>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r>
        <w:rPr>
          <w:rFonts w:hint="eastAsia" w:ascii="Times New Roman" w:hAnsi="Times New Roman" w:cs="Times New Roman"/>
          <w:b/>
          <w:bCs/>
          <w:color w:val="auto"/>
          <w:kern w:val="0"/>
          <w:sz w:val="20"/>
          <w:szCs w:val="20"/>
          <w:lang w:val="en-US" w:eastAsia="zh-CN"/>
        </w:rPr>
        <w:t>eReferences</w:t>
      </w:r>
    </w:p>
    <w:p>
      <w:pPr>
        <w:pStyle w:val="6"/>
        <w:bidi w:val="0"/>
        <w:ind w:left="720" w:hanging="720"/>
        <w:rPr>
          <w:rFonts w:ascii="Calibri" w:hAnsi="Calibri" w:cs="Calibri" w:eastAsiaTheme="minorEastAsia"/>
          <w:color w:val="auto"/>
          <w:kern w:val="2"/>
          <w:sz w:val="20"/>
          <w:szCs w:val="22"/>
          <w:lang w:val="en-US" w:eastAsia="zh-CN" w:bidi="ar-SA"/>
        </w:rPr>
      </w:pPr>
      <w:r>
        <w:rPr>
          <w:rFonts w:hint="eastAsia" w:eastAsiaTheme="minorEastAsia"/>
          <w:color w:val="auto"/>
          <w:lang w:eastAsia="zh-CN"/>
        </w:rPr>
        <w:fldChar w:fldCharType="begin"/>
      </w:r>
      <w:r>
        <w:rPr>
          <w:rFonts w:hint="eastAsia"/>
          <w:color w:val="auto"/>
          <w:lang w:eastAsia="zh-CN"/>
        </w:rPr>
        <w:instrText xml:space="preserve"> ADDIN EN.REFLIST </w:instrText>
      </w:r>
      <w:r>
        <w:rPr>
          <w:rFonts w:hint="eastAsia" w:eastAsiaTheme="minorEastAsia"/>
          <w:color w:val="auto"/>
          <w:lang w:eastAsia="zh-CN"/>
        </w:rPr>
        <w:fldChar w:fldCharType="separate"/>
      </w:r>
      <w:r>
        <w:rPr>
          <w:rFonts w:ascii="Calibri" w:hAnsi="Calibri" w:cs="Calibri" w:eastAsiaTheme="minorEastAsia"/>
          <w:color w:val="auto"/>
          <w:kern w:val="2"/>
          <w:sz w:val="20"/>
          <w:szCs w:val="22"/>
          <w:lang w:val="en-US" w:eastAsia="zh-CN" w:bidi="ar-SA"/>
        </w:rPr>
        <w:t>1.</w:t>
      </w:r>
      <w:r>
        <w:rPr>
          <w:rFonts w:ascii="Calibri" w:hAnsi="Calibri" w:cs="Calibri" w:eastAsiaTheme="minorEastAsia"/>
          <w:color w:val="auto"/>
          <w:kern w:val="2"/>
          <w:sz w:val="20"/>
          <w:szCs w:val="22"/>
          <w:lang w:val="en-US" w:eastAsia="zh-CN" w:bidi="ar-SA"/>
        </w:rPr>
        <w:tab/>
      </w:r>
      <w:r>
        <w:rPr>
          <w:rFonts w:ascii="Calibri" w:hAnsi="Calibri" w:cs="Calibri" w:eastAsiaTheme="minorEastAsia"/>
          <w:color w:val="auto"/>
          <w:kern w:val="2"/>
          <w:sz w:val="20"/>
          <w:szCs w:val="22"/>
          <w:lang w:val="en-US" w:eastAsia="zh-CN" w:bidi="ar-SA"/>
        </w:rPr>
        <w:t xml:space="preserve">Kalemkerian GP, Gadgeel SM: </w:t>
      </w:r>
      <w:r>
        <w:rPr>
          <w:rFonts w:ascii="Calibri" w:hAnsi="Calibri" w:cs="Calibri" w:eastAsiaTheme="minorEastAsia"/>
          <w:b/>
          <w:color w:val="auto"/>
          <w:kern w:val="2"/>
          <w:sz w:val="20"/>
          <w:szCs w:val="22"/>
          <w:lang w:val="en-US" w:eastAsia="zh-CN" w:bidi="ar-SA"/>
        </w:rPr>
        <w:t>Modern staging of small cell lung cancer</w:t>
      </w:r>
      <w:r>
        <w:rPr>
          <w:rFonts w:ascii="Calibri" w:hAnsi="Calibri" w:cs="Calibri" w:eastAsiaTheme="minorEastAsia"/>
          <w:color w:val="auto"/>
          <w:kern w:val="2"/>
          <w:sz w:val="20"/>
          <w:szCs w:val="22"/>
          <w:lang w:val="en-US" w:eastAsia="zh-CN" w:bidi="ar-SA"/>
        </w:rPr>
        <w:t xml:space="preserve">. </w:t>
      </w:r>
      <w:r>
        <w:rPr>
          <w:rFonts w:ascii="Calibri" w:hAnsi="Calibri" w:cs="Calibri" w:eastAsiaTheme="minorEastAsia"/>
          <w:i/>
          <w:color w:val="auto"/>
          <w:kern w:val="2"/>
          <w:sz w:val="20"/>
          <w:szCs w:val="22"/>
          <w:lang w:val="en-US" w:eastAsia="zh-CN" w:bidi="ar-SA"/>
        </w:rPr>
        <w:t xml:space="preserve">Journal of the National Comprehensive Cancer Network : JNCCN </w:t>
      </w:r>
      <w:r>
        <w:rPr>
          <w:rFonts w:ascii="Calibri" w:hAnsi="Calibri" w:cs="Calibri" w:eastAsiaTheme="minorEastAsia"/>
          <w:color w:val="auto"/>
          <w:kern w:val="2"/>
          <w:sz w:val="20"/>
          <w:szCs w:val="22"/>
          <w:lang w:val="en-US" w:eastAsia="zh-CN" w:bidi="ar-SA"/>
        </w:rPr>
        <w:t xml:space="preserve">2013, </w:t>
      </w:r>
      <w:r>
        <w:rPr>
          <w:rFonts w:ascii="Calibri" w:hAnsi="Calibri" w:cs="Calibri" w:eastAsiaTheme="minorEastAsia"/>
          <w:b/>
          <w:color w:val="auto"/>
          <w:kern w:val="2"/>
          <w:sz w:val="20"/>
          <w:szCs w:val="22"/>
          <w:lang w:val="en-US" w:eastAsia="zh-CN" w:bidi="ar-SA"/>
        </w:rPr>
        <w:t>11</w:t>
      </w:r>
      <w:r>
        <w:rPr>
          <w:rFonts w:ascii="Calibri" w:hAnsi="Calibri" w:cs="Calibri" w:eastAsiaTheme="minorEastAsia"/>
          <w:color w:val="auto"/>
          <w:kern w:val="2"/>
          <w:sz w:val="20"/>
          <w:szCs w:val="22"/>
          <w:lang w:val="en-US" w:eastAsia="zh-CN" w:bidi="ar-SA"/>
        </w:rPr>
        <w:t>(1):99-104.</w:t>
      </w:r>
    </w:p>
    <w:p>
      <w:pPr>
        <w:pStyle w:val="6"/>
        <w:bidi w:val="0"/>
        <w:ind w:left="720" w:hanging="720"/>
        <w:rPr>
          <w:rFonts w:ascii="Calibri" w:hAnsi="Calibri" w:cs="Calibri" w:eastAsiaTheme="minorEastAsia"/>
          <w:color w:val="auto"/>
          <w:kern w:val="2"/>
          <w:sz w:val="20"/>
          <w:szCs w:val="22"/>
          <w:lang w:val="en-US" w:eastAsia="zh-CN" w:bidi="ar-SA"/>
        </w:rPr>
      </w:pPr>
      <w:r>
        <w:rPr>
          <w:rFonts w:ascii="Calibri" w:hAnsi="Calibri" w:cs="Calibri" w:eastAsiaTheme="minorEastAsia"/>
          <w:color w:val="auto"/>
          <w:kern w:val="2"/>
          <w:sz w:val="20"/>
          <w:szCs w:val="22"/>
          <w:lang w:val="en-US" w:eastAsia="zh-CN" w:bidi="ar-SA"/>
        </w:rPr>
        <w:t>2.</w:t>
      </w:r>
      <w:r>
        <w:rPr>
          <w:rFonts w:ascii="Calibri" w:hAnsi="Calibri" w:cs="Calibri" w:eastAsiaTheme="minorEastAsia"/>
          <w:color w:val="auto"/>
          <w:kern w:val="2"/>
          <w:sz w:val="20"/>
          <w:szCs w:val="22"/>
          <w:lang w:val="en-US" w:eastAsia="zh-CN" w:bidi="ar-SA"/>
        </w:rPr>
        <w:tab/>
      </w:r>
      <w:r>
        <w:rPr>
          <w:rFonts w:ascii="Calibri" w:hAnsi="Calibri" w:cs="Calibri" w:eastAsiaTheme="minorEastAsia"/>
          <w:color w:val="auto"/>
          <w:kern w:val="2"/>
          <w:sz w:val="20"/>
          <w:szCs w:val="22"/>
          <w:lang w:val="en-US" w:eastAsia="zh-CN" w:bidi="ar-SA"/>
        </w:rPr>
        <w:t>Shankar B, Zhang J, Naqash AR, Forde PM, Feliciano JL, Marrone KA, Ettinger DS, Hann CL, Brahmer JR, Ricciuti B</w:t>
      </w:r>
      <w:r>
        <w:rPr>
          <w:rFonts w:ascii="Calibri" w:hAnsi="Calibri" w:cs="Calibri" w:eastAsiaTheme="minorEastAsia"/>
          <w:i/>
          <w:color w:val="auto"/>
          <w:kern w:val="2"/>
          <w:sz w:val="20"/>
          <w:szCs w:val="22"/>
          <w:lang w:val="en-US" w:eastAsia="zh-CN" w:bidi="ar-SA"/>
        </w:rPr>
        <w:t xml:space="preserve"> et al</w:t>
      </w:r>
      <w:r>
        <w:rPr>
          <w:rFonts w:ascii="Calibri" w:hAnsi="Calibri" w:cs="Calibri" w:eastAsiaTheme="minorEastAsia"/>
          <w:color w:val="auto"/>
          <w:kern w:val="2"/>
          <w:sz w:val="20"/>
          <w:szCs w:val="22"/>
          <w:lang w:val="en-US" w:eastAsia="zh-CN" w:bidi="ar-SA"/>
        </w:rPr>
        <w:t xml:space="preserve">: </w:t>
      </w:r>
      <w:r>
        <w:rPr>
          <w:rFonts w:ascii="Calibri" w:hAnsi="Calibri" w:cs="Calibri" w:eastAsiaTheme="minorEastAsia"/>
          <w:b/>
          <w:color w:val="auto"/>
          <w:kern w:val="2"/>
          <w:sz w:val="20"/>
          <w:szCs w:val="22"/>
          <w:lang w:val="en-US" w:eastAsia="zh-CN" w:bidi="ar-SA"/>
        </w:rPr>
        <w:t>Multisystem Immune-Related Adverse Events Associated With Immune Checkpoint Inhibitors for Treatment of Non-Small Cell Lung Cancer</w:t>
      </w:r>
      <w:r>
        <w:rPr>
          <w:rFonts w:ascii="Calibri" w:hAnsi="Calibri" w:cs="Calibri" w:eastAsiaTheme="minorEastAsia"/>
          <w:color w:val="auto"/>
          <w:kern w:val="2"/>
          <w:sz w:val="20"/>
          <w:szCs w:val="22"/>
          <w:lang w:val="en-US" w:eastAsia="zh-CN" w:bidi="ar-SA"/>
        </w:rPr>
        <w:t xml:space="preserve">. </w:t>
      </w:r>
      <w:r>
        <w:rPr>
          <w:rFonts w:ascii="Calibri" w:hAnsi="Calibri" w:cs="Calibri" w:eastAsiaTheme="minorEastAsia"/>
          <w:i/>
          <w:color w:val="auto"/>
          <w:kern w:val="2"/>
          <w:sz w:val="20"/>
          <w:szCs w:val="22"/>
          <w:lang w:val="en-US" w:eastAsia="zh-CN" w:bidi="ar-SA"/>
        </w:rPr>
        <w:t xml:space="preserve">JAMA oncology </w:t>
      </w:r>
      <w:r>
        <w:rPr>
          <w:rFonts w:ascii="Calibri" w:hAnsi="Calibri" w:cs="Calibri" w:eastAsiaTheme="minorEastAsia"/>
          <w:color w:val="auto"/>
          <w:kern w:val="2"/>
          <w:sz w:val="20"/>
          <w:szCs w:val="22"/>
          <w:lang w:val="en-US" w:eastAsia="zh-CN" w:bidi="ar-SA"/>
        </w:rPr>
        <w:t xml:space="preserve">2020, </w:t>
      </w:r>
      <w:r>
        <w:rPr>
          <w:rFonts w:ascii="Calibri" w:hAnsi="Calibri" w:cs="Calibri" w:eastAsiaTheme="minorEastAsia"/>
          <w:b/>
          <w:color w:val="auto"/>
          <w:kern w:val="2"/>
          <w:sz w:val="20"/>
          <w:szCs w:val="22"/>
          <w:lang w:val="en-US" w:eastAsia="zh-CN" w:bidi="ar-SA"/>
        </w:rPr>
        <w:t>6</w:t>
      </w:r>
      <w:r>
        <w:rPr>
          <w:rFonts w:ascii="Calibri" w:hAnsi="Calibri" w:cs="Calibri" w:eastAsiaTheme="minorEastAsia"/>
          <w:color w:val="auto"/>
          <w:kern w:val="2"/>
          <w:sz w:val="20"/>
          <w:szCs w:val="22"/>
          <w:lang w:val="en-US" w:eastAsia="zh-CN" w:bidi="ar-SA"/>
        </w:rPr>
        <w:t>(12):1952-1956.</w:t>
      </w:r>
    </w:p>
    <w:p>
      <w:pPr>
        <w:rPr>
          <w:rFonts w:hint="eastAsia" w:eastAsiaTheme="minorEastAsia"/>
          <w:color w:val="auto"/>
          <w:lang w:eastAsia="zh-CN"/>
        </w:rPr>
      </w:pPr>
      <w:r>
        <w:rPr>
          <w:rFonts w:hint="eastAsia" w:eastAsiaTheme="minorEastAsia"/>
          <w:color w:val="auto"/>
          <w:lang w:eastAsia="zh-CN"/>
        </w:rPr>
        <w:fldChar w:fldCharType="end"/>
      </w: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cs="Times New Roman"/>
          <w:b/>
          <w:bCs/>
          <w:color w:val="auto"/>
          <w:kern w:val="0"/>
          <w:sz w:val="20"/>
          <w:szCs w:val="20"/>
          <w:lang w:val="en-US" w:eastAsia="zh-CN"/>
        </w:rPr>
      </w:pP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1</w:t>
      </w:r>
      <w:r>
        <w:rPr>
          <w:rFonts w:ascii="Times New Roman" w:hAnsi="Times New Roman" w:cs="Times New Roman"/>
          <w:b/>
          <w:bCs/>
          <w:color w:val="auto"/>
          <w:kern w:val="0"/>
          <w:sz w:val="20"/>
          <w:szCs w:val="20"/>
        </w:rPr>
        <w:t xml:space="preserve">  Summary of immune-related adverse events and their treatment </w:t>
      </w:r>
      <w:r>
        <w:rPr>
          <w:rFonts w:hint="eastAsia" w:ascii="Times New Roman" w:hAnsi="Times New Roman" w:cs="Times New Roman"/>
          <w:b/>
          <w:bCs/>
          <w:color w:val="auto"/>
          <w:kern w:val="0"/>
          <w:sz w:val="20"/>
          <w:szCs w:val="20"/>
          <w:lang w:val="en-US" w:eastAsia="zh-CN"/>
        </w:rPr>
        <w:t>in</w:t>
      </w:r>
      <w:r>
        <w:rPr>
          <w:rFonts w:ascii="Times New Roman" w:hAnsi="Times New Roman" w:cs="Times New Roman"/>
          <w:b/>
          <w:bCs/>
          <w:color w:val="auto"/>
          <w:kern w:val="0"/>
          <w:sz w:val="20"/>
          <w:szCs w:val="20"/>
        </w:rPr>
        <w:t xml:space="preserve"> SCLC treated with immunotherapy.</w:t>
      </w:r>
    </w:p>
    <w:tbl>
      <w:tblPr>
        <w:tblStyle w:val="4"/>
        <w:tblW w:w="90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1659"/>
        <w:gridCol w:w="2399"/>
        <w:gridCol w:w="1050"/>
        <w:gridCol w:w="1050"/>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806"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Organ system</w:t>
            </w:r>
          </w:p>
        </w:tc>
        <w:tc>
          <w:tcPr>
            <w:tcW w:w="165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Any grade</w:t>
            </w:r>
          </w:p>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hint="eastAsia" w:ascii="Times New Roman" w:hAnsi="Times New Roman" w:eastAsia="宋体" w:cs="Times New Roman"/>
                <w:b/>
                <w:bCs/>
                <w:color w:val="auto"/>
                <w:kern w:val="0"/>
                <w:sz w:val="20"/>
                <w:szCs w:val="20"/>
                <w:lang w:val="en-US" w:eastAsia="zh-CN"/>
              </w:rPr>
              <w:t>(N=</w:t>
            </w:r>
            <w:r>
              <w:rPr>
                <w:rFonts w:ascii="Times New Roman" w:hAnsi="Times New Roman" w:eastAsia="宋体" w:cs="Times New Roman"/>
                <w:b/>
                <w:bCs/>
                <w:color w:val="auto"/>
                <w:kern w:val="0"/>
                <w:sz w:val="20"/>
                <w:szCs w:val="20"/>
              </w:rPr>
              <w:t>1</w:t>
            </w:r>
            <w:r>
              <w:rPr>
                <w:rFonts w:hint="eastAsia" w:ascii="Times New Roman" w:hAnsi="Times New Roman" w:eastAsia="宋体" w:cs="Times New Roman"/>
                <w:b/>
                <w:bCs/>
                <w:color w:val="auto"/>
                <w:kern w:val="0"/>
                <w:sz w:val="20"/>
                <w:szCs w:val="20"/>
              </w:rPr>
              <w:t>65</w:t>
            </w:r>
            <w:r>
              <w:rPr>
                <w:rFonts w:hint="eastAsia" w:ascii="Times New Roman" w:hAnsi="Times New Roman" w:eastAsia="宋体" w:cs="Times New Roman"/>
                <w:b/>
                <w:bCs/>
                <w:color w:val="auto"/>
                <w:kern w:val="0"/>
                <w:sz w:val="20"/>
                <w:szCs w:val="20"/>
                <w:lang w:val="en-US" w:eastAsia="zh-CN"/>
              </w:rPr>
              <w:t>)</w:t>
            </w:r>
          </w:p>
        </w:tc>
        <w:tc>
          <w:tcPr>
            <w:tcW w:w="239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Specific irAE</w:t>
            </w:r>
          </w:p>
        </w:tc>
        <w:tc>
          <w:tcPr>
            <w:tcW w:w="1050"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Grade 1-2</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lang w:val="en-US" w:eastAsia="zh-CN"/>
              </w:rPr>
              <w:t>(N=</w:t>
            </w:r>
            <w:r>
              <w:rPr>
                <w:rFonts w:ascii="Times New Roman" w:hAnsi="Times New Roman" w:eastAsia="宋体" w:cs="Times New Roman"/>
                <w:b/>
                <w:bCs/>
                <w:color w:val="auto"/>
                <w:kern w:val="0"/>
                <w:sz w:val="20"/>
                <w:szCs w:val="20"/>
              </w:rPr>
              <w:t>1</w:t>
            </w:r>
            <w:r>
              <w:rPr>
                <w:rFonts w:hint="eastAsia" w:ascii="Times New Roman" w:hAnsi="Times New Roman" w:eastAsia="宋体" w:cs="Times New Roman"/>
                <w:b/>
                <w:bCs/>
                <w:color w:val="auto"/>
                <w:kern w:val="0"/>
                <w:sz w:val="20"/>
                <w:szCs w:val="20"/>
              </w:rPr>
              <w:t>59</w:t>
            </w:r>
            <w:r>
              <w:rPr>
                <w:rFonts w:hint="eastAsia" w:ascii="Times New Roman" w:hAnsi="Times New Roman" w:eastAsia="宋体" w:cs="Times New Roman"/>
                <w:b/>
                <w:bCs/>
                <w:color w:val="auto"/>
                <w:kern w:val="0"/>
                <w:sz w:val="20"/>
                <w:szCs w:val="20"/>
                <w:lang w:val="en-US" w:eastAsia="zh-CN"/>
              </w:rPr>
              <w:t>)</w:t>
            </w:r>
            <w:r>
              <w:rPr>
                <w:rFonts w:ascii="Times New Roman" w:hAnsi="Times New Roman" w:eastAsia="宋体" w:cs="Times New Roman"/>
                <w:b/>
                <w:bCs/>
                <w:color w:val="auto"/>
                <w:kern w:val="0"/>
                <w:sz w:val="20"/>
                <w:szCs w:val="20"/>
              </w:rPr>
              <w:t xml:space="preserve"> </w:t>
            </w:r>
          </w:p>
        </w:tc>
        <w:tc>
          <w:tcPr>
            <w:tcW w:w="1050"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Grade 3-4</w:t>
            </w:r>
          </w:p>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hint="eastAsia" w:ascii="Times New Roman" w:hAnsi="Times New Roman" w:eastAsia="宋体" w:cs="Times New Roman"/>
                <w:b/>
                <w:bCs/>
                <w:color w:val="auto"/>
                <w:kern w:val="0"/>
                <w:sz w:val="20"/>
                <w:szCs w:val="20"/>
                <w:lang w:val="en-US" w:eastAsia="zh-CN"/>
              </w:rPr>
              <w:t>(N=</w:t>
            </w:r>
            <w:r>
              <w:rPr>
                <w:rFonts w:hint="eastAsia" w:ascii="Times New Roman" w:hAnsi="Times New Roman" w:eastAsia="宋体" w:cs="Times New Roman"/>
                <w:b/>
                <w:bCs/>
                <w:color w:val="auto"/>
                <w:kern w:val="0"/>
                <w:sz w:val="20"/>
                <w:szCs w:val="20"/>
              </w:rPr>
              <w:t>6</w:t>
            </w:r>
            <w:r>
              <w:rPr>
                <w:rFonts w:hint="eastAsia" w:ascii="Times New Roman" w:hAnsi="Times New Roman" w:eastAsia="宋体" w:cs="Times New Roman"/>
                <w:b/>
                <w:bCs/>
                <w:color w:val="auto"/>
                <w:kern w:val="0"/>
                <w:sz w:val="20"/>
                <w:szCs w:val="20"/>
                <w:lang w:val="en-US" w:eastAsia="zh-CN"/>
              </w:rPr>
              <w:t>)</w:t>
            </w:r>
          </w:p>
        </w:tc>
        <w:tc>
          <w:tcPr>
            <w:tcW w:w="1057"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 xml:space="preserve">Therapy </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lang w:val="en-US" w:eastAsia="zh-CN"/>
              </w:rPr>
              <w:t>(N=</w:t>
            </w:r>
            <w:r>
              <w:rPr>
                <w:rFonts w:ascii="Times New Roman" w:hAnsi="Times New Roman" w:eastAsia="宋体" w:cs="Times New Roman"/>
                <w:b/>
                <w:bCs/>
                <w:color w:val="auto"/>
                <w:kern w:val="0"/>
                <w:sz w:val="20"/>
                <w:szCs w:val="20"/>
              </w:rPr>
              <w:t>2</w:t>
            </w:r>
            <w:r>
              <w:rPr>
                <w:rFonts w:hint="eastAsia" w:ascii="Times New Roman" w:hAnsi="Times New Roman" w:eastAsia="宋体" w:cs="Times New Roman"/>
                <w:b/>
                <w:bCs/>
                <w:color w:val="auto"/>
                <w:kern w:val="0"/>
                <w:sz w:val="20"/>
                <w:szCs w:val="20"/>
              </w:rPr>
              <w:t>9</w:t>
            </w:r>
            <w:r>
              <w:rPr>
                <w:rFonts w:hint="eastAsia" w:ascii="Times New Roman" w:hAnsi="Times New Roman" w:eastAsia="宋体" w:cs="Times New Roman"/>
                <w:b/>
                <w:bCs/>
                <w:color w:val="auto"/>
                <w:kern w:val="0"/>
                <w:sz w:val="20"/>
                <w:szCs w:val="20"/>
                <w:lang w:val="en-US" w:eastAsia="zh-CN"/>
              </w:rPr>
              <w:t>)</w:t>
            </w:r>
            <w:r>
              <w:rPr>
                <w:rFonts w:ascii="Times New Roman" w:hAnsi="Times New Roman" w:eastAsia="宋体" w:cs="Times New Roman"/>
                <w:b/>
                <w:bCs/>
                <w:color w:val="auto"/>
                <w:kern w:val="0"/>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806"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Endocrine</w:t>
            </w:r>
          </w:p>
        </w:tc>
        <w:tc>
          <w:tcPr>
            <w:tcW w:w="1659"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rPr>
              <w:t>6</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91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tc>
        <w:tc>
          <w:tcPr>
            <w:tcW w:w="2399"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Hyperthyroidism</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0" w:name="OLE_LINK2"/>
            <w:r>
              <w:rPr>
                <w:rFonts w:ascii="Times New Roman" w:hAnsi="Times New Roman" w:eastAsia="宋体" w:cs="Times New Roman"/>
                <w:color w:val="auto"/>
                <w:kern w:val="0"/>
                <w:sz w:val="20"/>
                <w:szCs w:val="20"/>
              </w:rPr>
              <w:t>Hypothyroidism</w:t>
            </w:r>
          </w:p>
          <w:bookmarkEnd w:id="0"/>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1" w:name="OLE_LINK8"/>
            <w:r>
              <w:rPr>
                <w:rFonts w:ascii="Times New Roman" w:hAnsi="Times New Roman" w:eastAsia="宋体" w:cs="Times New Roman"/>
                <w:color w:val="auto"/>
                <w:kern w:val="0"/>
                <w:sz w:val="20"/>
                <w:szCs w:val="20"/>
              </w:rPr>
              <w:t>Panhypopituitarism</w:t>
            </w:r>
          </w:p>
          <w:bookmarkEnd w:id="1"/>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C00000"/>
                <w:kern w:val="0"/>
                <w:sz w:val="20"/>
                <w:szCs w:val="20"/>
              </w:rPr>
            </w:pPr>
            <w:r>
              <w:rPr>
                <w:rFonts w:hint="eastAsia" w:ascii="Times New Roman" w:hAnsi="Times New Roman" w:eastAsia="宋体" w:cs="Times New Roman"/>
                <w:color w:val="C00000"/>
                <w:kern w:val="0"/>
                <w:sz w:val="20"/>
                <w:szCs w:val="20"/>
              </w:rPr>
              <w:t>Type 1</w:t>
            </w:r>
            <w:r>
              <w:rPr>
                <w:rFonts w:hint="eastAsia" w:ascii="Times New Roman" w:hAnsi="Times New Roman" w:eastAsia="宋体" w:cs="Times New Roman"/>
                <w:color w:val="C00000"/>
                <w:kern w:val="0"/>
                <w:sz w:val="20"/>
                <w:szCs w:val="20"/>
                <w:lang w:val="en-US" w:eastAsia="zh-CN"/>
              </w:rPr>
              <w:t xml:space="preserve"> d</w:t>
            </w:r>
            <w:r>
              <w:rPr>
                <w:rFonts w:ascii="Times New Roman" w:hAnsi="Times New Roman" w:eastAsia="宋体" w:cs="Times New Roman"/>
                <w:color w:val="C00000"/>
                <w:kern w:val="0"/>
                <w:sz w:val="20"/>
                <w:szCs w:val="20"/>
              </w:rPr>
              <w:t>iabetes</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2" w:name="OLE_LINK5"/>
            <w:r>
              <w:rPr>
                <w:rFonts w:ascii="Times New Roman" w:hAnsi="Times New Roman" w:eastAsia="宋体" w:cs="Times New Roman"/>
                <w:color w:val="auto"/>
                <w:kern w:val="0"/>
                <w:sz w:val="20"/>
                <w:szCs w:val="20"/>
              </w:rPr>
              <w:t>Hypophysitis</w:t>
            </w:r>
            <w:bookmarkEnd w:id="2"/>
          </w:p>
        </w:tc>
        <w:tc>
          <w:tcPr>
            <w:tcW w:w="105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rPr>
              <w:t>5</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91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tc>
        <w:tc>
          <w:tcPr>
            <w:tcW w:w="105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tc>
        <w:tc>
          <w:tcPr>
            <w:tcW w:w="1057"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3</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5</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806"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Cutaneous</w:t>
            </w:r>
          </w:p>
        </w:tc>
        <w:tc>
          <w:tcPr>
            <w:tcW w:w="165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w:t>
            </w:r>
          </w:p>
        </w:tc>
        <w:tc>
          <w:tcPr>
            <w:tcW w:w="239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Rash</w:t>
            </w:r>
          </w:p>
        </w:tc>
        <w:tc>
          <w:tcPr>
            <w:tcW w:w="10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w:t>
            </w:r>
          </w:p>
        </w:tc>
        <w:tc>
          <w:tcPr>
            <w:tcW w:w="10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2</w:t>
            </w:r>
          </w:p>
        </w:tc>
        <w:tc>
          <w:tcPr>
            <w:tcW w:w="105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806"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Respiratory</w:t>
            </w:r>
          </w:p>
        </w:tc>
        <w:tc>
          <w:tcPr>
            <w:tcW w:w="165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p>
        </w:tc>
        <w:tc>
          <w:tcPr>
            <w:tcW w:w="239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3" w:name="OLE_LINK6"/>
            <w:r>
              <w:rPr>
                <w:rFonts w:ascii="Times New Roman" w:hAnsi="Times New Roman" w:eastAsia="宋体" w:cs="Times New Roman"/>
                <w:color w:val="auto"/>
                <w:kern w:val="0"/>
                <w:sz w:val="20"/>
                <w:szCs w:val="20"/>
              </w:rPr>
              <w:t>Pneumonitis</w:t>
            </w:r>
            <w:bookmarkEnd w:id="3"/>
          </w:p>
        </w:tc>
        <w:tc>
          <w:tcPr>
            <w:tcW w:w="10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9</w:t>
            </w:r>
          </w:p>
        </w:tc>
        <w:tc>
          <w:tcPr>
            <w:tcW w:w="10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tc>
        <w:tc>
          <w:tcPr>
            <w:tcW w:w="105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806"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Gastrointestinal</w:t>
            </w:r>
          </w:p>
        </w:tc>
        <w:tc>
          <w:tcPr>
            <w:tcW w:w="165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w:t>
            </w:r>
          </w:p>
        </w:tc>
        <w:tc>
          <w:tcPr>
            <w:tcW w:w="239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4" w:name="OLE_LINK9"/>
            <w:r>
              <w:rPr>
                <w:rFonts w:ascii="Times New Roman" w:hAnsi="Times New Roman" w:eastAsia="宋体" w:cs="Times New Roman"/>
                <w:color w:val="auto"/>
                <w:kern w:val="0"/>
                <w:sz w:val="20"/>
                <w:szCs w:val="20"/>
              </w:rPr>
              <w:t>Pancreatitis</w:t>
            </w:r>
          </w:p>
          <w:bookmarkEnd w:id="4"/>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5" w:name="OLE_LINK3"/>
            <w:r>
              <w:rPr>
                <w:rFonts w:ascii="Times New Roman" w:hAnsi="Times New Roman" w:eastAsia="宋体" w:cs="Times New Roman"/>
                <w:color w:val="auto"/>
                <w:kern w:val="0"/>
                <w:sz w:val="20"/>
                <w:szCs w:val="20"/>
              </w:rPr>
              <w:t>Hepatitis</w:t>
            </w:r>
          </w:p>
          <w:bookmarkEnd w:id="5"/>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6" w:name="OLE_LINK7"/>
            <w:r>
              <w:rPr>
                <w:rFonts w:ascii="Times New Roman" w:hAnsi="Times New Roman" w:eastAsia="宋体" w:cs="Times New Roman"/>
                <w:color w:val="auto"/>
                <w:kern w:val="0"/>
                <w:sz w:val="20"/>
                <w:szCs w:val="20"/>
              </w:rPr>
              <w:t>Diarrhea/Colitis</w:t>
            </w:r>
            <w:bookmarkEnd w:id="6"/>
          </w:p>
        </w:tc>
        <w:tc>
          <w:tcPr>
            <w:tcW w:w="10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2</w:t>
            </w:r>
          </w:p>
        </w:tc>
        <w:tc>
          <w:tcPr>
            <w:tcW w:w="10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tc>
        <w:tc>
          <w:tcPr>
            <w:tcW w:w="105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806"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Cardiovascular</w:t>
            </w:r>
          </w:p>
        </w:tc>
        <w:tc>
          <w:tcPr>
            <w:tcW w:w="165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tc>
        <w:tc>
          <w:tcPr>
            <w:tcW w:w="239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7" w:name="OLE_LINK10"/>
            <w:r>
              <w:rPr>
                <w:rFonts w:ascii="Times New Roman" w:hAnsi="Times New Roman" w:eastAsia="宋体" w:cs="Times New Roman"/>
                <w:color w:val="auto"/>
                <w:kern w:val="0"/>
                <w:sz w:val="20"/>
                <w:szCs w:val="20"/>
              </w:rPr>
              <w:t>Myocarditis</w:t>
            </w:r>
          </w:p>
          <w:bookmarkEnd w:id="7"/>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8" w:name="OLE_LINK11"/>
            <w:r>
              <w:rPr>
                <w:rFonts w:ascii="Times New Roman" w:hAnsi="Times New Roman" w:eastAsia="宋体" w:cs="Times New Roman"/>
                <w:color w:val="auto"/>
                <w:kern w:val="0"/>
                <w:sz w:val="20"/>
                <w:szCs w:val="20"/>
              </w:rPr>
              <w:t>Phlebits</w:t>
            </w:r>
            <w:bookmarkEnd w:id="8"/>
          </w:p>
        </w:tc>
        <w:tc>
          <w:tcPr>
            <w:tcW w:w="10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tc>
        <w:tc>
          <w:tcPr>
            <w:tcW w:w="10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tc>
        <w:tc>
          <w:tcPr>
            <w:tcW w:w="105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806"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Neurologic</w:t>
            </w:r>
          </w:p>
        </w:tc>
        <w:tc>
          <w:tcPr>
            <w:tcW w:w="1659"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tc>
        <w:tc>
          <w:tcPr>
            <w:tcW w:w="2399"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9" w:name="OLE_LINK4"/>
            <w:r>
              <w:rPr>
                <w:rFonts w:ascii="Times New Roman" w:hAnsi="Times New Roman" w:eastAsia="宋体" w:cs="Times New Roman"/>
                <w:color w:val="auto"/>
                <w:kern w:val="0"/>
                <w:sz w:val="20"/>
                <w:szCs w:val="20"/>
              </w:rPr>
              <w:t>Peripheral neuropathy</w:t>
            </w:r>
            <w:bookmarkEnd w:id="9"/>
          </w:p>
        </w:tc>
        <w:tc>
          <w:tcPr>
            <w:tcW w:w="1050"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p>
        </w:tc>
        <w:tc>
          <w:tcPr>
            <w:tcW w:w="1050"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tc>
        <w:tc>
          <w:tcPr>
            <w:tcW w:w="1057"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p>
        </w:tc>
      </w:tr>
    </w:tbl>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cs="Times New Roman"/>
          <w:color w:val="auto"/>
          <w:kern w:val="0"/>
          <w:sz w:val="20"/>
          <w:szCs w:val="20"/>
        </w:rPr>
      </w:pP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cs="Times New Roman"/>
          <w:color w:val="auto"/>
          <w:kern w:val="0"/>
          <w:sz w:val="20"/>
          <w:szCs w:val="20"/>
        </w:rPr>
      </w:pPr>
      <w:r>
        <w:rPr>
          <w:rFonts w:ascii="Times New Roman" w:hAnsi="Times New Roman" w:cs="Times New Roman"/>
          <w:color w:val="auto"/>
          <w:kern w:val="0"/>
          <w:sz w:val="20"/>
          <w:szCs w:val="20"/>
        </w:rPr>
        <w:t xml:space="preserve">                           </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cs="Times New Roman"/>
          <w:b/>
          <w:bCs/>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2</w:t>
      </w:r>
      <w:r>
        <w:rPr>
          <w:rFonts w:ascii="Times New Roman" w:hAnsi="Times New Roman" w:cs="Times New Roman"/>
          <w:b/>
          <w:bCs/>
          <w:color w:val="auto"/>
          <w:kern w:val="0"/>
          <w:sz w:val="20"/>
          <w:szCs w:val="20"/>
        </w:rPr>
        <w:t xml:space="preserve">  Multivariate logistic regression of risk factors for irAEs in </w:t>
      </w:r>
      <w:r>
        <w:rPr>
          <w:rFonts w:hint="eastAsia" w:ascii="Times New Roman" w:hAnsi="Times New Roman" w:cs="Times New Roman"/>
          <w:b/>
          <w:bCs/>
          <w:color w:val="auto"/>
          <w:kern w:val="0"/>
          <w:sz w:val="20"/>
          <w:szCs w:val="20"/>
          <w:lang w:val="en-US" w:eastAsia="zh-CN"/>
        </w:rPr>
        <w:t xml:space="preserve">SCLC </w:t>
      </w:r>
      <w:r>
        <w:rPr>
          <w:rFonts w:ascii="Times New Roman" w:hAnsi="Times New Roman" w:cs="Times New Roman"/>
          <w:b/>
          <w:bCs/>
          <w:color w:val="auto"/>
          <w:kern w:val="0"/>
          <w:sz w:val="20"/>
          <w:szCs w:val="20"/>
        </w:rPr>
        <w:t>patients treated with immunotherapy.</w:t>
      </w:r>
    </w:p>
    <w:tbl>
      <w:tblPr>
        <w:tblStyle w:val="4"/>
        <w:tblW w:w="9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0"/>
        <w:gridCol w:w="2313"/>
        <w:gridCol w:w="1189"/>
        <w:gridCol w:w="1923"/>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71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irAEs</w:t>
            </w:r>
          </w:p>
        </w:tc>
        <w:tc>
          <w:tcPr>
            <w:tcW w:w="3502" w:type="dxa"/>
            <w:gridSpan w:val="2"/>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Univariate Analysis</w:t>
            </w:r>
          </w:p>
        </w:tc>
        <w:tc>
          <w:tcPr>
            <w:tcW w:w="3107" w:type="dxa"/>
            <w:gridSpan w:val="2"/>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Multivariate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71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p>
        </w:tc>
        <w:tc>
          <w:tcPr>
            <w:tcW w:w="2313"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OR (95%CI)</w:t>
            </w:r>
          </w:p>
        </w:tc>
        <w:tc>
          <w:tcPr>
            <w:tcW w:w="118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923"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OR (95%CI)</w:t>
            </w:r>
          </w:p>
        </w:tc>
        <w:tc>
          <w:tcPr>
            <w:tcW w:w="1184"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bidi w:val="0"/>
              <w:snapToGrid/>
              <w:spacing w:line="240" w:lineRule="auto"/>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1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Age</w:t>
            </w:r>
          </w:p>
        </w:tc>
        <w:tc>
          <w:tcPr>
            <w:tcW w:w="2313"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（0.98-1.0</w:t>
            </w:r>
            <w:r>
              <w:rPr>
                <w:rFonts w:hint="eastAsia" w:ascii="Times New Roman" w:hAnsi="Times New Roman" w:eastAsia="宋体" w:cs="Times New Roman"/>
                <w:color w:val="auto"/>
                <w:kern w:val="0"/>
                <w:sz w:val="20"/>
                <w:szCs w:val="20"/>
              </w:rPr>
              <w:t>4</w:t>
            </w:r>
            <w:r>
              <w:rPr>
                <w:rFonts w:ascii="Times New Roman" w:hAnsi="Times New Roman" w:eastAsia="宋体" w:cs="Times New Roman"/>
                <w:color w:val="auto"/>
                <w:kern w:val="0"/>
                <w:sz w:val="20"/>
                <w:szCs w:val="20"/>
              </w:rPr>
              <w:t>）</w:t>
            </w:r>
          </w:p>
        </w:tc>
        <w:tc>
          <w:tcPr>
            <w:tcW w:w="1189"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55</w:t>
            </w:r>
          </w:p>
        </w:tc>
        <w:tc>
          <w:tcPr>
            <w:tcW w:w="1923"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w:t>
            </w:r>
          </w:p>
        </w:tc>
        <w:tc>
          <w:tcPr>
            <w:tcW w:w="1184"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71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Gender</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(male vs female)</w:t>
            </w:r>
          </w:p>
        </w:tc>
        <w:tc>
          <w:tcPr>
            <w:tcW w:w="231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84</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4</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61</w:t>
            </w:r>
            <w:r>
              <w:rPr>
                <w:rFonts w:ascii="Times New Roman" w:hAnsi="Times New Roman" w:eastAsia="宋体" w:cs="Times New Roman"/>
                <w:color w:val="auto"/>
                <w:kern w:val="0"/>
                <w:sz w:val="20"/>
                <w:szCs w:val="20"/>
              </w:rPr>
              <w:t>）</w:t>
            </w:r>
          </w:p>
        </w:tc>
        <w:tc>
          <w:tcPr>
            <w:tcW w:w="118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60</w:t>
            </w:r>
          </w:p>
        </w:tc>
        <w:tc>
          <w:tcPr>
            <w:tcW w:w="192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20</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36</w:t>
            </w:r>
            <w:r>
              <w:rPr>
                <w:rFonts w:ascii="Times New Roman" w:hAnsi="Times New Roman" w:eastAsia="宋体" w:cs="Times New Roman"/>
                <w:color w:val="auto"/>
                <w:kern w:val="0"/>
                <w:sz w:val="20"/>
                <w:szCs w:val="20"/>
              </w:rPr>
              <w:t>）</w:t>
            </w:r>
          </w:p>
        </w:tc>
        <w:tc>
          <w:tcPr>
            <w:tcW w:w="1184"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710" w:type="dxa"/>
            <w:tcBorders>
              <w:top w:val="nil"/>
              <w:left w:val="nil"/>
              <w:bottom w:val="nil"/>
              <w:right w:val="nil"/>
            </w:tcBorders>
          </w:tcPr>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Smoking </w:t>
            </w:r>
          </w:p>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(yes vs no)</w:t>
            </w:r>
          </w:p>
        </w:tc>
        <w:tc>
          <w:tcPr>
            <w:tcW w:w="231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0.89</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52</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53</w:t>
            </w:r>
            <w:r>
              <w:rPr>
                <w:rFonts w:ascii="Times New Roman" w:hAnsi="Times New Roman" w:eastAsia="宋体" w:cs="Times New Roman"/>
                <w:color w:val="auto"/>
                <w:kern w:val="0"/>
                <w:sz w:val="20"/>
                <w:szCs w:val="20"/>
              </w:rPr>
              <w:t>）</w:t>
            </w:r>
          </w:p>
        </w:tc>
        <w:tc>
          <w:tcPr>
            <w:tcW w:w="118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68</w:t>
            </w:r>
          </w:p>
        </w:tc>
        <w:tc>
          <w:tcPr>
            <w:tcW w:w="192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1.52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p>
        </w:tc>
        <w:tc>
          <w:tcPr>
            <w:tcW w:w="1184"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71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ECOG PS</w:t>
            </w:r>
          </w:p>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(0-1 vs ≥2)</w:t>
            </w:r>
          </w:p>
        </w:tc>
        <w:tc>
          <w:tcPr>
            <w:tcW w:w="231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1.12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86</w:t>
            </w:r>
            <w:r>
              <w:rPr>
                <w:rFonts w:ascii="Times New Roman" w:hAnsi="Times New Roman" w:eastAsia="宋体" w:cs="Times New Roman"/>
                <w:color w:val="auto"/>
                <w:kern w:val="0"/>
                <w:sz w:val="20"/>
                <w:szCs w:val="20"/>
              </w:rPr>
              <w:t>）</w:t>
            </w:r>
          </w:p>
        </w:tc>
        <w:tc>
          <w:tcPr>
            <w:tcW w:w="118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0.66</w:t>
            </w:r>
          </w:p>
        </w:tc>
        <w:tc>
          <w:tcPr>
            <w:tcW w:w="192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64</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01</w:t>
            </w:r>
            <w:r>
              <w:rPr>
                <w:rFonts w:ascii="Times New Roman" w:hAnsi="Times New Roman" w:eastAsia="宋体" w:cs="Times New Roman"/>
                <w:color w:val="auto"/>
                <w:kern w:val="0"/>
                <w:sz w:val="20"/>
                <w:szCs w:val="20"/>
              </w:rPr>
              <w:t>）</w:t>
            </w:r>
          </w:p>
        </w:tc>
        <w:tc>
          <w:tcPr>
            <w:tcW w:w="1184"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71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Line of therapy for ICIs</w:t>
            </w:r>
          </w:p>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(1st vs≥2nd)</w:t>
            </w:r>
          </w:p>
        </w:tc>
        <w:tc>
          <w:tcPr>
            <w:tcW w:w="231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99</w:t>
            </w:r>
            <w:r>
              <w:rPr>
                <w:rFonts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rPr>
              <w:t>20</w:t>
            </w:r>
            <w:r>
              <w:rPr>
                <w:rFonts w:ascii="Times New Roman" w:hAnsi="Times New Roman" w:eastAsia="宋体" w:cs="Times New Roman"/>
                <w:color w:val="auto"/>
                <w:kern w:val="0"/>
                <w:sz w:val="20"/>
                <w:szCs w:val="20"/>
              </w:rPr>
              <w:t>）</w:t>
            </w:r>
          </w:p>
        </w:tc>
        <w:tc>
          <w:tcPr>
            <w:tcW w:w="118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0.06</w:t>
            </w:r>
          </w:p>
        </w:tc>
        <w:tc>
          <w:tcPr>
            <w:tcW w:w="192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4</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36</w:t>
            </w:r>
            <w:r>
              <w:rPr>
                <w:rFonts w:ascii="Times New Roman" w:hAnsi="Times New Roman" w:eastAsia="宋体" w:cs="Times New Roman"/>
                <w:color w:val="auto"/>
                <w:kern w:val="0"/>
                <w:sz w:val="20"/>
                <w:szCs w:val="20"/>
              </w:rPr>
              <w:t>）</w:t>
            </w:r>
          </w:p>
        </w:tc>
        <w:tc>
          <w:tcPr>
            <w:tcW w:w="1184"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710" w:type="dxa"/>
            <w:tcBorders>
              <w:top w:val="nil"/>
              <w:left w:val="nil"/>
              <w:bottom w:val="nil"/>
              <w:right w:val="nil"/>
            </w:tcBorders>
          </w:tcPr>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Stage at diagnosis                      </w:t>
            </w:r>
          </w:p>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(limited vs extensive)</w:t>
            </w:r>
          </w:p>
        </w:tc>
        <w:tc>
          <w:tcPr>
            <w:tcW w:w="231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1.41</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92</w:t>
            </w:r>
            <w:r>
              <w:rPr>
                <w:rFonts w:ascii="Times New Roman" w:hAnsi="Times New Roman" w:eastAsia="宋体" w:cs="Times New Roman"/>
                <w:color w:val="auto"/>
                <w:kern w:val="0"/>
                <w:sz w:val="20"/>
                <w:szCs w:val="20"/>
              </w:rPr>
              <w:t>）</w:t>
            </w:r>
          </w:p>
        </w:tc>
        <w:tc>
          <w:tcPr>
            <w:tcW w:w="118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0.35</w:t>
            </w:r>
          </w:p>
        </w:tc>
        <w:tc>
          <w:tcPr>
            <w:tcW w:w="192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15</w:t>
            </w:r>
            <w:r>
              <w:rPr>
                <w:rFonts w:ascii="Times New Roman" w:hAnsi="Times New Roman" w:eastAsia="宋体" w:cs="Times New Roman"/>
                <w:color w:val="auto"/>
                <w:kern w:val="0"/>
                <w:sz w:val="20"/>
                <w:szCs w:val="20"/>
              </w:rPr>
              <w:t>）</w:t>
            </w:r>
          </w:p>
        </w:tc>
        <w:tc>
          <w:tcPr>
            <w:tcW w:w="1184"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71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Treament received</w:t>
            </w:r>
          </w:p>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r>
              <w:rPr>
                <w:rFonts w:ascii="Times New Roman" w:hAnsi="Times New Roman" w:eastAsia="宋体" w:cs="Times New Roman"/>
                <w:color w:val="auto"/>
                <w:kern w:val="0"/>
                <w:sz w:val="20"/>
                <w:szCs w:val="20"/>
                <w:shd w:val="clear" w:color="auto" w:fill="FFFFFF"/>
              </w:rPr>
              <w:t>PD-1 vs PD-L1</w:t>
            </w:r>
            <w:r>
              <w:rPr>
                <w:rFonts w:ascii="Times New Roman" w:hAnsi="Times New Roman" w:eastAsia="宋体" w:cs="Times New Roman"/>
                <w:color w:val="auto"/>
                <w:kern w:val="0"/>
                <w:sz w:val="20"/>
                <w:szCs w:val="20"/>
              </w:rPr>
              <w:t>)</w:t>
            </w:r>
          </w:p>
        </w:tc>
        <w:tc>
          <w:tcPr>
            <w:tcW w:w="231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0.7</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29</w:t>
            </w:r>
            <w:r>
              <w:rPr>
                <w:rFonts w:ascii="Times New Roman" w:hAnsi="Times New Roman" w:eastAsia="宋体" w:cs="Times New Roman"/>
                <w:color w:val="auto"/>
                <w:kern w:val="0"/>
                <w:sz w:val="20"/>
                <w:szCs w:val="20"/>
              </w:rPr>
              <w:t>）</w:t>
            </w:r>
          </w:p>
        </w:tc>
        <w:tc>
          <w:tcPr>
            <w:tcW w:w="118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31</w:t>
            </w:r>
          </w:p>
        </w:tc>
        <w:tc>
          <w:tcPr>
            <w:tcW w:w="192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（0.5</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77</w:t>
            </w:r>
            <w:r>
              <w:rPr>
                <w:rFonts w:ascii="Times New Roman" w:hAnsi="Times New Roman" w:eastAsia="宋体" w:cs="Times New Roman"/>
                <w:color w:val="auto"/>
                <w:kern w:val="0"/>
                <w:sz w:val="20"/>
                <w:szCs w:val="20"/>
              </w:rPr>
              <w:t>）</w:t>
            </w:r>
          </w:p>
        </w:tc>
        <w:tc>
          <w:tcPr>
            <w:tcW w:w="1184"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71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brain metastases before ICI(yes vs no)</w:t>
            </w:r>
          </w:p>
        </w:tc>
        <w:tc>
          <w:tcPr>
            <w:tcW w:w="231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0.81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47</w:t>
            </w:r>
            <w:r>
              <w:rPr>
                <w:rFonts w:ascii="Times New Roman" w:hAnsi="Times New Roman" w:eastAsia="宋体" w:cs="Times New Roman"/>
                <w:color w:val="auto"/>
                <w:kern w:val="0"/>
                <w:sz w:val="20"/>
                <w:szCs w:val="20"/>
              </w:rPr>
              <w:t>）</w:t>
            </w:r>
          </w:p>
        </w:tc>
        <w:tc>
          <w:tcPr>
            <w:tcW w:w="118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0.22</w:t>
            </w:r>
          </w:p>
        </w:tc>
        <w:tc>
          <w:tcPr>
            <w:tcW w:w="192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59</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84</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00</w:t>
            </w:r>
            <w:r>
              <w:rPr>
                <w:rFonts w:ascii="Times New Roman" w:hAnsi="Times New Roman" w:eastAsia="宋体" w:cs="Times New Roman"/>
                <w:color w:val="auto"/>
                <w:kern w:val="0"/>
                <w:sz w:val="20"/>
                <w:szCs w:val="20"/>
              </w:rPr>
              <w:t>）</w:t>
            </w:r>
          </w:p>
        </w:tc>
        <w:tc>
          <w:tcPr>
            <w:tcW w:w="1184"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71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liver metastases before ICI (yes vs no)</w:t>
            </w:r>
          </w:p>
        </w:tc>
        <w:tc>
          <w:tcPr>
            <w:tcW w:w="231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86</w:t>
            </w:r>
            <w:r>
              <w:rPr>
                <w:rFonts w:ascii="Times New Roman" w:hAnsi="Times New Roman" w:eastAsia="宋体" w:cs="Times New Roman"/>
                <w:color w:val="auto"/>
                <w:kern w:val="0"/>
                <w:sz w:val="20"/>
                <w:szCs w:val="20"/>
              </w:rPr>
              <w:t>（0.5</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50</w:t>
            </w:r>
            <w:r>
              <w:rPr>
                <w:rFonts w:ascii="Times New Roman" w:hAnsi="Times New Roman" w:eastAsia="宋体" w:cs="Times New Roman"/>
                <w:color w:val="auto"/>
                <w:kern w:val="0"/>
                <w:sz w:val="20"/>
                <w:szCs w:val="20"/>
              </w:rPr>
              <w:t>）</w:t>
            </w:r>
          </w:p>
        </w:tc>
        <w:tc>
          <w:tcPr>
            <w:tcW w:w="118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59</w:t>
            </w:r>
          </w:p>
        </w:tc>
        <w:tc>
          <w:tcPr>
            <w:tcW w:w="192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0.92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49</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73</w:t>
            </w:r>
            <w:r>
              <w:rPr>
                <w:rFonts w:ascii="Times New Roman" w:hAnsi="Times New Roman" w:eastAsia="宋体" w:cs="Times New Roman"/>
                <w:color w:val="auto"/>
                <w:kern w:val="0"/>
                <w:sz w:val="20"/>
                <w:szCs w:val="20"/>
              </w:rPr>
              <w:t>）</w:t>
            </w:r>
          </w:p>
        </w:tc>
        <w:tc>
          <w:tcPr>
            <w:tcW w:w="1184"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710"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shd w:val="clear" w:color="auto" w:fill="FFFFFF"/>
              </w:rPr>
            </w:pPr>
            <w:r>
              <w:rPr>
                <w:rFonts w:ascii="Times New Roman" w:hAnsi="Times New Roman" w:eastAsia="宋体" w:cs="Times New Roman"/>
                <w:color w:val="auto"/>
                <w:kern w:val="0"/>
                <w:sz w:val="20"/>
                <w:szCs w:val="20"/>
                <w:shd w:val="clear" w:color="auto" w:fill="FFFFFF"/>
              </w:rPr>
              <w:t>ICI treatment cycles</w:t>
            </w:r>
          </w:p>
        </w:tc>
        <w:tc>
          <w:tcPr>
            <w:tcW w:w="2313"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30</w:t>
            </w:r>
            <w:r>
              <w:rPr>
                <w:rFonts w:ascii="Times New Roman" w:hAnsi="Times New Roman" w:eastAsia="宋体" w:cs="Times New Roman"/>
                <w:color w:val="auto"/>
                <w:kern w:val="0"/>
                <w:sz w:val="20"/>
                <w:szCs w:val="20"/>
              </w:rPr>
              <w:t>（1.1</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-1.4</w:t>
            </w:r>
            <w:r>
              <w:rPr>
                <w:rFonts w:hint="eastAsia" w:ascii="Times New Roman" w:hAnsi="Times New Roman" w:eastAsia="宋体" w:cs="Times New Roman"/>
                <w:color w:val="auto"/>
                <w:kern w:val="0"/>
                <w:sz w:val="20"/>
                <w:szCs w:val="20"/>
              </w:rPr>
              <w:t>4</w:t>
            </w:r>
            <w:r>
              <w:rPr>
                <w:rFonts w:ascii="Times New Roman" w:hAnsi="Times New Roman" w:eastAsia="宋体" w:cs="Times New Roman"/>
                <w:color w:val="auto"/>
                <w:kern w:val="0"/>
                <w:sz w:val="20"/>
                <w:szCs w:val="20"/>
              </w:rPr>
              <w:t>）</w:t>
            </w:r>
          </w:p>
        </w:tc>
        <w:tc>
          <w:tcPr>
            <w:tcW w:w="1189"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923"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1.3</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（1.1</w:t>
            </w:r>
            <w:r>
              <w:rPr>
                <w:rFonts w:hint="eastAsia" w:ascii="Times New Roman" w:hAnsi="Times New Roman" w:eastAsia="宋体" w:cs="Times New Roman"/>
                <w:color w:val="auto"/>
                <w:kern w:val="0"/>
                <w:sz w:val="20"/>
                <w:szCs w:val="20"/>
              </w:rPr>
              <w:t>9</w:t>
            </w:r>
            <w:r>
              <w:rPr>
                <w:rFonts w:ascii="Times New Roman" w:hAnsi="Times New Roman" w:eastAsia="宋体" w:cs="Times New Roman"/>
                <w:color w:val="auto"/>
                <w:kern w:val="0"/>
                <w:sz w:val="20"/>
                <w:szCs w:val="20"/>
              </w:rPr>
              <w:t>-1.4</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w:t>
            </w:r>
          </w:p>
        </w:tc>
        <w:tc>
          <w:tcPr>
            <w:tcW w:w="1184" w:type="dxa"/>
            <w:tcBorders>
              <w:top w:val="nil"/>
              <w:left w:val="nil"/>
              <w:bottom w:val="single" w:color="auto" w:sz="4" w:space="0"/>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r>
    </w:tbl>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color w:val="auto"/>
          <w:kern w:val="0"/>
          <w:sz w:val="20"/>
          <w:szCs w:val="20"/>
        </w:rPr>
      </w:pPr>
    </w:p>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sz w:val="20"/>
          <w:szCs w:val="20"/>
        </w:rPr>
      </w:pPr>
      <w:r>
        <w:rPr>
          <w:rFonts w:ascii="Times New Roman" w:hAnsi="Times New Roman" w:eastAsia="宋体" w:cs="Times New Roman"/>
          <w:color w:val="auto"/>
          <w:sz w:val="20"/>
          <w:szCs w:val="20"/>
        </w:rPr>
        <w:t>Abbreviations: ECOG PS, Eastern Cooperative Oncology Group performance status; ICI, immune checkpoint inhibitor; irAE, immune-related adverse event; PD-L1, programmed death-ligand 1; PD-1, programmed cell death protein 1.</w:t>
      </w:r>
    </w:p>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sz w:val="20"/>
          <w:szCs w:val="20"/>
        </w:rPr>
      </w:pPr>
      <w:r>
        <w:rPr>
          <w:rFonts w:hint="eastAsia" w:ascii="Times New Roman" w:hAnsi="Times New Roman" w:eastAsia="宋体" w:cs="Times New Roman"/>
          <w:color w:val="auto"/>
          <w:sz w:val="20"/>
          <w:szCs w:val="20"/>
          <w:vertAlign w:val="superscript"/>
        </w:rPr>
        <w:t xml:space="preserve">a </w:t>
      </w:r>
      <w:r>
        <w:rPr>
          <w:rFonts w:hint="eastAsia" w:ascii="Times New Roman" w:hAnsi="Times New Roman" w:eastAsia="宋体" w:cs="Times New Roman"/>
          <w:color w:val="auto"/>
          <w:sz w:val="20"/>
          <w:szCs w:val="20"/>
        </w:rPr>
        <w:t>Categorical and continuous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variables were compared using χ2</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and Kruskal-Wallis tests,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respectively.</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color w:val="auto"/>
          <w:kern w:val="0"/>
          <w:sz w:val="20"/>
          <w:szCs w:val="20"/>
        </w:rPr>
      </w:pP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cs="Times New Roman"/>
          <w:b/>
          <w:bCs/>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3</w:t>
      </w:r>
      <w:r>
        <w:rPr>
          <w:rFonts w:ascii="Times New Roman" w:hAnsi="Times New Roman" w:cs="Times New Roman"/>
          <w:b/>
          <w:bCs/>
          <w:color w:val="auto"/>
          <w:kern w:val="0"/>
          <w:sz w:val="20"/>
          <w:szCs w:val="20"/>
        </w:rPr>
        <w:t xml:space="preserve">  Multivariate Cox regression model of overall and progression-free survival in </w:t>
      </w:r>
      <w:r>
        <w:rPr>
          <w:rFonts w:hint="eastAsia" w:ascii="Times New Roman" w:hAnsi="Times New Roman" w:cs="Times New Roman"/>
          <w:b/>
          <w:bCs/>
          <w:color w:val="auto"/>
          <w:kern w:val="0"/>
          <w:sz w:val="20"/>
          <w:szCs w:val="20"/>
          <w:lang w:val="en-US" w:eastAsia="zh-CN"/>
        </w:rPr>
        <w:t xml:space="preserve">SCLC </w:t>
      </w:r>
      <w:r>
        <w:rPr>
          <w:rFonts w:ascii="Times New Roman" w:hAnsi="Times New Roman" w:cs="Times New Roman"/>
          <w:b/>
          <w:bCs/>
          <w:color w:val="auto"/>
          <w:kern w:val="0"/>
          <w:sz w:val="20"/>
          <w:szCs w:val="20"/>
        </w:rPr>
        <w:t xml:space="preserve">patients </w:t>
      </w:r>
      <w:r>
        <w:rPr>
          <w:rFonts w:hint="eastAsia" w:ascii="Times New Roman" w:hAnsi="Times New Roman" w:cs="Times New Roman"/>
          <w:b/>
          <w:bCs/>
          <w:color w:val="auto"/>
          <w:kern w:val="0"/>
          <w:sz w:val="20"/>
          <w:szCs w:val="20"/>
          <w:lang w:val="en-US" w:eastAsia="zh-CN"/>
        </w:rPr>
        <w:t>t</w:t>
      </w:r>
      <w:r>
        <w:rPr>
          <w:rFonts w:ascii="Times New Roman" w:hAnsi="Times New Roman" w:cs="Times New Roman"/>
          <w:b/>
          <w:bCs/>
          <w:color w:val="auto"/>
          <w:kern w:val="0"/>
          <w:sz w:val="20"/>
          <w:szCs w:val="20"/>
        </w:rPr>
        <w:t xml:space="preserve">reated with anti-PD(L)1 immunotherapy, utilizing irAEs as a time-varying covariate. </w:t>
      </w:r>
    </w:p>
    <w:tbl>
      <w:tblPr>
        <w:tblStyle w:val="4"/>
        <w:tblW w:w="100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296"/>
        <w:gridCol w:w="816"/>
        <w:gridCol w:w="1313"/>
        <w:gridCol w:w="780"/>
        <w:gridCol w:w="1350"/>
        <w:gridCol w:w="787"/>
        <w:gridCol w:w="1328"/>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vMerge w:val="restart"/>
            <w:tcBorders>
              <w:top w:val="single" w:color="auto" w:sz="4" w:space="0"/>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4205" w:type="dxa"/>
            <w:gridSpan w:val="4"/>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PFS</w:t>
            </w:r>
          </w:p>
        </w:tc>
        <w:tc>
          <w:tcPr>
            <w:tcW w:w="4260" w:type="dxa"/>
            <w:gridSpan w:val="4"/>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98" w:type="dxa"/>
            <w:vMerge w:val="continue"/>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2112"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Univariate Analysis</w:t>
            </w:r>
          </w:p>
        </w:tc>
        <w:tc>
          <w:tcPr>
            <w:tcW w:w="2093"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Multivariate Analysis</w:t>
            </w:r>
          </w:p>
        </w:tc>
        <w:tc>
          <w:tcPr>
            <w:tcW w:w="2137"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Univariate Analysis</w:t>
            </w:r>
          </w:p>
        </w:tc>
        <w:tc>
          <w:tcPr>
            <w:tcW w:w="2123"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Multivariate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vMerge w:val="continue"/>
            <w:tcBorders>
              <w:top w:val="nil"/>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296"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816"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313"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780"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350"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787"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i/>
                <w:i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328"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795"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irAEs</w:t>
            </w:r>
            <w:r>
              <w:rPr>
                <w:rFonts w:hint="eastAsia" w:ascii="Times New Roman" w:hAnsi="Times New Roman" w:eastAsia="宋体" w:cs="Times New Roman"/>
                <w:color w:val="auto"/>
                <w:kern w:val="0"/>
                <w:sz w:val="20"/>
                <w:szCs w:val="20"/>
                <w:vertAlign w:val="superscript"/>
                <w:lang w:val="en-US" w:eastAsia="zh-CN"/>
              </w:rPr>
              <w:t>b</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(yes vs no)</w:t>
            </w:r>
          </w:p>
        </w:tc>
        <w:tc>
          <w:tcPr>
            <w:tcW w:w="1296"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91</w:t>
            </w:r>
            <w:r>
              <w:rPr>
                <w:rFonts w:ascii="Times New Roman" w:hAnsi="Times New Roman" w:eastAsia="宋体" w:cs="Times New Roman"/>
                <w:color w:val="auto"/>
                <w:kern w:val="0"/>
                <w:sz w:val="20"/>
                <w:szCs w:val="20"/>
              </w:rPr>
              <w:t>-0.97）</w:t>
            </w:r>
          </w:p>
        </w:tc>
        <w:tc>
          <w:tcPr>
            <w:tcW w:w="816"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13"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90</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7</w:t>
            </w:r>
            <w:r>
              <w:rPr>
                <w:rFonts w:ascii="Times New Roman" w:hAnsi="Times New Roman" w:eastAsia="宋体" w:cs="Times New Roman"/>
                <w:color w:val="auto"/>
                <w:kern w:val="0"/>
                <w:sz w:val="20"/>
                <w:szCs w:val="20"/>
              </w:rPr>
              <w:t>）</w:t>
            </w:r>
          </w:p>
        </w:tc>
        <w:tc>
          <w:tcPr>
            <w:tcW w:w="78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5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0.99（0.9</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p>
        </w:tc>
        <w:tc>
          <w:tcPr>
            <w:tcW w:w="787"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67</w:t>
            </w:r>
          </w:p>
        </w:tc>
        <w:tc>
          <w:tcPr>
            <w:tcW w:w="1328"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0.99（0.9</w:t>
            </w:r>
            <w:r>
              <w:rPr>
                <w:rFonts w:hint="eastAsia" w:ascii="Times New Roman" w:hAnsi="Times New Roman" w:eastAsia="宋体" w:cs="Times New Roman"/>
                <w:color w:val="auto"/>
                <w:kern w:val="0"/>
                <w:sz w:val="20"/>
                <w:szCs w:val="20"/>
              </w:rPr>
              <w:t>7</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w:t>
            </w:r>
          </w:p>
        </w:tc>
        <w:tc>
          <w:tcPr>
            <w:tcW w:w="795"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Age</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1.01（0.99-1.03）</w:t>
            </w:r>
          </w:p>
        </w:tc>
        <w:tc>
          <w:tcPr>
            <w:tcW w:w="81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0.2</w:t>
            </w:r>
            <w:r>
              <w:rPr>
                <w:rFonts w:hint="eastAsia" w:ascii="Times New Roman" w:hAnsi="Times New Roman" w:eastAsia="宋体" w:cs="Times New Roman"/>
                <w:color w:val="auto"/>
                <w:kern w:val="0"/>
                <w:sz w:val="20"/>
                <w:szCs w:val="20"/>
              </w:rPr>
              <w:t>2</w:t>
            </w:r>
          </w:p>
        </w:tc>
        <w:tc>
          <w:tcPr>
            <w:tcW w:w="131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1.01（0.9</w:t>
            </w:r>
            <w:r>
              <w:rPr>
                <w:rFonts w:hint="eastAsia" w:ascii="Times New Roman" w:hAnsi="Times New Roman" w:eastAsia="宋体" w:cs="Times New Roman"/>
                <w:color w:val="auto"/>
                <w:kern w:val="0"/>
                <w:sz w:val="20"/>
                <w:szCs w:val="20"/>
              </w:rPr>
              <w:t>9</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55</w:t>
            </w:r>
          </w:p>
        </w:tc>
        <w:tc>
          <w:tcPr>
            <w:tcW w:w="135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（0.99-1.05）</w:t>
            </w:r>
          </w:p>
        </w:tc>
        <w:tc>
          <w:tcPr>
            <w:tcW w:w="78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0.0</w:t>
            </w:r>
            <w:r>
              <w:rPr>
                <w:rFonts w:hint="eastAsia" w:ascii="Times New Roman" w:hAnsi="Times New Roman" w:eastAsia="宋体" w:cs="Times New Roman"/>
                <w:color w:val="auto"/>
                <w:kern w:val="0"/>
                <w:sz w:val="20"/>
                <w:szCs w:val="20"/>
                <w:lang w:val="en-US" w:eastAsia="zh-CN"/>
              </w:rPr>
              <w:t>7</w:t>
            </w:r>
          </w:p>
        </w:tc>
        <w:tc>
          <w:tcPr>
            <w:tcW w:w="132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99</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w:t>
            </w:r>
          </w:p>
        </w:tc>
        <w:tc>
          <w:tcPr>
            <w:tcW w:w="795"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Gender</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(male vs female)</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47</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12</w:t>
            </w:r>
            <w:r>
              <w:rPr>
                <w:rFonts w:ascii="Times New Roman" w:hAnsi="Times New Roman" w:eastAsia="宋体" w:cs="Times New Roman"/>
                <w:color w:val="auto"/>
                <w:kern w:val="0"/>
                <w:sz w:val="20"/>
                <w:szCs w:val="20"/>
              </w:rPr>
              <w:t>）</w:t>
            </w:r>
          </w:p>
        </w:tc>
        <w:tc>
          <w:tcPr>
            <w:tcW w:w="81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1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03</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32</w:t>
            </w:r>
          </w:p>
        </w:tc>
        <w:tc>
          <w:tcPr>
            <w:tcW w:w="135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1.4</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22</w:t>
            </w:r>
          </w:p>
        </w:tc>
        <w:tc>
          <w:tcPr>
            <w:tcW w:w="132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03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51</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10</w:t>
            </w:r>
            <w:r>
              <w:rPr>
                <w:rFonts w:ascii="Times New Roman" w:hAnsi="Times New Roman" w:eastAsia="宋体" w:cs="Times New Roman"/>
                <w:color w:val="auto"/>
                <w:kern w:val="0"/>
                <w:sz w:val="20"/>
                <w:szCs w:val="20"/>
              </w:rPr>
              <w:t>）</w:t>
            </w:r>
          </w:p>
        </w:tc>
        <w:tc>
          <w:tcPr>
            <w:tcW w:w="795"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Smoking </w:t>
            </w:r>
          </w:p>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(yes vs no)</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04</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9）</w:t>
            </w:r>
          </w:p>
        </w:tc>
        <w:tc>
          <w:tcPr>
            <w:tcW w:w="81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1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18</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80</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73</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40</w:t>
            </w:r>
          </w:p>
        </w:tc>
        <w:tc>
          <w:tcPr>
            <w:tcW w:w="135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78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2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09</w:t>
            </w:r>
            <w:r>
              <w:rPr>
                <w:rFonts w:ascii="Times New Roman" w:hAnsi="Times New Roman" w:eastAsia="宋体" w:cs="Times New Roman"/>
                <w:color w:val="auto"/>
                <w:kern w:val="0"/>
                <w:sz w:val="20"/>
                <w:szCs w:val="20"/>
              </w:rPr>
              <w:t>）</w:t>
            </w:r>
          </w:p>
        </w:tc>
        <w:tc>
          <w:tcPr>
            <w:tcW w:w="795"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ECOG PS</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(0-1 vs ≥2)</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77</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35</w:t>
            </w:r>
            <w:r>
              <w:rPr>
                <w:rFonts w:ascii="Times New Roman" w:hAnsi="Times New Roman" w:eastAsia="宋体" w:cs="Times New Roman"/>
                <w:color w:val="auto"/>
                <w:kern w:val="0"/>
                <w:sz w:val="20"/>
                <w:szCs w:val="20"/>
              </w:rPr>
              <w:t>）</w:t>
            </w:r>
          </w:p>
        </w:tc>
        <w:tc>
          <w:tcPr>
            <w:tcW w:w="81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89</w:t>
            </w:r>
          </w:p>
        </w:tc>
        <w:tc>
          <w:tcPr>
            <w:tcW w:w="131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77</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39</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80</w:t>
            </w:r>
          </w:p>
        </w:tc>
        <w:tc>
          <w:tcPr>
            <w:tcW w:w="135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99</w:t>
            </w: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-1.5</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8</w:t>
            </w:r>
          </w:p>
        </w:tc>
        <w:tc>
          <w:tcPr>
            <w:tcW w:w="132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09</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68</w:t>
            </w:r>
            <w:r>
              <w:rPr>
                <w:rFonts w:ascii="Times New Roman" w:hAnsi="Times New Roman" w:eastAsia="宋体" w:cs="Times New Roman"/>
                <w:color w:val="auto"/>
                <w:kern w:val="0"/>
                <w:sz w:val="20"/>
                <w:szCs w:val="20"/>
              </w:rPr>
              <w:t>）</w:t>
            </w:r>
          </w:p>
        </w:tc>
        <w:tc>
          <w:tcPr>
            <w:tcW w:w="795"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Line of therapy for ICIs</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(1st vs≥2nd)</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7</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9</w:t>
            </w:r>
            <w:r>
              <w:rPr>
                <w:rFonts w:ascii="Times New Roman" w:hAnsi="Times New Roman" w:eastAsia="宋体" w:cs="Times New Roman"/>
                <w:color w:val="auto"/>
                <w:kern w:val="0"/>
                <w:sz w:val="20"/>
                <w:szCs w:val="20"/>
              </w:rPr>
              <w:t>）</w:t>
            </w:r>
          </w:p>
        </w:tc>
        <w:tc>
          <w:tcPr>
            <w:tcW w:w="81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0.01</w:t>
            </w:r>
          </w:p>
        </w:tc>
        <w:tc>
          <w:tcPr>
            <w:tcW w:w="131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57</w:t>
            </w: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93</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5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71</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5</w:t>
            </w:r>
          </w:p>
        </w:tc>
        <w:tc>
          <w:tcPr>
            <w:tcW w:w="132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w:t>
            </w:r>
          </w:p>
        </w:tc>
        <w:tc>
          <w:tcPr>
            <w:tcW w:w="795"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Stage at diagnosis                     </w:t>
            </w:r>
          </w:p>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(limited vs extensive)</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bookmarkStart w:id="10" w:name="OLE_LINK12"/>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86</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90</w:t>
            </w:r>
            <w:r>
              <w:rPr>
                <w:rFonts w:ascii="Times New Roman" w:hAnsi="Times New Roman" w:eastAsia="宋体" w:cs="Times New Roman"/>
                <w:color w:val="auto"/>
                <w:kern w:val="0"/>
                <w:sz w:val="20"/>
                <w:szCs w:val="20"/>
              </w:rPr>
              <w:t>）</w:t>
            </w:r>
            <w:bookmarkEnd w:id="10"/>
          </w:p>
        </w:tc>
        <w:tc>
          <w:tcPr>
            <w:tcW w:w="81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22</w:t>
            </w:r>
          </w:p>
        </w:tc>
        <w:tc>
          <w:tcPr>
            <w:tcW w:w="131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20</w:t>
            </w: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13</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53</w:t>
            </w:r>
          </w:p>
        </w:tc>
        <w:tc>
          <w:tcPr>
            <w:tcW w:w="135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34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30</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9</w:t>
            </w:r>
          </w:p>
        </w:tc>
        <w:tc>
          <w:tcPr>
            <w:tcW w:w="132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17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68</w:t>
            </w:r>
            <w:r>
              <w:rPr>
                <w:rFonts w:ascii="Times New Roman" w:hAnsi="Times New Roman" w:eastAsia="宋体" w:cs="Times New Roman"/>
                <w:color w:val="auto"/>
                <w:kern w:val="0"/>
                <w:sz w:val="20"/>
                <w:szCs w:val="20"/>
              </w:rPr>
              <w:t>）</w:t>
            </w:r>
          </w:p>
        </w:tc>
        <w:tc>
          <w:tcPr>
            <w:tcW w:w="795"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Treatment received</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r>
              <w:rPr>
                <w:rFonts w:ascii="Times New Roman" w:hAnsi="Times New Roman" w:eastAsia="宋体" w:cs="Times New Roman"/>
                <w:color w:val="auto"/>
                <w:kern w:val="0"/>
                <w:sz w:val="20"/>
                <w:szCs w:val="20"/>
                <w:shd w:val="clear" w:color="auto" w:fill="FFFFFF"/>
              </w:rPr>
              <w:t>PD-1 vs PD-L1</w:t>
            </w:r>
            <w:r>
              <w:rPr>
                <w:rFonts w:ascii="Times New Roman" w:hAnsi="Times New Roman" w:eastAsia="宋体" w:cs="Times New Roman"/>
                <w:color w:val="auto"/>
                <w:kern w:val="0"/>
                <w:sz w:val="20"/>
                <w:szCs w:val="20"/>
              </w:rPr>
              <w:t>)</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71</w:t>
            </w:r>
            <w:r>
              <w:rPr>
                <w:rFonts w:ascii="Times New Roman" w:hAnsi="Times New Roman" w:eastAsia="宋体" w:cs="Times New Roman"/>
                <w:color w:val="auto"/>
                <w:kern w:val="0"/>
                <w:sz w:val="20"/>
                <w:szCs w:val="20"/>
              </w:rPr>
              <w:t>）</w:t>
            </w:r>
          </w:p>
        </w:tc>
        <w:tc>
          <w:tcPr>
            <w:tcW w:w="81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09</w:t>
            </w:r>
          </w:p>
        </w:tc>
        <w:tc>
          <w:tcPr>
            <w:tcW w:w="131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21</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67</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23</w:t>
            </w:r>
          </w:p>
        </w:tc>
        <w:tc>
          <w:tcPr>
            <w:tcW w:w="135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2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64</w:t>
            </w:r>
            <w:r>
              <w:rPr>
                <w:rFonts w:ascii="Times New Roman" w:hAnsi="Times New Roman" w:eastAsia="宋体" w:cs="Times New Roman"/>
                <w:color w:val="auto"/>
                <w:kern w:val="0"/>
                <w:sz w:val="20"/>
                <w:szCs w:val="20"/>
              </w:rPr>
              <w:t>）</w:t>
            </w:r>
          </w:p>
        </w:tc>
        <w:tc>
          <w:tcPr>
            <w:tcW w:w="795"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brain metastases before ICI(yes vs no)</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18</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58</w:t>
            </w:r>
            <w:r>
              <w:rPr>
                <w:rFonts w:ascii="Times New Roman" w:hAnsi="Times New Roman" w:eastAsia="宋体" w:cs="Times New Roman"/>
                <w:color w:val="auto"/>
                <w:kern w:val="0"/>
                <w:sz w:val="20"/>
                <w:szCs w:val="20"/>
              </w:rPr>
              <w:t>）</w:t>
            </w:r>
          </w:p>
        </w:tc>
        <w:tc>
          <w:tcPr>
            <w:tcW w:w="81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28</w:t>
            </w:r>
          </w:p>
        </w:tc>
        <w:tc>
          <w:tcPr>
            <w:tcW w:w="131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90</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67</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20</w:t>
            </w:r>
          </w:p>
        </w:tc>
        <w:tc>
          <w:tcPr>
            <w:tcW w:w="135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3）</w:t>
            </w:r>
          </w:p>
        </w:tc>
        <w:tc>
          <w:tcPr>
            <w:tcW w:w="78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5</w:t>
            </w:r>
          </w:p>
        </w:tc>
        <w:tc>
          <w:tcPr>
            <w:tcW w:w="132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0.7</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47</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795"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liver metastases before  ICI (yes vs no)</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35</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01</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82</w:t>
            </w:r>
            <w:r>
              <w:rPr>
                <w:rFonts w:ascii="Times New Roman" w:hAnsi="Times New Roman" w:eastAsia="宋体" w:cs="Times New Roman"/>
                <w:color w:val="auto"/>
                <w:kern w:val="0"/>
                <w:sz w:val="20"/>
                <w:szCs w:val="20"/>
              </w:rPr>
              <w:t>）</w:t>
            </w:r>
          </w:p>
        </w:tc>
        <w:tc>
          <w:tcPr>
            <w:tcW w:w="81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1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37</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01</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87</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50"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79</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6</w:t>
            </w:r>
          </w:p>
        </w:tc>
        <w:tc>
          <w:tcPr>
            <w:tcW w:w="132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79</w:t>
            </w:r>
            <w:r>
              <w:rPr>
                <w:rFonts w:ascii="Times New Roman" w:hAnsi="Times New Roman" w:eastAsia="宋体" w:cs="Times New Roman"/>
                <w:color w:val="auto"/>
                <w:kern w:val="0"/>
                <w:sz w:val="20"/>
                <w:szCs w:val="20"/>
              </w:rPr>
              <w:t>）</w:t>
            </w:r>
          </w:p>
        </w:tc>
        <w:tc>
          <w:tcPr>
            <w:tcW w:w="795"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3</w:t>
            </w:r>
          </w:p>
        </w:tc>
      </w:tr>
    </w:tbl>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sz w:val="20"/>
          <w:szCs w:val="20"/>
        </w:rPr>
      </w:pPr>
      <w:r>
        <w:rPr>
          <w:rFonts w:ascii="Times New Roman" w:hAnsi="Times New Roman" w:eastAsia="宋体" w:cs="Times New Roman"/>
          <w:color w:val="auto"/>
          <w:sz w:val="20"/>
          <w:szCs w:val="20"/>
        </w:rPr>
        <w:t>Abbreviations: ECOG PS, Eastern Cooperative Oncology Group performance status; ICI, immune checkpoint inhibitor; irAE, immune-related adverse event; PD-L1, programmed death-ligand 1; PD-1, programmed cell death protein 1.</w:t>
      </w:r>
    </w:p>
    <w:p>
      <w:pPr>
        <w:keepNext w:val="0"/>
        <w:keepLines w:val="0"/>
        <w:pageBreakBefore w:val="0"/>
        <w:kinsoku/>
        <w:wordWrap/>
        <w:overflowPunct/>
        <w:topLinePunct w:val="0"/>
        <w:bidi w:val="0"/>
        <w:snapToGrid/>
        <w:spacing w:line="240" w:lineRule="auto"/>
        <w:textAlignment w:val="auto"/>
        <w:rPr>
          <w:rFonts w:hint="eastAsia" w:ascii="Times New Roman" w:hAnsi="Times New Roman" w:eastAsia="宋体" w:cs="Times New Roman"/>
          <w:color w:val="auto"/>
          <w:sz w:val="20"/>
          <w:szCs w:val="20"/>
        </w:rPr>
      </w:pPr>
      <w:r>
        <w:rPr>
          <w:rFonts w:hint="eastAsia" w:ascii="Times New Roman" w:hAnsi="Times New Roman" w:eastAsia="宋体" w:cs="Times New Roman"/>
          <w:color w:val="auto"/>
          <w:sz w:val="20"/>
          <w:szCs w:val="20"/>
          <w:vertAlign w:val="superscript"/>
        </w:rPr>
        <w:t xml:space="preserve">a </w:t>
      </w:r>
      <w:r>
        <w:rPr>
          <w:rFonts w:hint="eastAsia" w:ascii="Times New Roman" w:hAnsi="Times New Roman" w:eastAsia="宋体" w:cs="Times New Roman"/>
          <w:color w:val="auto"/>
          <w:sz w:val="20"/>
          <w:szCs w:val="20"/>
        </w:rPr>
        <w:t>Categorical and continuous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variables were compared using χ2</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and Kruskal-Wallis tests,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respectively.</w:t>
      </w:r>
    </w:p>
    <w:p>
      <w:pPr>
        <w:keepNext w:val="0"/>
        <w:keepLines w:val="0"/>
        <w:pageBreakBefore w:val="0"/>
        <w:kinsoku/>
        <w:wordWrap/>
        <w:overflowPunct/>
        <w:topLinePunct w:val="0"/>
        <w:bidi w:val="0"/>
        <w:snapToGrid/>
        <w:spacing w:line="240" w:lineRule="auto"/>
        <w:textAlignment w:val="auto"/>
        <w:rPr>
          <w:rFonts w:hint="eastAsia" w:ascii="Times New Roman" w:hAnsi="Times New Roman" w:eastAsia="宋体" w:cs="Times New Roman"/>
          <w:color w:val="auto"/>
          <w:sz w:val="20"/>
          <w:szCs w:val="20"/>
        </w:rPr>
      </w:pPr>
      <w:r>
        <w:rPr>
          <w:rFonts w:hint="eastAsia" w:ascii="Times New Roman" w:hAnsi="Times New Roman" w:eastAsia="宋体" w:cs="Times New Roman"/>
          <w:color w:val="auto"/>
          <w:sz w:val="20"/>
          <w:szCs w:val="20"/>
          <w:vertAlign w:val="superscript"/>
          <w:lang w:val="en-US" w:eastAsia="zh-CN"/>
        </w:rPr>
        <w:t xml:space="preserve">b  </w:t>
      </w:r>
      <w:r>
        <w:rPr>
          <w:rFonts w:hint="eastAsia" w:ascii="Times New Roman" w:hAnsi="Times New Roman" w:eastAsia="宋体" w:cs="Times New Roman"/>
          <w:color w:val="auto"/>
          <w:sz w:val="20"/>
          <w:szCs w:val="20"/>
        </w:rPr>
        <w:t>irAEs are included in this model as time-varying covariate</w:t>
      </w:r>
    </w:p>
    <w:p>
      <w:pPr>
        <w:keepNext w:val="0"/>
        <w:keepLines w:val="0"/>
        <w:pageBreakBefore w:val="0"/>
        <w:kinsoku/>
        <w:wordWrap/>
        <w:overflowPunct/>
        <w:topLinePunct w:val="0"/>
        <w:bidi w:val="0"/>
        <w:snapToGrid/>
        <w:spacing w:beforeLines="0" w:afterLines="0" w:line="240" w:lineRule="auto"/>
        <w:textAlignment w:val="auto"/>
        <w:rPr>
          <w:rFonts w:hint="default"/>
          <w:color w:val="auto"/>
          <w:sz w:val="20"/>
          <w:szCs w:val="20"/>
        </w:rPr>
      </w:pP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color w:val="auto"/>
          <w:kern w:val="0"/>
          <w:sz w:val="20"/>
          <w:szCs w:val="20"/>
        </w:rPr>
      </w:pP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bCs/>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4</w:t>
      </w:r>
      <w:r>
        <w:rPr>
          <w:rFonts w:ascii="Times New Roman" w:hAnsi="Times New Roman" w:cs="Times New Roman"/>
          <w:b/>
          <w:bCs/>
          <w:color w:val="auto"/>
          <w:kern w:val="0"/>
          <w:sz w:val="20"/>
          <w:szCs w:val="20"/>
        </w:rPr>
        <w:t xml:space="preserve">  Multivariate Cox regression model of overall and progression-free survival </w:t>
      </w:r>
      <w:bookmarkStart w:id="11" w:name="OLE_LINK13"/>
      <w:r>
        <w:rPr>
          <w:rFonts w:ascii="Times New Roman" w:hAnsi="Times New Roman" w:cs="Times New Roman"/>
          <w:b/>
          <w:bCs/>
          <w:color w:val="auto"/>
          <w:kern w:val="0"/>
          <w:sz w:val="20"/>
          <w:szCs w:val="20"/>
        </w:rPr>
        <w:t xml:space="preserve">in </w:t>
      </w:r>
      <w:r>
        <w:rPr>
          <w:rFonts w:hint="eastAsia" w:ascii="Times New Roman" w:hAnsi="Times New Roman" w:cs="Times New Roman"/>
          <w:b/>
          <w:bCs/>
          <w:color w:val="auto"/>
          <w:kern w:val="0"/>
          <w:sz w:val="20"/>
          <w:szCs w:val="20"/>
          <w:lang w:val="en-US" w:eastAsia="zh-CN"/>
        </w:rPr>
        <w:t xml:space="preserve">SCLC </w:t>
      </w:r>
      <w:r>
        <w:rPr>
          <w:rFonts w:ascii="Times New Roman" w:hAnsi="Times New Roman" w:cs="Times New Roman"/>
          <w:b/>
          <w:bCs/>
          <w:color w:val="auto"/>
          <w:kern w:val="0"/>
          <w:sz w:val="20"/>
          <w:szCs w:val="20"/>
        </w:rPr>
        <w:t>patients treated</w:t>
      </w:r>
      <w:bookmarkEnd w:id="11"/>
      <w:r>
        <w:rPr>
          <w:rFonts w:ascii="Times New Roman" w:hAnsi="Times New Roman" w:cs="Times New Roman"/>
          <w:b/>
          <w:bCs/>
          <w:color w:val="auto"/>
          <w:kern w:val="0"/>
          <w:sz w:val="20"/>
          <w:szCs w:val="20"/>
        </w:rPr>
        <w:t xml:space="preserve"> with anti-PD(L)1 immunotherapy, utilizing the three most common single irAEs as categorical variables. </w:t>
      </w:r>
    </w:p>
    <w:tbl>
      <w:tblPr>
        <w:tblStyle w:val="4"/>
        <w:tblW w:w="10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296"/>
        <w:gridCol w:w="839"/>
        <w:gridCol w:w="1290"/>
        <w:gridCol w:w="802"/>
        <w:gridCol w:w="1328"/>
        <w:gridCol w:w="832"/>
        <w:gridCol w:w="1298"/>
        <w:gridCol w:w="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vMerge w:val="restart"/>
            <w:tcBorders>
              <w:top w:val="single" w:color="auto" w:sz="4" w:space="0"/>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4227" w:type="dxa"/>
            <w:gridSpan w:val="4"/>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PFS</w:t>
            </w:r>
          </w:p>
        </w:tc>
        <w:tc>
          <w:tcPr>
            <w:tcW w:w="4230" w:type="dxa"/>
            <w:gridSpan w:val="4"/>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98" w:type="dxa"/>
            <w:vMerge w:val="continue"/>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2135"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Univariate Analysis</w:t>
            </w:r>
          </w:p>
        </w:tc>
        <w:tc>
          <w:tcPr>
            <w:tcW w:w="2092"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Multivariate Analysis</w:t>
            </w:r>
          </w:p>
        </w:tc>
        <w:tc>
          <w:tcPr>
            <w:tcW w:w="2160"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Univariate Analysis</w:t>
            </w:r>
          </w:p>
        </w:tc>
        <w:tc>
          <w:tcPr>
            <w:tcW w:w="2070"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Multivariate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vMerge w:val="continue"/>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296"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839"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290"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802"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328"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832"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298"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772"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Typle of irAE</w:t>
            </w:r>
          </w:p>
        </w:tc>
        <w:tc>
          <w:tcPr>
            <w:tcW w:w="1296"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839"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29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802"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328"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832"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298"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772"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ind w:firstLine="200" w:firstLineChars="100"/>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No irAEs</w:t>
            </w:r>
          </w:p>
        </w:tc>
        <w:tc>
          <w:tcPr>
            <w:tcW w:w="1296"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Ref</w:t>
            </w:r>
          </w:p>
        </w:tc>
        <w:tc>
          <w:tcPr>
            <w:tcW w:w="83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Ref</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p>
        </w:tc>
        <w:tc>
          <w:tcPr>
            <w:tcW w:w="132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Ref</w:t>
            </w:r>
          </w:p>
        </w:tc>
        <w:tc>
          <w:tcPr>
            <w:tcW w:w="83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Ref</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ind w:firstLine="200" w:firstLineChars="100"/>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Thyroid dysfunction</w:t>
            </w:r>
          </w:p>
        </w:tc>
        <w:tc>
          <w:tcPr>
            <w:tcW w:w="1296"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40</w:t>
            </w:r>
            <w:r>
              <w:rPr>
                <w:rFonts w:ascii="Times New Roman" w:hAnsi="Times New Roman" w:eastAsia="宋体" w:cs="Times New Roman"/>
                <w:color w:val="auto"/>
                <w:kern w:val="0"/>
                <w:sz w:val="20"/>
                <w:szCs w:val="20"/>
              </w:rPr>
              <w:t>（0.2</w:t>
            </w:r>
            <w:r>
              <w:rPr>
                <w:rFonts w:hint="eastAsia" w:ascii="Times New Roman" w:hAnsi="Times New Roman" w:eastAsia="宋体" w:cs="Times New Roman"/>
                <w:color w:val="auto"/>
                <w:kern w:val="0"/>
                <w:sz w:val="20"/>
                <w:szCs w:val="20"/>
                <w:lang w:val="en-US" w:eastAsia="zh-CN"/>
              </w:rPr>
              <w:t>9</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53</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（0.2</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50</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2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40</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0.0</w:t>
            </w:r>
            <w:r>
              <w:rPr>
                <w:rFonts w:hint="eastAsia" w:ascii="Times New Roman" w:hAnsi="Times New Roman" w:eastAsia="宋体" w:cs="Times New Roman"/>
                <w:color w:val="auto"/>
                <w:kern w:val="0"/>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 xml:space="preserve">  </w:t>
            </w:r>
            <w:r>
              <w:rPr>
                <w:rFonts w:hint="eastAsia" w:ascii="Times New Roman" w:hAnsi="Times New Roman" w:eastAsia="宋体" w:cs="Times New Roman"/>
                <w:color w:val="auto"/>
                <w:kern w:val="0"/>
                <w:sz w:val="20"/>
                <w:szCs w:val="20"/>
                <w:lang w:val="en-US" w:eastAsia="zh-CN"/>
              </w:rPr>
              <w:t>Rash</w:t>
            </w:r>
          </w:p>
        </w:tc>
        <w:tc>
          <w:tcPr>
            <w:tcW w:w="1296"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30</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-0.5</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0.2</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51</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2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b w:val="0"/>
                <w:bCs w:val="0"/>
                <w:color w:val="auto"/>
                <w:kern w:val="0"/>
                <w:sz w:val="20"/>
                <w:szCs w:val="20"/>
              </w:rPr>
              <w:t>0.</w:t>
            </w:r>
            <w:r>
              <w:rPr>
                <w:rFonts w:hint="eastAsia" w:ascii="Times New Roman" w:hAnsi="Times New Roman" w:eastAsia="宋体" w:cs="Times New Roman"/>
                <w:b w:val="0"/>
                <w:bCs w:val="0"/>
                <w:color w:val="auto"/>
                <w:kern w:val="0"/>
                <w:sz w:val="20"/>
                <w:szCs w:val="20"/>
                <w:lang w:val="en-US" w:eastAsia="zh-CN"/>
              </w:rPr>
              <w:t>45</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（0.2</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54</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ind w:firstLine="200" w:firstLineChars="100"/>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Pneumonitis</w:t>
            </w:r>
          </w:p>
        </w:tc>
        <w:tc>
          <w:tcPr>
            <w:tcW w:w="1296"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9</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73</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0.01</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0.01</w:t>
            </w:r>
          </w:p>
        </w:tc>
        <w:tc>
          <w:tcPr>
            <w:tcW w:w="132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3</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45</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Age</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1.01（0.99-1.03）</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0.2</w:t>
            </w:r>
            <w:r>
              <w:rPr>
                <w:rFonts w:hint="eastAsia" w:ascii="Times New Roman" w:hAnsi="Times New Roman" w:eastAsia="宋体" w:cs="Times New Roman"/>
                <w:color w:val="auto"/>
                <w:kern w:val="0"/>
                <w:sz w:val="20"/>
                <w:szCs w:val="20"/>
              </w:rPr>
              <w:t>2</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（0.99-1.0</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3</w:t>
            </w:r>
          </w:p>
        </w:tc>
        <w:tc>
          <w:tcPr>
            <w:tcW w:w="132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（0.99-1.05）</w:t>
            </w:r>
          </w:p>
        </w:tc>
        <w:tc>
          <w:tcPr>
            <w:tcW w:w="832"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0.0</w:t>
            </w:r>
            <w:r>
              <w:rPr>
                <w:rFonts w:hint="eastAsia" w:ascii="Times New Roman" w:hAnsi="Times New Roman" w:eastAsia="宋体" w:cs="Times New Roman"/>
                <w:color w:val="auto"/>
                <w:kern w:val="0"/>
                <w:sz w:val="20"/>
                <w:szCs w:val="20"/>
                <w:lang w:val="en-US" w:eastAsia="zh-CN"/>
              </w:rPr>
              <w:t>7</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1.02（0.99-1.05）</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Gender</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(male vs female)</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47</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12</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11</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76</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67</w:t>
            </w:r>
          </w:p>
        </w:tc>
        <w:tc>
          <w:tcPr>
            <w:tcW w:w="132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1.4</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22</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47</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94</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Smoking </w:t>
            </w:r>
          </w:p>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(yes vs no)</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04</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9）</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8</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26</w:t>
            </w:r>
          </w:p>
        </w:tc>
        <w:tc>
          <w:tcPr>
            <w:tcW w:w="132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78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9</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ECOG PS</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(0-1 vs ≥2)</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77</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35</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89</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30</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82</w:t>
            </w:r>
          </w:p>
        </w:tc>
        <w:tc>
          <w:tcPr>
            <w:tcW w:w="132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99</w:t>
            </w: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-1.5</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8</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08</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70</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68</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Line of therapy for ICIs</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(1st vs≥2nd)</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7</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9</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0.01</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0.5</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89</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2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71</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5</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84</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71</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Stage at diagnosis                     </w:t>
            </w:r>
          </w:p>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(limited vs extensive)</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86</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90</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22</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80</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46</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41</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5</w:t>
            </w:r>
          </w:p>
        </w:tc>
        <w:tc>
          <w:tcPr>
            <w:tcW w:w="132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34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30</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9</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03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36</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Treatment received</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r>
              <w:rPr>
                <w:rFonts w:ascii="Times New Roman" w:hAnsi="Times New Roman" w:eastAsia="宋体" w:cs="Times New Roman"/>
                <w:color w:val="auto"/>
                <w:kern w:val="0"/>
                <w:sz w:val="20"/>
                <w:szCs w:val="20"/>
                <w:shd w:val="clear" w:color="auto" w:fill="FFFFFF"/>
              </w:rPr>
              <w:t>PD-1 vs PD-L1</w:t>
            </w:r>
            <w:r>
              <w:rPr>
                <w:rFonts w:ascii="Times New Roman" w:hAnsi="Times New Roman" w:eastAsia="宋体" w:cs="Times New Roman"/>
                <w:color w:val="auto"/>
                <w:kern w:val="0"/>
                <w:sz w:val="20"/>
                <w:szCs w:val="20"/>
              </w:rPr>
              <w:t>)</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71</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09</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23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90</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68</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0</w:t>
            </w:r>
          </w:p>
        </w:tc>
        <w:tc>
          <w:tcPr>
            <w:tcW w:w="132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84</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17</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87</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brain metastases before ICI(yes vs no)</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18</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58</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28</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77</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9</w:t>
            </w:r>
          </w:p>
        </w:tc>
        <w:tc>
          <w:tcPr>
            <w:tcW w:w="132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3）</w:t>
            </w:r>
          </w:p>
        </w:tc>
        <w:tc>
          <w:tcPr>
            <w:tcW w:w="832"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5</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9</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liver metastases before  ICI (yes vs no)</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35</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01</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82</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97</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8</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p>
        </w:tc>
        <w:tc>
          <w:tcPr>
            <w:tcW w:w="80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b/>
                <w:bCs/>
                <w:color w:val="auto"/>
                <w:kern w:val="0"/>
                <w:sz w:val="20"/>
                <w:szCs w:val="20"/>
                <w:lang w:val="en-US" w:eastAsia="zh-CN"/>
              </w:rPr>
            </w:pPr>
            <w:r>
              <w:rPr>
                <w:rFonts w:hint="eastAsia" w:ascii="Times New Roman" w:hAnsi="Times New Roman" w:eastAsia="宋体" w:cs="Times New Roman"/>
                <w:b w:val="0"/>
                <w:bCs w:val="0"/>
                <w:color w:val="auto"/>
                <w:kern w:val="0"/>
                <w:sz w:val="20"/>
                <w:szCs w:val="20"/>
                <w:lang w:val="en-US" w:eastAsia="zh-CN"/>
              </w:rPr>
              <w:t>0.08</w:t>
            </w:r>
          </w:p>
        </w:tc>
        <w:tc>
          <w:tcPr>
            <w:tcW w:w="132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79</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832"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6</w:t>
            </w:r>
          </w:p>
        </w:tc>
        <w:tc>
          <w:tcPr>
            <w:tcW w:w="12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-1.6</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w:t>
            </w:r>
          </w:p>
        </w:tc>
        <w:tc>
          <w:tcPr>
            <w:tcW w:w="772"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5</w:t>
            </w:r>
          </w:p>
        </w:tc>
      </w:tr>
    </w:tbl>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sz w:val="20"/>
          <w:szCs w:val="20"/>
        </w:rPr>
      </w:pPr>
      <w:r>
        <w:rPr>
          <w:rFonts w:ascii="Times New Roman" w:hAnsi="Times New Roman" w:eastAsia="宋体" w:cs="Times New Roman"/>
          <w:color w:val="auto"/>
          <w:sz w:val="20"/>
          <w:szCs w:val="20"/>
        </w:rPr>
        <w:t>Abbreviations: ECOG PS, Eastern Cooperative Oncology Group performance status; ICI, immune checkpoint inhibitor; irAE, immune-related adverse event; PD-L1, programmed death-ligand 1; PD-1, programmed cell death protein 1.</w:t>
      </w:r>
    </w:p>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sz w:val="20"/>
          <w:szCs w:val="20"/>
        </w:rPr>
      </w:pPr>
      <w:r>
        <w:rPr>
          <w:rFonts w:hint="eastAsia" w:ascii="Times New Roman" w:hAnsi="Times New Roman" w:eastAsia="宋体" w:cs="Times New Roman"/>
          <w:color w:val="auto"/>
          <w:sz w:val="20"/>
          <w:szCs w:val="20"/>
          <w:vertAlign w:val="superscript"/>
        </w:rPr>
        <w:t xml:space="preserve">a </w:t>
      </w:r>
      <w:r>
        <w:rPr>
          <w:rFonts w:hint="eastAsia" w:ascii="Times New Roman" w:hAnsi="Times New Roman" w:eastAsia="宋体" w:cs="Times New Roman"/>
          <w:color w:val="auto"/>
          <w:sz w:val="20"/>
          <w:szCs w:val="20"/>
        </w:rPr>
        <w:t>Categorical and continuous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variables were compared using χ2</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and Kruskal-Wallis tests,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respectively.</w:t>
      </w:r>
    </w:p>
    <w:p>
      <w:pPr>
        <w:keepNext w:val="0"/>
        <w:keepLines w:val="0"/>
        <w:pageBreakBefore w:val="0"/>
        <w:kinsoku/>
        <w:wordWrap/>
        <w:overflowPunct/>
        <w:topLinePunct w:val="0"/>
        <w:bidi w:val="0"/>
        <w:snapToGrid/>
        <w:spacing w:beforeLines="0" w:afterLines="0" w:line="240" w:lineRule="auto"/>
        <w:textAlignment w:val="auto"/>
        <w:rPr>
          <w:rFonts w:hint="default"/>
          <w:color w:val="auto"/>
          <w:sz w:val="20"/>
          <w:szCs w:val="20"/>
        </w:rPr>
      </w:pP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bCs/>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5</w:t>
      </w:r>
      <w:r>
        <w:rPr>
          <w:rFonts w:ascii="Times New Roman" w:hAnsi="Times New Roman" w:cs="Times New Roman"/>
          <w:b/>
          <w:bCs/>
          <w:color w:val="auto"/>
          <w:kern w:val="0"/>
          <w:sz w:val="20"/>
          <w:szCs w:val="20"/>
        </w:rPr>
        <w:t xml:space="preserve">  Multivariate Cox regression model of overall and progression-free survival in </w:t>
      </w:r>
      <w:r>
        <w:rPr>
          <w:rFonts w:hint="eastAsia" w:ascii="Times New Roman" w:hAnsi="Times New Roman" w:cs="Times New Roman"/>
          <w:b/>
          <w:bCs/>
          <w:color w:val="auto"/>
          <w:kern w:val="0"/>
          <w:sz w:val="20"/>
          <w:szCs w:val="20"/>
          <w:lang w:val="en-US" w:eastAsia="zh-CN"/>
        </w:rPr>
        <w:t xml:space="preserve">SCLC </w:t>
      </w:r>
      <w:r>
        <w:rPr>
          <w:rFonts w:ascii="Times New Roman" w:hAnsi="Times New Roman" w:cs="Times New Roman"/>
          <w:b/>
          <w:bCs/>
          <w:color w:val="auto"/>
          <w:kern w:val="0"/>
          <w:sz w:val="20"/>
          <w:szCs w:val="20"/>
        </w:rPr>
        <w:t>patients treated with anti-PD(L)1 immunotherapy, utilizing irAEs as a categorical variable.</w:t>
      </w:r>
    </w:p>
    <w:tbl>
      <w:tblPr>
        <w:tblStyle w:val="4"/>
        <w:tblW w:w="101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3"/>
        <w:gridCol w:w="1327"/>
        <w:gridCol w:w="833"/>
        <w:gridCol w:w="1335"/>
        <w:gridCol w:w="787"/>
        <w:gridCol w:w="1320"/>
        <w:gridCol w:w="773"/>
        <w:gridCol w:w="1290"/>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vMerge w:val="restart"/>
            <w:tcBorders>
              <w:top w:val="single" w:color="auto" w:sz="4" w:space="0"/>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4282" w:type="dxa"/>
            <w:gridSpan w:val="4"/>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PFS</w:t>
            </w:r>
          </w:p>
        </w:tc>
        <w:tc>
          <w:tcPr>
            <w:tcW w:w="4268" w:type="dxa"/>
            <w:gridSpan w:val="4"/>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633" w:type="dxa"/>
            <w:vMerge w:val="continue"/>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2160"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Univariate Analysis</w:t>
            </w:r>
          </w:p>
        </w:tc>
        <w:tc>
          <w:tcPr>
            <w:tcW w:w="2122"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Multivariate Analysis</w:t>
            </w:r>
          </w:p>
        </w:tc>
        <w:tc>
          <w:tcPr>
            <w:tcW w:w="2093"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Univariate Analysis</w:t>
            </w:r>
          </w:p>
        </w:tc>
        <w:tc>
          <w:tcPr>
            <w:tcW w:w="2175"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Multivariate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vMerge w:val="continue"/>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327"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833"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335"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787"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320"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773"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290"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885"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Number of irAEs</w:t>
            </w:r>
          </w:p>
        </w:tc>
        <w:tc>
          <w:tcPr>
            <w:tcW w:w="1327"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833"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335"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787"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32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773"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29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885"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ind w:firstLine="200" w:firstLineChars="100"/>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No irAEs</w:t>
            </w:r>
          </w:p>
        </w:tc>
        <w:tc>
          <w:tcPr>
            <w:tcW w:w="132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Ref</w:t>
            </w:r>
          </w:p>
        </w:tc>
        <w:tc>
          <w:tcPr>
            <w:tcW w:w="8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Ref</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p>
        </w:tc>
        <w:tc>
          <w:tcPr>
            <w:tcW w:w="132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Ref</w:t>
            </w:r>
          </w:p>
        </w:tc>
        <w:tc>
          <w:tcPr>
            <w:tcW w:w="77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Ref</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ind w:firstLine="200" w:firstLineChars="100"/>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Single</w:t>
            </w:r>
            <w:r>
              <w:rPr>
                <w:rFonts w:hint="eastAsia" w:ascii="Times New Roman" w:hAnsi="Times New Roman" w:eastAsia="宋体" w:cs="Times New Roman"/>
                <w:color w:val="auto"/>
                <w:kern w:val="0"/>
                <w:sz w:val="20"/>
                <w:szCs w:val="20"/>
              </w:rPr>
              <w:t>-</w:t>
            </w:r>
            <w:r>
              <w:rPr>
                <w:rFonts w:ascii="Times New Roman" w:hAnsi="Times New Roman" w:eastAsia="宋体" w:cs="Times New Roman"/>
                <w:color w:val="auto"/>
                <w:kern w:val="0"/>
                <w:sz w:val="20"/>
                <w:szCs w:val="20"/>
              </w:rPr>
              <w:t>system irAEs</w:t>
            </w:r>
          </w:p>
        </w:tc>
        <w:tc>
          <w:tcPr>
            <w:tcW w:w="132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58</w:t>
            </w:r>
            <w:r>
              <w:rPr>
                <w:rFonts w:ascii="Times New Roman" w:hAnsi="Times New Roman" w:eastAsia="宋体" w:cs="Times New Roman"/>
                <w:color w:val="auto"/>
                <w:kern w:val="0"/>
                <w:sz w:val="20"/>
                <w:szCs w:val="20"/>
              </w:rPr>
              <w:t>）</w:t>
            </w:r>
          </w:p>
        </w:tc>
        <w:tc>
          <w:tcPr>
            <w:tcW w:w="8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41</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30</w:t>
            </w:r>
            <w:r>
              <w:rPr>
                <w:rFonts w:ascii="Times New Roman" w:hAnsi="Times New Roman" w:eastAsia="宋体" w:cs="Times New Roman"/>
                <w:color w:val="auto"/>
                <w:kern w:val="0"/>
                <w:sz w:val="20"/>
                <w:szCs w:val="20"/>
              </w:rPr>
              <w:t>-0.5</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2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0.7</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48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p>
        </w:tc>
        <w:tc>
          <w:tcPr>
            <w:tcW w:w="77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15</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0.7</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48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15</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ind w:firstLine="200" w:firstLineChars="100"/>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Multi</w:t>
            </w:r>
            <w:r>
              <w:rPr>
                <w:rFonts w:hint="eastAsia" w:ascii="Times New Roman" w:hAnsi="Times New Roman" w:eastAsia="宋体" w:cs="Times New Roman"/>
                <w:color w:val="auto"/>
                <w:kern w:val="0"/>
                <w:sz w:val="20"/>
                <w:szCs w:val="20"/>
              </w:rPr>
              <w:t>-</w:t>
            </w:r>
            <w:r>
              <w:rPr>
                <w:rFonts w:ascii="Times New Roman" w:hAnsi="Times New Roman" w:eastAsia="宋体" w:cs="Times New Roman"/>
                <w:color w:val="auto"/>
                <w:kern w:val="0"/>
                <w:sz w:val="20"/>
                <w:szCs w:val="20"/>
              </w:rPr>
              <w:t>system irAEs</w:t>
            </w:r>
          </w:p>
        </w:tc>
        <w:tc>
          <w:tcPr>
            <w:tcW w:w="132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30</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rPr>
              <w:t>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52</w:t>
            </w:r>
            <w:r>
              <w:rPr>
                <w:rFonts w:ascii="Times New Roman" w:hAnsi="Times New Roman" w:eastAsia="宋体" w:cs="Times New Roman"/>
                <w:color w:val="auto"/>
                <w:kern w:val="0"/>
                <w:sz w:val="20"/>
                <w:szCs w:val="20"/>
              </w:rPr>
              <w:t>）</w:t>
            </w:r>
          </w:p>
        </w:tc>
        <w:tc>
          <w:tcPr>
            <w:tcW w:w="8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2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w:t>
            </w:r>
          </w:p>
        </w:tc>
        <w:tc>
          <w:tcPr>
            <w:tcW w:w="77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0.99</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Age</w:t>
            </w:r>
          </w:p>
        </w:tc>
        <w:tc>
          <w:tcPr>
            <w:tcW w:w="132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1.01（0.99-1.03）</w:t>
            </w:r>
          </w:p>
        </w:tc>
        <w:tc>
          <w:tcPr>
            <w:tcW w:w="8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0.2</w:t>
            </w:r>
            <w:r>
              <w:rPr>
                <w:rFonts w:hint="eastAsia" w:ascii="Times New Roman" w:hAnsi="Times New Roman" w:eastAsia="宋体" w:cs="Times New Roman"/>
                <w:color w:val="auto"/>
                <w:kern w:val="0"/>
                <w:sz w:val="20"/>
                <w:szCs w:val="20"/>
              </w:rPr>
              <w:t>2</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（0.99-1.0</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3</w:t>
            </w:r>
          </w:p>
        </w:tc>
        <w:tc>
          <w:tcPr>
            <w:tcW w:w="1320"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（0.99-1.05）</w:t>
            </w:r>
          </w:p>
        </w:tc>
        <w:tc>
          <w:tcPr>
            <w:tcW w:w="773"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0.0</w:t>
            </w:r>
            <w:r>
              <w:rPr>
                <w:rFonts w:hint="eastAsia" w:ascii="Times New Roman" w:hAnsi="Times New Roman" w:eastAsia="宋体" w:cs="Times New Roman"/>
                <w:color w:val="auto"/>
                <w:kern w:val="0"/>
                <w:sz w:val="20"/>
                <w:szCs w:val="20"/>
                <w:lang w:val="en-US" w:eastAsia="zh-CN"/>
              </w:rPr>
              <w:t>7</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99</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0.0</w:t>
            </w:r>
            <w:r>
              <w:rPr>
                <w:rFonts w:hint="eastAsia" w:ascii="Times New Roman" w:hAnsi="Times New Roman" w:eastAsia="宋体" w:cs="Times New Roman"/>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Gender</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(male vs female)</w:t>
            </w:r>
          </w:p>
        </w:tc>
        <w:tc>
          <w:tcPr>
            <w:tcW w:w="132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47</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12</w:t>
            </w:r>
            <w:r>
              <w:rPr>
                <w:rFonts w:ascii="Times New Roman" w:hAnsi="Times New Roman" w:eastAsia="宋体" w:cs="Times New Roman"/>
                <w:color w:val="auto"/>
                <w:kern w:val="0"/>
                <w:sz w:val="20"/>
                <w:szCs w:val="20"/>
              </w:rPr>
              <w:t>）</w:t>
            </w:r>
          </w:p>
        </w:tc>
        <w:tc>
          <w:tcPr>
            <w:tcW w:w="8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90</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0</w:t>
            </w:r>
          </w:p>
        </w:tc>
        <w:tc>
          <w:tcPr>
            <w:tcW w:w="1320"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1.4</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w:t>
            </w:r>
          </w:p>
        </w:tc>
        <w:tc>
          <w:tcPr>
            <w:tcW w:w="773"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22</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9</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Smoking </w:t>
            </w:r>
          </w:p>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(yes vs no)</w:t>
            </w:r>
          </w:p>
        </w:tc>
        <w:tc>
          <w:tcPr>
            <w:tcW w:w="132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04</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9）</w:t>
            </w:r>
          </w:p>
        </w:tc>
        <w:tc>
          <w:tcPr>
            <w:tcW w:w="8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1.1</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0</w:t>
            </w:r>
          </w:p>
        </w:tc>
        <w:tc>
          <w:tcPr>
            <w:tcW w:w="1320"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78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w:t>
            </w:r>
          </w:p>
        </w:tc>
        <w:tc>
          <w:tcPr>
            <w:tcW w:w="773"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96</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ECOG PS</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(0-1 vs ≥2)</w:t>
            </w:r>
          </w:p>
        </w:tc>
        <w:tc>
          <w:tcPr>
            <w:tcW w:w="132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77</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35</w:t>
            </w:r>
            <w:r>
              <w:rPr>
                <w:rFonts w:ascii="Times New Roman" w:hAnsi="Times New Roman" w:eastAsia="宋体" w:cs="Times New Roman"/>
                <w:color w:val="auto"/>
                <w:kern w:val="0"/>
                <w:sz w:val="20"/>
                <w:szCs w:val="20"/>
              </w:rPr>
              <w:t>）</w:t>
            </w:r>
          </w:p>
        </w:tc>
        <w:tc>
          <w:tcPr>
            <w:tcW w:w="8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89</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27</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69</w:t>
            </w:r>
          </w:p>
        </w:tc>
        <w:tc>
          <w:tcPr>
            <w:tcW w:w="1320"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99</w:t>
            </w: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-1.5</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773"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8</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06</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9</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6</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Line of therapy for ICIs</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(1st vs≥2nd)</w:t>
            </w:r>
          </w:p>
        </w:tc>
        <w:tc>
          <w:tcPr>
            <w:tcW w:w="132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7</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9</w:t>
            </w:r>
            <w:r>
              <w:rPr>
                <w:rFonts w:ascii="Times New Roman" w:hAnsi="Times New Roman" w:eastAsia="宋体" w:cs="Times New Roman"/>
                <w:color w:val="auto"/>
                <w:kern w:val="0"/>
                <w:sz w:val="20"/>
                <w:szCs w:val="20"/>
              </w:rPr>
              <w:t>）</w:t>
            </w:r>
          </w:p>
        </w:tc>
        <w:tc>
          <w:tcPr>
            <w:tcW w:w="8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0.01</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0.5</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20"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71</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773"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5</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Stage at diagnosis                     </w:t>
            </w:r>
          </w:p>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(limited vs extensive)</w:t>
            </w:r>
          </w:p>
        </w:tc>
        <w:tc>
          <w:tcPr>
            <w:tcW w:w="132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86</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90</w:t>
            </w:r>
            <w:r>
              <w:rPr>
                <w:rFonts w:ascii="Times New Roman" w:hAnsi="Times New Roman" w:eastAsia="宋体" w:cs="Times New Roman"/>
                <w:color w:val="auto"/>
                <w:kern w:val="0"/>
                <w:sz w:val="20"/>
                <w:szCs w:val="20"/>
              </w:rPr>
              <w:t>）</w:t>
            </w:r>
          </w:p>
        </w:tc>
        <w:tc>
          <w:tcPr>
            <w:tcW w:w="8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22</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88</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56</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7</w:t>
            </w:r>
          </w:p>
        </w:tc>
        <w:tc>
          <w:tcPr>
            <w:tcW w:w="1320"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34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30</w:t>
            </w:r>
            <w:r>
              <w:rPr>
                <w:rFonts w:ascii="Times New Roman" w:hAnsi="Times New Roman" w:eastAsia="宋体" w:cs="Times New Roman"/>
                <w:color w:val="auto"/>
                <w:kern w:val="0"/>
                <w:sz w:val="20"/>
                <w:szCs w:val="20"/>
              </w:rPr>
              <w:t>）</w:t>
            </w:r>
          </w:p>
        </w:tc>
        <w:tc>
          <w:tcPr>
            <w:tcW w:w="773"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9</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18</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71</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Treatment received</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r>
              <w:rPr>
                <w:rFonts w:ascii="Times New Roman" w:hAnsi="Times New Roman" w:eastAsia="宋体" w:cs="Times New Roman"/>
                <w:color w:val="auto"/>
                <w:kern w:val="0"/>
                <w:sz w:val="20"/>
                <w:szCs w:val="20"/>
                <w:shd w:val="clear" w:color="auto" w:fill="FFFFFF"/>
              </w:rPr>
              <w:t>PD-1 vs PD-L1</w:t>
            </w:r>
            <w:r>
              <w:rPr>
                <w:rFonts w:ascii="Times New Roman" w:hAnsi="Times New Roman" w:eastAsia="宋体" w:cs="Times New Roman"/>
                <w:color w:val="auto"/>
                <w:kern w:val="0"/>
                <w:sz w:val="20"/>
                <w:szCs w:val="20"/>
              </w:rPr>
              <w:t>)</w:t>
            </w:r>
          </w:p>
        </w:tc>
        <w:tc>
          <w:tcPr>
            <w:tcW w:w="132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71</w:t>
            </w:r>
            <w:r>
              <w:rPr>
                <w:rFonts w:ascii="Times New Roman" w:hAnsi="Times New Roman" w:eastAsia="宋体" w:cs="Times New Roman"/>
                <w:color w:val="auto"/>
                <w:kern w:val="0"/>
                <w:sz w:val="20"/>
                <w:szCs w:val="20"/>
              </w:rPr>
              <w:t>）</w:t>
            </w:r>
          </w:p>
        </w:tc>
        <w:tc>
          <w:tcPr>
            <w:tcW w:w="8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09</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57</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43</w:t>
            </w:r>
          </w:p>
        </w:tc>
        <w:tc>
          <w:tcPr>
            <w:tcW w:w="1320"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773"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52</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brain metastases before ICI(yes vs no)</w:t>
            </w:r>
          </w:p>
        </w:tc>
        <w:tc>
          <w:tcPr>
            <w:tcW w:w="132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18</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58</w:t>
            </w:r>
            <w:r>
              <w:rPr>
                <w:rFonts w:ascii="Times New Roman" w:hAnsi="Times New Roman" w:eastAsia="宋体" w:cs="Times New Roman"/>
                <w:color w:val="auto"/>
                <w:kern w:val="0"/>
                <w:sz w:val="20"/>
                <w:szCs w:val="20"/>
              </w:rPr>
              <w:t>）</w:t>
            </w:r>
          </w:p>
        </w:tc>
        <w:tc>
          <w:tcPr>
            <w:tcW w:w="8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28</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29</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0</w:t>
            </w:r>
          </w:p>
        </w:tc>
        <w:tc>
          <w:tcPr>
            <w:tcW w:w="1320"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3）</w:t>
            </w:r>
          </w:p>
        </w:tc>
        <w:tc>
          <w:tcPr>
            <w:tcW w:w="773"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5</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liver metastases before  ICI (yes vs no)</w:t>
            </w:r>
          </w:p>
        </w:tc>
        <w:tc>
          <w:tcPr>
            <w:tcW w:w="1327"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35</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01</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82</w:t>
            </w:r>
            <w:r>
              <w:rPr>
                <w:rFonts w:ascii="Times New Roman" w:hAnsi="Times New Roman" w:eastAsia="宋体" w:cs="Times New Roman"/>
                <w:color w:val="auto"/>
                <w:kern w:val="0"/>
                <w:sz w:val="20"/>
                <w:szCs w:val="20"/>
              </w:rPr>
              <w:t>）</w:t>
            </w:r>
          </w:p>
        </w:tc>
        <w:tc>
          <w:tcPr>
            <w:tcW w:w="833"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3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1.3</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0.95</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78</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11</w:t>
            </w:r>
          </w:p>
        </w:tc>
        <w:tc>
          <w:tcPr>
            <w:tcW w:w="1320"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79</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773"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6</w:t>
            </w:r>
          </w:p>
        </w:tc>
        <w:tc>
          <w:tcPr>
            <w:tcW w:w="129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88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default"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80</w:t>
            </w:r>
          </w:p>
        </w:tc>
      </w:tr>
    </w:tbl>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sz w:val="20"/>
          <w:szCs w:val="20"/>
        </w:rPr>
      </w:pPr>
      <w:r>
        <w:rPr>
          <w:rFonts w:ascii="Times New Roman" w:hAnsi="Times New Roman" w:eastAsia="宋体" w:cs="Times New Roman"/>
          <w:color w:val="auto"/>
          <w:sz w:val="20"/>
          <w:szCs w:val="20"/>
        </w:rPr>
        <w:t>Abbreviations: ECOG PS, Eastern Cooperative Oncology Group performance status; ICI, immune checkpoint inhibitor; irAE, immune-related adverse event; PD-L1, programmed death-ligand 1; PD-1, programmed cell death protein 1.</w:t>
      </w:r>
    </w:p>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sz w:val="20"/>
          <w:szCs w:val="20"/>
        </w:rPr>
      </w:pPr>
      <w:r>
        <w:rPr>
          <w:rFonts w:hint="eastAsia" w:ascii="Times New Roman" w:hAnsi="Times New Roman" w:eastAsia="宋体" w:cs="Times New Roman"/>
          <w:color w:val="auto"/>
          <w:sz w:val="20"/>
          <w:szCs w:val="20"/>
          <w:vertAlign w:val="superscript"/>
        </w:rPr>
        <w:t xml:space="preserve">a </w:t>
      </w:r>
      <w:r>
        <w:rPr>
          <w:rFonts w:hint="eastAsia" w:ascii="Times New Roman" w:hAnsi="Times New Roman" w:eastAsia="宋体" w:cs="Times New Roman"/>
          <w:color w:val="auto"/>
          <w:sz w:val="20"/>
          <w:szCs w:val="20"/>
        </w:rPr>
        <w:t>Categorical and continuous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variables were compared using χ2</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and Kruskal-Wallis tests,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respectively.</w:t>
      </w: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color w:val="auto"/>
          <w:kern w:val="0"/>
          <w:sz w:val="20"/>
          <w:szCs w:val="20"/>
        </w:rPr>
      </w:pPr>
    </w:p>
    <w:p>
      <w:pPr>
        <w:keepNext w:val="0"/>
        <w:keepLines w:val="0"/>
        <w:pageBreakBefore w:val="0"/>
        <w:widowControl/>
        <w:kinsoku/>
        <w:wordWrap/>
        <w:overflowPunct/>
        <w:topLinePunct w:val="0"/>
        <w:bidi w:val="0"/>
        <w:snapToGrid/>
        <w:spacing w:line="240" w:lineRule="auto"/>
        <w:textAlignment w:val="auto"/>
        <w:rPr>
          <w:rFonts w:ascii="Times New Roman" w:hAnsi="Times New Roman" w:cs="Times New Roman"/>
          <w:b/>
          <w:bCs/>
          <w:color w:val="auto"/>
          <w:kern w:val="0"/>
          <w:sz w:val="20"/>
          <w:szCs w:val="20"/>
        </w:rPr>
      </w:pPr>
      <w:r>
        <w:rPr>
          <w:rFonts w:hint="eastAsia" w:ascii="Times New Roman" w:hAnsi="Times New Roman" w:cs="Times New Roman"/>
          <w:b/>
          <w:bCs/>
          <w:color w:val="auto"/>
          <w:kern w:val="0"/>
          <w:sz w:val="20"/>
          <w:szCs w:val="20"/>
          <w:lang w:val="en-US" w:eastAsia="zh-CN"/>
        </w:rPr>
        <w:t>e</w:t>
      </w:r>
      <w:r>
        <w:rPr>
          <w:rFonts w:ascii="Times New Roman" w:hAnsi="Times New Roman" w:cs="Times New Roman"/>
          <w:b/>
          <w:bCs/>
          <w:color w:val="auto"/>
          <w:kern w:val="0"/>
          <w:sz w:val="20"/>
          <w:szCs w:val="20"/>
        </w:rPr>
        <w:t xml:space="preserve">Table </w:t>
      </w:r>
      <w:r>
        <w:rPr>
          <w:rFonts w:hint="eastAsia" w:ascii="Times New Roman" w:hAnsi="Times New Roman" w:cs="Times New Roman"/>
          <w:b/>
          <w:bCs/>
          <w:color w:val="auto"/>
          <w:kern w:val="0"/>
          <w:sz w:val="20"/>
          <w:szCs w:val="20"/>
          <w:lang w:val="en-US" w:eastAsia="zh-CN"/>
        </w:rPr>
        <w:t>6</w:t>
      </w:r>
      <w:r>
        <w:rPr>
          <w:rFonts w:ascii="Times New Roman" w:hAnsi="Times New Roman" w:cs="Times New Roman"/>
          <w:b/>
          <w:bCs/>
          <w:color w:val="auto"/>
          <w:kern w:val="0"/>
          <w:sz w:val="20"/>
          <w:szCs w:val="20"/>
        </w:rPr>
        <w:t xml:space="preserve">  Multivariate Cox regression model of overall and progression-free survival in </w:t>
      </w:r>
      <w:r>
        <w:rPr>
          <w:rFonts w:hint="eastAsia" w:ascii="Times New Roman" w:hAnsi="Times New Roman" w:cs="Times New Roman"/>
          <w:b/>
          <w:bCs/>
          <w:color w:val="auto"/>
          <w:kern w:val="0"/>
          <w:sz w:val="20"/>
          <w:szCs w:val="20"/>
          <w:lang w:val="en-US" w:eastAsia="zh-CN"/>
        </w:rPr>
        <w:t xml:space="preserve">SCLC </w:t>
      </w:r>
      <w:r>
        <w:rPr>
          <w:rFonts w:ascii="Times New Roman" w:hAnsi="Times New Roman" w:cs="Times New Roman"/>
          <w:b/>
          <w:bCs/>
          <w:color w:val="auto"/>
          <w:kern w:val="0"/>
          <w:sz w:val="20"/>
          <w:szCs w:val="20"/>
        </w:rPr>
        <w:t xml:space="preserve">patients treated with anti-PD(L)1 immunotherapy, utilizing multi-system irAEs as a continuous variable. </w:t>
      </w:r>
    </w:p>
    <w:tbl>
      <w:tblPr>
        <w:tblStyle w:val="4"/>
        <w:tblW w:w="10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296"/>
        <w:gridCol w:w="839"/>
        <w:gridCol w:w="1365"/>
        <w:gridCol w:w="780"/>
        <w:gridCol w:w="1327"/>
        <w:gridCol w:w="788"/>
        <w:gridCol w:w="1350"/>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vMerge w:val="restart"/>
            <w:tcBorders>
              <w:top w:val="single" w:color="auto" w:sz="4" w:space="0"/>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4280" w:type="dxa"/>
            <w:gridSpan w:val="4"/>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PFS</w:t>
            </w:r>
          </w:p>
        </w:tc>
        <w:tc>
          <w:tcPr>
            <w:tcW w:w="4252" w:type="dxa"/>
            <w:gridSpan w:val="4"/>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98" w:type="dxa"/>
            <w:vMerge w:val="continue"/>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2135"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Univariate Analysis</w:t>
            </w:r>
          </w:p>
        </w:tc>
        <w:tc>
          <w:tcPr>
            <w:tcW w:w="2145"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Multivariate Analysis</w:t>
            </w:r>
          </w:p>
        </w:tc>
        <w:tc>
          <w:tcPr>
            <w:tcW w:w="2115"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Univariate Analysis</w:t>
            </w:r>
          </w:p>
        </w:tc>
        <w:tc>
          <w:tcPr>
            <w:tcW w:w="2137"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Multivariate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vMerge w:val="continue"/>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p>
        </w:tc>
        <w:tc>
          <w:tcPr>
            <w:tcW w:w="1296"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839"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365"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780"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327"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788"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c>
          <w:tcPr>
            <w:tcW w:w="1350"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HR (95%CI)</w:t>
            </w:r>
          </w:p>
        </w:tc>
        <w:tc>
          <w:tcPr>
            <w:tcW w:w="787" w:type="dxa"/>
            <w:tcBorders>
              <w:top w:val="single" w:color="auto" w:sz="4" w:space="0"/>
              <w:left w:val="nil"/>
              <w:bottom w:val="single" w:color="auto" w:sz="4" w:space="0"/>
              <w:right w:val="nil"/>
            </w:tcBorders>
          </w:tcPr>
          <w:p>
            <w:pPr>
              <w:keepNext w:val="0"/>
              <w:keepLines w:val="0"/>
              <w:pageBreakBefore w:val="0"/>
              <w:kinsoku/>
              <w:wordWrap/>
              <w:overflowPunct/>
              <w:topLinePunct w:val="0"/>
              <w:bidi w:val="0"/>
              <w:snapToGrid/>
              <w:spacing w:line="240" w:lineRule="auto"/>
              <w:jc w:val="left"/>
              <w:textAlignment w:val="auto"/>
              <w:rPr>
                <w:rFonts w:hint="eastAsia" w:ascii="Times New Roman" w:hAnsi="Times New Roman" w:eastAsia="宋体" w:cs="Times New Roman"/>
                <w:b/>
                <w:bCs/>
                <w:color w:val="auto"/>
                <w:kern w:val="0"/>
                <w:sz w:val="20"/>
                <w:szCs w:val="20"/>
                <w:lang w:val="en-US" w:eastAsia="zh-CN"/>
              </w:rPr>
            </w:pPr>
            <w:r>
              <w:rPr>
                <w:rFonts w:ascii="Times New Roman" w:hAnsi="Times New Roman" w:eastAsia="宋体" w:cs="Times New Roman"/>
                <w:b/>
                <w:bCs/>
                <w:i/>
                <w:iCs/>
                <w:color w:val="auto"/>
                <w:kern w:val="0"/>
                <w:sz w:val="20"/>
                <w:szCs w:val="20"/>
              </w:rPr>
              <w:t>P</w:t>
            </w:r>
            <w:r>
              <w:rPr>
                <w:rFonts w:hint="eastAsia" w:ascii="Times New Roman" w:hAnsi="Times New Roman" w:eastAsia="宋体" w:cs="Times New Roman"/>
                <w:b/>
                <w:bCs/>
                <w:color w:val="auto"/>
                <w:kern w:val="0"/>
                <w:sz w:val="20"/>
                <w:szCs w:val="20"/>
                <w:lang w:val="en-US" w:eastAsia="zh-CN"/>
              </w:rPr>
              <w:t xml:space="preserve"> </w:t>
            </w:r>
            <w:r>
              <w:rPr>
                <w:rFonts w:ascii="Times New Roman" w:hAnsi="Times New Roman" w:eastAsia="宋体" w:cs="Times New Roman"/>
                <w:b/>
                <w:bCs/>
                <w:color w:val="auto"/>
                <w:kern w:val="0"/>
                <w:sz w:val="20"/>
                <w:szCs w:val="20"/>
              </w:rPr>
              <w:t>value</w:t>
            </w:r>
            <w:r>
              <w:rPr>
                <w:rFonts w:hint="eastAsia" w:ascii="Times New Roman" w:hAnsi="Times New Roman" w:eastAsia="宋体" w:cs="Times New Roman"/>
                <w:b/>
                <w:bCs/>
                <w:color w:val="auto"/>
                <w:kern w:val="0"/>
                <w:sz w:val="20"/>
                <w:szCs w:val="20"/>
                <w:vertAlign w:val="superscript"/>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Number of irAEs</w:t>
            </w:r>
          </w:p>
        </w:tc>
        <w:tc>
          <w:tcPr>
            <w:tcW w:w="1296"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48</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-0.62）</w:t>
            </w:r>
          </w:p>
        </w:tc>
        <w:tc>
          <w:tcPr>
            <w:tcW w:w="839"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65"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59</w:t>
            </w:r>
            <w:r>
              <w:rPr>
                <w:rFonts w:ascii="Times New Roman" w:hAnsi="Times New Roman" w:eastAsia="宋体" w:cs="Times New Roman"/>
                <w:color w:val="auto"/>
                <w:kern w:val="0"/>
                <w:sz w:val="20"/>
                <w:szCs w:val="20"/>
              </w:rPr>
              <w:t>）</w:t>
            </w:r>
          </w:p>
        </w:tc>
        <w:tc>
          <w:tcPr>
            <w:tcW w:w="78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0.001</w:t>
            </w:r>
          </w:p>
        </w:tc>
        <w:tc>
          <w:tcPr>
            <w:tcW w:w="1327"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788"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50"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w:t>
            </w:r>
          </w:p>
        </w:tc>
        <w:tc>
          <w:tcPr>
            <w:tcW w:w="787" w:type="dxa"/>
            <w:tcBorders>
              <w:top w:val="single" w:color="auto" w:sz="4" w:space="0"/>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Age</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1.01（0.99-1.03）</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0.2</w:t>
            </w:r>
            <w:r>
              <w:rPr>
                <w:rFonts w:hint="eastAsia" w:ascii="Times New Roman" w:hAnsi="Times New Roman" w:eastAsia="宋体" w:cs="Times New Roman"/>
                <w:color w:val="auto"/>
                <w:kern w:val="0"/>
                <w:sz w:val="20"/>
                <w:szCs w:val="20"/>
              </w:rPr>
              <w:t>2</w:t>
            </w:r>
          </w:p>
        </w:tc>
        <w:tc>
          <w:tcPr>
            <w:tcW w:w="136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（0.99-1.0</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8</w:t>
            </w:r>
          </w:p>
        </w:tc>
        <w:tc>
          <w:tcPr>
            <w:tcW w:w="1327"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（0.99-1.05）</w:t>
            </w:r>
          </w:p>
        </w:tc>
        <w:tc>
          <w:tcPr>
            <w:tcW w:w="78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0.0</w:t>
            </w:r>
            <w:r>
              <w:rPr>
                <w:rFonts w:hint="eastAsia" w:ascii="Times New Roman" w:hAnsi="Times New Roman" w:eastAsia="宋体" w:cs="Times New Roman"/>
                <w:color w:val="auto"/>
                <w:kern w:val="0"/>
                <w:sz w:val="20"/>
                <w:szCs w:val="20"/>
                <w:lang w:val="en-US" w:eastAsia="zh-CN"/>
              </w:rPr>
              <w:t>7</w:t>
            </w:r>
          </w:p>
        </w:tc>
        <w:tc>
          <w:tcPr>
            <w:tcW w:w="13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1.02（0.99-1.05）</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Gender</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(male vs female)</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47</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12</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6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3</w:t>
            </w:r>
          </w:p>
        </w:tc>
        <w:tc>
          <w:tcPr>
            <w:tcW w:w="1327"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1.4</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w:t>
            </w:r>
          </w:p>
        </w:tc>
        <w:tc>
          <w:tcPr>
            <w:tcW w:w="78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22</w:t>
            </w:r>
          </w:p>
        </w:tc>
        <w:tc>
          <w:tcPr>
            <w:tcW w:w="13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22</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Smoking </w:t>
            </w:r>
          </w:p>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(yes vs no)</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40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04</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9）</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6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1.1</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（0.7</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6</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3</w:t>
            </w:r>
          </w:p>
        </w:tc>
        <w:tc>
          <w:tcPr>
            <w:tcW w:w="1327"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78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w:t>
            </w:r>
          </w:p>
        </w:tc>
        <w:tc>
          <w:tcPr>
            <w:tcW w:w="78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66</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93</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9</w:t>
            </w:r>
            <w:r>
              <w:rPr>
                <w:rFonts w:ascii="Times New Roman" w:hAnsi="Times New Roman" w:eastAsia="宋体" w:cs="Times New Roman"/>
                <w:color w:val="auto"/>
                <w:kern w:val="0"/>
                <w:sz w:val="20"/>
                <w:szCs w:val="20"/>
              </w:rPr>
              <w:t>8）</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ECOG PS</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(0-1 vs ≥2)</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02</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77</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35</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89</w:t>
            </w:r>
          </w:p>
        </w:tc>
        <w:tc>
          <w:tcPr>
            <w:tcW w:w="136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69</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63</w:t>
            </w:r>
          </w:p>
        </w:tc>
        <w:tc>
          <w:tcPr>
            <w:tcW w:w="1327"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99</w:t>
            </w: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-1.5</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78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8</w:t>
            </w:r>
          </w:p>
        </w:tc>
        <w:tc>
          <w:tcPr>
            <w:tcW w:w="13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1.07</w:t>
            </w: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lang w:val="en-US" w:eastAsia="zh-CN"/>
              </w:rPr>
              <w:t>9</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66</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Line of therapy for ICIs</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(1st vs≥2nd)</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0.6</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7</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9</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0.01</w:t>
            </w:r>
          </w:p>
        </w:tc>
        <w:tc>
          <w:tcPr>
            <w:tcW w:w="136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89</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27"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71</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78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5</w:t>
            </w:r>
          </w:p>
        </w:tc>
        <w:tc>
          <w:tcPr>
            <w:tcW w:w="13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5</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2</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 xml:space="preserve">Stage at diagnosis                     </w:t>
            </w:r>
          </w:p>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(limited vs extensive)</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86</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90</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22</w:t>
            </w:r>
          </w:p>
        </w:tc>
        <w:tc>
          <w:tcPr>
            <w:tcW w:w="136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0</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9</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51</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60</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0.7</w:t>
            </w:r>
            <w:r>
              <w:rPr>
                <w:rFonts w:hint="eastAsia" w:ascii="Times New Roman" w:hAnsi="Times New Roman" w:eastAsia="宋体" w:cs="Times New Roman"/>
                <w:color w:val="auto"/>
                <w:kern w:val="0"/>
                <w:sz w:val="20"/>
                <w:szCs w:val="20"/>
              </w:rPr>
              <w:t>2</w:t>
            </w:r>
          </w:p>
        </w:tc>
        <w:tc>
          <w:tcPr>
            <w:tcW w:w="1327"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34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78</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30</w:t>
            </w:r>
            <w:r>
              <w:rPr>
                <w:rFonts w:ascii="Times New Roman" w:hAnsi="Times New Roman" w:eastAsia="宋体" w:cs="Times New Roman"/>
                <w:color w:val="auto"/>
                <w:kern w:val="0"/>
                <w:sz w:val="20"/>
                <w:szCs w:val="20"/>
              </w:rPr>
              <w:t>）</w:t>
            </w:r>
          </w:p>
        </w:tc>
        <w:tc>
          <w:tcPr>
            <w:tcW w:w="78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lang w:val="en-US" w:eastAsia="zh-CN"/>
              </w:rPr>
              <w:t>9</w:t>
            </w:r>
          </w:p>
        </w:tc>
        <w:tc>
          <w:tcPr>
            <w:tcW w:w="13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w:t>
            </w:r>
            <w:r>
              <w:rPr>
                <w:rFonts w:hint="eastAsia"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17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lang w:val="en-US" w:eastAsia="zh-CN"/>
              </w:rPr>
              <w:t>51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lang w:val="en-US" w:eastAsia="zh-CN"/>
              </w:rPr>
              <w:t>69</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Treatment received</w:t>
            </w:r>
          </w:p>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w:t>
            </w:r>
            <w:r>
              <w:rPr>
                <w:rFonts w:ascii="Times New Roman" w:hAnsi="Times New Roman" w:eastAsia="宋体" w:cs="Times New Roman"/>
                <w:color w:val="auto"/>
                <w:kern w:val="0"/>
                <w:sz w:val="20"/>
                <w:szCs w:val="20"/>
                <w:shd w:val="clear" w:color="auto" w:fill="FFFFFF"/>
              </w:rPr>
              <w:t>PD-1 vs PD-L1</w:t>
            </w:r>
            <w:r>
              <w:rPr>
                <w:rFonts w:ascii="Times New Roman" w:hAnsi="Times New Roman" w:eastAsia="宋体" w:cs="Times New Roman"/>
                <w:color w:val="auto"/>
                <w:kern w:val="0"/>
                <w:sz w:val="20"/>
                <w:szCs w:val="20"/>
              </w:rPr>
              <w:t>)</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6</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71</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09</w:t>
            </w:r>
          </w:p>
        </w:tc>
        <w:tc>
          <w:tcPr>
            <w:tcW w:w="136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1.1</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2</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3</w:t>
            </w:r>
          </w:p>
        </w:tc>
        <w:tc>
          <w:tcPr>
            <w:tcW w:w="1327"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1</w:t>
            </w:r>
            <w:r>
              <w:rPr>
                <w:rFonts w:ascii="Times New Roman" w:hAnsi="Times New Roman" w:eastAsia="宋体" w:cs="Times New Roman"/>
                <w:color w:val="auto"/>
                <w:kern w:val="0"/>
                <w:sz w:val="20"/>
                <w:szCs w:val="20"/>
              </w:rPr>
              <w:t>）</w:t>
            </w:r>
          </w:p>
        </w:tc>
        <w:tc>
          <w:tcPr>
            <w:tcW w:w="78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64</w:t>
            </w:r>
            <w:r>
              <w:rPr>
                <w:rFonts w:ascii="Times New Roman" w:hAnsi="Times New Roman" w:eastAsia="宋体" w:cs="Times New Roman"/>
                <w:color w:val="auto"/>
                <w:kern w:val="0"/>
                <w:sz w:val="20"/>
                <w:szCs w:val="20"/>
              </w:rPr>
              <w:t>（1.0</w:t>
            </w:r>
            <w:r>
              <w:rPr>
                <w:rFonts w:hint="eastAsia" w:ascii="Times New Roman" w:hAnsi="Times New Roman" w:eastAsia="宋体" w:cs="Times New Roman"/>
                <w:color w:val="auto"/>
                <w:kern w:val="0"/>
                <w:sz w:val="20"/>
                <w:szCs w:val="20"/>
              </w:rPr>
              <w:t>5</w:t>
            </w:r>
            <w:r>
              <w:rPr>
                <w:rFonts w:ascii="Times New Roman" w:hAnsi="Times New Roman" w:eastAsia="宋体" w:cs="Times New Roman"/>
                <w:color w:val="auto"/>
                <w:kern w:val="0"/>
                <w:sz w:val="20"/>
                <w:szCs w:val="20"/>
              </w:rPr>
              <w:t>-2.</w:t>
            </w:r>
            <w:r>
              <w:rPr>
                <w:rFonts w:hint="eastAsia" w:ascii="Times New Roman" w:hAnsi="Times New Roman" w:eastAsia="宋体" w:cs="Times New Roman"/>
                <w:color w:val="auto"/>
                <w:kern w:val="0"/>
                <w:sz w:val="20"/>
                <w:szCs w:val="20"/>
              </w:rPr>
              <w:t>57</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brain metastases before ICI(yes vs no)</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18</w:t>
            </w:r>
            <w:r>
              <w:rPr>
                <w:rFonts w:ascii="Times New Roman" w:hAnsi="Times New Roman" w:eastAsia="宋体" w:cs="Times New Roman"/>
                <w:color w:val="auto"/>
                <w:kern w:val="0"/>
                <w:sz w:val="20"/>
                <w:szCs w:val="20"/>
              </w:rPr>
              <w:t>（0.8</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58</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28</w:t>
            </w:r>
          </w:p>
        </w:tc>
        <w:tc>
          <w:tcPr>
            <w:tcW w:w="136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lang w:val="en-US" w:eastAsia="zh-CN"/>
              </w:rPr>
              <w:t>7</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eastAsia="zh-CN"/>
              </w:rPr>
            </w:pPr>
            <w:r>
              <w:rPr>
                <w:rFonts w:ascii="Times New Roman" w:hAnsi="Times New Roman" w:eastAsia="宋体" w:cs="Times New Roman"/>
                <w:color w:val="auto"/>
                <w:kern w:val="0"/>
                <w:sz w:val="20"/>
                <w:szCs w:val="20"/>
              </w:rPr>
              <w:t>0.1</w:t>
            </w:r>
            <w:r>
              <w:rPr>
                <w:rFonts w:hint="eastAsia" w:ascii="Times New Roman" w:hAnsi="Times New Roman" w:eastAsia="宋体" w:cs="Times New Roman"/>
                <w:color w:val="auto"/>
                <w:kern w:val="0"/>
                <w:sz w:val="20"/>
                <w:szCs w:val="20"/>
                <w:lang w:val="en-US" w:eastAsia="zh-CN"/>
              </w:rPr>
              <w:t>3</w:t>
            </w:r>
          </w:p>
        </w:tc>
        <w:tc>
          <w:tcPr>
            <w:tcW w:w="1327"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84</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53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3）</w:t>
            </w:r>
          </w:p>
        </w:tc>
        <w:tc>
          <w:tcPr>
            <w:tcW w:w="78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4</w:t>
            </w:r>
            <w:r>
              <w:rPr>
                <w:rFonts w:hint="eastAsia" w:ascii="Times New Roman" w:hAnsi="Times New Roman" w:eastAsia="宋体" w:cs="Times New Roman"/>
                <w:color w:val="auto"/>
                <w:kern w:val="0"/>
                <w:sz w:val="20"/>
                <w:szCs w:val="20"/>
                <w:lang w:val="en-US" w:eastAsia="zh-CN"/>
              </w:rPr>
              <w:t>5</w:t>
            </w:r>
          </w:p>
        </w:tc>
        <w:tc>
          <w:tcPr>
            <w:tcW w:w="13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78</w:t>
            </w:r>
            <w:r>
              <w:rPr>
                <w:rFonts w:ascii="Times New Roman" w:hAnsi="Times New Roman" w:eastAsia="宋体" w:cs="Times New Roman"/>
                <w:color w:val="auto"/>
                <w:kern w:val="0"/>
                <w:sz w:val="20"/>
                <w:szCs w:val="20"/>
              </w:rPr>
              <w:t>（0.4</w:t>
            </w:r>
            <w:r>
              <w:rPr>
                <w:rFonts w:hint="eastAsia" w:ascii="Times New Roman" w:hAnsi="Times New Roman" w:eastAsia="宋体" w:cs="Times New Roman"/>
                <w:color w:val="auto"/>
                <w:kern w:val="0"/>
                <w:sz w:val="20"/>
                <w:szCs w:val="20"/>
              </w:rPr>
              <w:t>8</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26</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3</w:t>
            </w:r>
            <w:r>
              <w:rPr>
                <w:rFonts w:hint="eastAsia" w:ascii="Times New Roman" w:hAnsi="Times New Roman" w:eastAsia="宋体" w:cs="Times New Roman"/>
                <w:color w:val="auto"/>
                <w:kern w:val="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8"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Any history of liver metastases before  ICI (yes vs no)</w:t>
            </w:r>
          </w:p>
        </w:tc>
        <w:tc>
          <w:tcPr>
            <w:tcW w:w="1296"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35</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1</w:t>
            </w:r>
            <w:r>
              <w:rPr>
                <w:rFonts w:ascii="Times New Roman" w:hAnsi="Times New Roman" w:eastAsia="宋体" w:cs="Times New Roman"/>
                <w:color w:val="auto"/>
                <w:kern w:val="0"/>
                <w:sz w:val="20"/>
                <w:szCs w:val="20"/>
              </w:rPr>
              <w:t>.</w:t>
            </w:r>
            <w:r>
              <w:rPr>
                <w:rFonts w:hint="eastAsia" w:ascii="Times New Roman" w:hAnsi="Times New Roman" w:eastAsia="宋体" w:cs="Times New Roman"/>
                <w:color w:val="auto"/>
                <w:kern w:val="0"/>
                <w:sz w:val="20"/>
                <w:szCs w:val="20"/>
              </w:rPr>
              <w:t>01</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82</w:t>
            </w:r>
            <w:r>
              <w:rPr>
                <w:rFonts w:ascii="Times New Roman" w:hAnsi="Times New Roman" w:eastAsia="宋体" w:cs="Times New Roman"/>
                <w:color w:val="auto"/>
                <w:kern w:val="0"/>
                <w:sz w:val="20"/>
                <w:szCs w:val="20"/>
              </w:rPr>
              <w:t>）</w:t>
            </w:r>
          </w:p>
        </w:tc>
        <w:tc>
          <w:tcPr>
            <w:tcW w:w="839" w:type="dxa"/>
            <w:tcBorders>
              <w:top w:val="nil"/>
              <w:left w:val="nil"/>
              <w:bottom w:val="nil"/>
              <w:right w:val="nil"/>
            </w:tcBorders>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w:t>
            </w:r>
            <w:r>
              <w:rPr>
                <w:rFonts w:ascii="Times New Roman" w:hAnsi="Times New Roman" w:eastAsia="宋体" w:cs="Times New Roman"/>
                <w:b/>
                <w:bCs/>
                <w:color w:val="auto"/>
                <w:kern w:val="0"/>
                <w:sz w:val="20"/>
                <w:szCs w:val="20"/>
              </w:rPr>
              <w:t>0.05</w:t>
            </w:r>
          </w:p>
        </w:tc>
        <w:tc>
          <w:tcPr>
            <w:tcW w:w="1365"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28</w:t>
            </w:r>
            <w:r>
              <w:rPr>
                <w:rFonts w:ascii="Times New Roman" w:hAnsi="Times New Roman" w:eastAsia="宋体" w:cs="Times New Roman"/>
                <w:color w:val="auto"/>
                <w:kern w:val="0"/>
                <w:sz w:val="20"/>
                <w:szCs w:val="20"/>
              </w:rPr>
              <w:t>（0.9</w:t>
            </w:r>
            <w:r>
              <w:rPr>
                <w:rFonts w:hint="eastAsia" w:ascii="Times New Roman" w:hAnsi="Times New Roman" w:eastAsia="宋体" w:cs="Times New Roman"/>
                <w:color w:val="auto"/>
                <w:kern w:val="0"/>
                <w:sz w:val="20"/>
                <w:szCs w:val="20"/>
              </w:rPr>
              <w:t>3</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75</w:t>
            </w:r>
            <w:r>
              <w:rPr>
                <w:rFonts w:ascii="Times New Roman" w:hAnsi="Times New Roman" w:eastAsia="宋体" w:cs="Times New Roman"/>
                <w:color w:val="auto"/>
                <w:kern w:val="0"/>
                <w:sz w:val="20"/>
                <w:szCs w:val="20"/>
              </w:rPr>
              <w:t>）</w:t>
            </w:r>
          </w:p>
        </w:tc>
        <w:tc>
          <w:tcPr>
            <w:tcW w:w="78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13</w:t>
            </w:r>
          </w:p>
        </w:tc>
        <w:tc>
          <w:tcPr>
            <w:tcW w:w="1327"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1.2</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79</w:t>
            </w: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rPr>
              <w:t>9</w:t>
            </w:r>
            <w:r>
              <w:rPr>
                <w:rFonts w:hint="eastAsia" w:ascii="Times New Roman" w:hAnsi="Times New Roman" w:eastAsia="宋体" w:cs="Times New Roman"/>
                <w:color w:val="auto"/>
                <w:kern w:val="0"/>
                <w:sz w:val="20"/>
                <w:szCs w:val="20"/>
                <w:lang w:val="en-US" w:eastAsia="zh-CN"/>
              </w:rPr>
              <w:t>3</w:t>
            </w:r>
            <w:r>
              <w:rPr>
                <w:rFonts w:ascii="Times New Roman" w:hAnsi="Times New Roman" w:eastAsia="宋体" w:cs="Times New Roman"/>
                <w:color w:val="auto"/>
                <w:kern w:val="0"/>
                <w:sz w:val="20"/>
                <w:szCs w:val="20"/>
              </w:rPr>
              <w:t>）</w:t>
            </w:r>
          </w:p>
        </w:tc>
        <w:tc>
          <w:tcPr>
            <w:tcW w:w="788" w:type="dxa"/>
            <w:tcBorders>
              <w:top w:val="nil"/>
              <w:left w:val="nil"/>
              <w:bottom w:val="nil"/>
              <w:right w:val="nil"/>
            </w:tcBorders>
            <w:vAlign w:val="top"/>
          </w:tcPr>
          <w:p>
            <w:pPr>
              <w:keepNext w:val="0"/>
              <w:keepLines w:val="0"/>
              <w:pageBreakBefore w:val="0"/>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0.3</w:t>
            </w:r>
            <w:r>
              <w:rPr>
                <w:rFonts w:hint="eastAsia" w:ascii="Times New Roman" w:hAnsi="Times New Roman" w:eastAsia="宋体" w:cs="Times New Roman"/>
                <w:color w:val="auto"/>
                <w:kern w:val="0"/>
                <w:sz w:val="20"/>
                <w:szCs w:val="20"/>
                <w:lang w:val="en-US" w:eastAsia="zh-CN"/>
              </w:rPr>
              <w:t>6</w:t>
            </w:r>
          </w:p>
        </w:tc>
        <w:tc>
          <w:tcPr>
            <w:tcW w:w="1350"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ascii="Times New Roman" w:hAnsi="Times New Roman" w:eastAsia="宋体" w:cs="Times New Roman"/>
                <w:color w:val="auto"/>
                <w:kern w:val="0"/>
                <w:sz w:val="20"/>
                <w:szCs w:val="20"/>
              </w:rPr>
            </w:pPr>
            <w:r>
              <w:rPr>
                <w:rFonts w:ascii="Times New Roman" w:hAnsi="Times New Roman" w:eastAsia="宋体" w:cs="Times New Roman"/>
                <w:color w:val="auto"/>
                <w:kern w:val="0"/>
                <w:sz w:val="20"/>
                <w:szCs w:val="20"/>
              </w:rPr>
              <w:t>1.</w:t>
            </w:r>
            <w:r>
              <w:rPr>
                <w:rFonts w:hint="eastAsia" w:ascii="Times New Roman" w:hAnsi="Times New Roman" w:eastAsia="宋体" w:cs="Times New Roman"/>
                <w:color w:val="auto"/>
                <w:kern w:val="0"/>
                <w:sz w:val="20"/>
                <w:szCs w:val="20"/>
                <w:lang w:val="en-US" w:eastAsia="zh-CN"/>
              </w:rPr>
              <w:t>08</w:t>
            </w: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6</w:t>
            </w:r>
            <w:r>
              <w:rPr>
                <w:rFonts w:hint="eastAsia" w:ascii="Times New Roman" w:hAnsi="Times New Roman" w:eastAsia="宋体" w:cs="Times New Roman"/>
                <w:color w:val="auto"/>
                <w:kern w:val="0"/>
                <w:sz w:val="20"/>
                <w:szCs w:val="20"/>
                <w:lang w:val="en-US" w:eastAsia="zh-CN"/>
              </w:rPr>
              <w:t>8</w:t>
            </w:r>
            <w:r>
              <w:rPr>
                <w:rFonts w:ascii="Times New Roman" w:hAnsi="Times New Roman" w:eastAsia="宋体" w:cs="Times New Roman"/>
                <w:color w:val="auto"/>
                <w:kern w:val="0"/>
                <w:sz w:val="20"/>
                <w:szCs w:val="20"/>
              </w:rPr>
              <w:t>-1.7</w:t>
            </w:r>
            <w:r>
              <w:rPr>
                <w:rFonts w:hint="eastAsia" w:ascii="Times New Roman" w:hAnsi="Times New Roman" w:eastAsia="宋体" w:cs="Times New Roman"/>
                <w:color w:val="auto"/>
                <w:kern w:val="0"/>
                <w:sz w:val="20"/>
                <w:szCs w:val="20"/>
                <w:lang w:val="en-US" w:eastAsia="zh-CN"/>
              </w:rPr>
              <w:t>4</w:t>
            </w:r>
            <w:r>
              <w:rPr>
                <w:rFonts w:ascii="Times New Roman" w:hAnsi="Times New Roman" w:eastAsia="宋体" w:cs="Times New Roman"/>
                <w:color w:val="auto"/>
                <w:kern w:val="0"/>
                <w:sz w:val="20"/>
                <w:szCs w:val="20"/>
              </w:rPr>
              <w:t>）</w:t>
            </w:r>
          </w:p>
        </w:tc>
        <w:tc>
          <w:tcPr>
            <w:tcW w:w="787" w:type="dxa"/>
            <w:tcBorders>
              <w:top w:val="nil"/>
              <w:left w:val="nil"/>
              <w:bottom w:val="nil"/>
              <w:right w:val="nil"/>
            </w:tcBorders>
          </w:tcPr>
          <w:p>
            <w:pPr>
              <w:keepNext w:val="0"/>
              <w:keepLines w:val="0"/>
              <w:pageBreakBefore w:val="0"/>
              <w:widowControl/>
              <w:kinsoku/>
              <w:wordWrap/>
              <w:overflowPunct/>
              <w:topLinePunct w:val="0"/>
              <w:bidi w:val="0"/>
              <w:snapToGrid/>
              <w:spacing w:line="240" w:lineRule="auto"/>
              <w:jc w:val="left"/>
              <w:textAlignment w:val="auto"/>
              <w:rPr>
                <w:rFonts w:hint="eastAsia" w:ascii="Times New Roman" w:hAnsi="Times New Roman" w:eastAsia="宋体" w:cs="Times New Roman"/>
                <w:color w:val="auto"/>
                <w:kern w:val="0"/>
                <w:sz w:val="20"/>
                <w:szCs w:val="20"/>
                <w:lang w:val="en-US" w:eastAsia="zh-CN"/>
              </w:rPr>
            </w:pPr>
            <w:r>
              <w:rPr>
                <w:rFonts w:ascii="Times New Roman" w:hAnsi="Times New Roman" w:eastAsia="宋体" w:cs="Times New Roman"/>
                <w:color w:val="auto"/>
                <w:kern w:val="0"/>
                <w:sz w:val="20"/>
                <w:szCs w:val="20"/>
              </w:rPr>
              <w:t>0.</w:t>
            </w: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4</w:t>
            </w:r>
          </w:p>
        </w:tc>
      </w:tr>
    </w:tbl>
    <w:p>
      <w:pPr>
        <w:keepNext w:val="0"/>
        <w:keepLines w:val="0"/>
        <w:pageBreakBefore w:val="0"/>
        <w:kinsoku/>
        <w:wordWrap/>
        <w:overflowPunct/>
        <w:topLinePunct w:val="0"/>
        <w:bidi w:val="0"/>
        <w:snapToGrid/>
        <w:spacing w:line="240" w:lineRule="auto"/>
        <w:textAlignment w:val="auto"/>
        <w:rPr>
          <w:rFonts w:ascii="Times New Roman" w:hAnsi="Times New Roman" w:eastAsia="宋体" w:cs="Times New Roman"/>
          <w:color w:val="auto"/>
          <w:sz w:val="20"/>
          <w:szCs w:val="20"/>
        </w:rPr>
      </w:pPr>
      <w:r>
        <w:rPr>
          <w:rFonts w:ascii="Times New Roman" w:hAnsi="Times New Roman" w:eastAsia="宋体" w:cs="Times New Roman"/>
          <w:color w:val="auto"/>
          <w:sz w:val="20"/>
          <w:szCs w:val="20"/>
        </w:rPr>
        <w:t>Abbreviations: ECOG PS, Eastern Cooperative Oncology Group performance status; ICI, immune checkpoint inhibitor; irAE, immune-related adverse event; PD-L1, programmed death-ligand 1; PD-1, programmed cell death protein 1.</w:t>
      </w:r>
    </w:p>
    <w:p>
      <w:pPr>
        <w:keepNext w:val="0"/>
        <w:keepLines w:val="0"/>
        <w:pageBreakBefore w:val="0"/>
        <w:kinsoku/>
        <w:wordWrap/>
        <w:overflowPunct/>
        <w:topLinePunct w:val="0"/>
        <w:bidi w:val="0"/>
        <w:snapToGrid/>
        <w:spacing w:line="240" w:lineRule="auto"/>
        <w:textAlignment w:val="auto"/>
        <w:rPr>
          <w:rFonts w:hint="eastAsia" w:ascii="Times New Roman" w:hAnsi="Times New Roman" w:eastAsia="宋体" w:cs="Times New Roman"/>
          <w:color w:val="auto"/>
          <w:sz w:val="20"/>
          <w:szCs w:val="20"/>
        </w:rPr>
      </w:pPr>
      <w:r>
        <w:rPr>
          <w:rFonts w:hint="eastAsia" w:ascii="Times New Roman" w:hAnsi="Times New Roman" w:eastAsia="宋体" w:cs="Times New Roman"/>
          <w:color w:val="auto"/>
          <w:sz w:val="20"/>
          <w:szCs w:val="20"/>
          <w:vertAlign w:val="superscript"/>
        </w:rPr>
        <w:t xml:space="preserve">a </w:t>
      </w:r>
      <w:r>
        <w:rPr>
          <w:rFonts w:hint="eastAsia" w:ascii="Times New Roman" w:hAnsi="Times New Roman" w:eastAsia="宋体" w:cs="Times New Roman"/>
          <w:color w:val="auto"/>
          <w:sz w:val="20"/>
          <w:szCs w:val="20"/>
        </w:rPr>
        <w:t>Categorical and continuous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variables were compared using χ2</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and Kruskal-Wallis tests,</w:t>
      </w:r>
      <w:r>
        <w:rPr>
          <w:rFonts w:hint="eastAsia" w:ascii="Times New Roman" w:hAnsi="Times New Roman" w:eastAsia="宋体" w:cs="Times New Roman"/>
          <w:color w:val="auto"/>
          <w:sz w:val="20"/>
          <w:szCs w:val="20"/>
          <w:lang w:val="en-US" w:eastAsia="zh-CN"/>
        </w:rPr>
        <w:t xml:space="preserve"> </w:t>
      </w:r>
      <w:r>
        <w:rPr>
          <w:rFonts w:hint="eastAsia" w:ascii="Times New Roman" w:hAnsi="Times New Roman" w:eastAsia="宋体" w:cs="Times New Roman"/>
          <w:color w:val="auto"/>
          <w:sz w:val="20"/>
          <w:szCs w:val="20"/>
        </w:rPr>
        <w:t>respectively.</w:t>
      </w:r>
    </w:p>
    <w:p>
      <w:pPr>
        <w:keepNext w:val="0"/>
        <w:keepLines w:val="0"/>
        <w:pageBreakBefore w:val="0"/>
        <w:kinsoku/>
        <w:wordWrap/>
        <w:overflowPunct/>
        <w:topLinePunct w:val="0"/>
        <w:bidi w:val="0"/>
        <w:snapToGrid/>
        <w:spacing w:line="240" w:lineRule="auto"/>
        <w:textAlignment w:val="auto"/>
        <w:rPr>
          <w:rFonts w:hint="eastAsia" w:ascii="Times New Roman" w:hAnsi="Times New Roman" w:eastAsia="宋体" w:cs="Times New Roman"/>
          <w:color w:val="auto"/>
          <w:sz w:val="20"/>
          <w:szCs w:val="20"/>
        </w:rPr>
      </w:pPr>
    </w:p>
    <w:p>
      <w:pPr>
        <w:spacing w:line="240" w:lineRule="auto"/>
        <w:rPr>
          <w:rFonts w:hint="default"/>
          <w:b/>
          <w:bCs/>
          <w:color w:val="auto"/>
          <w:sz w:val="20"/>
          <w:szCs w:val="20"/>
          <w:lang w:val="en-US"/>
        </w:rPr>
      </w:pPr>
      <w:r>
        <w:rPr>
          <w:rFonts w:hint="eastAsia" w:ascii="Times New Roman" w:hAnsi="Times New Roman" w:cs="Times New Roman"/>
          <w:b/>
          <w:bCs/>
          <w:color w:val="auto"/>
          <w:sz w:val="20"/>
          <w:szCs w:val="20"/>
          <w:lang w:val="en-US" w:eastAsia="zh-CN"/>
        </w:rPr>
        <w:t>e</w:t>
      </w:r>
      <w:r>
        <w:rPr>
          <w:rFonts w:hint="default" w:ascii="Times New Roman" w:hAnsi="Times New Roman" w:cs="Times New Roman"/>
          <w:b/>
          <w:bCs/>
          <w:color w:val="auto"/>
          <w:sz w:val="20"/>
          <w:szCs w:val="20"/>
        </w:rPr>
        <w:t xml:space="preserve">Table </w:t>
      </w:r>
      <w:r>
        <w:rPr>
          <w:rFonts w:hint="eastAsia" w:ascii="Times New Roman" w:hAnsi="Times New Roman" w:cs="Times New Roman"/>
          <w:b/>
          <w:bCs/>
          <w:color w:val="auto"/>
          <w:sz w:val="20"/>
          <w:szCs w:val="20"/>
          <w:lang w:val="en-US" w:eastAsia="zh-CN"/>
        </w:rPr>
        <w:t>7</w:t>
      </w:r>
      <w:r>
        <w:rPr>
          <w:rFonts w:hint="default" w:ascii="Times New Roman" w:hAnsi="Times New Roman" w:cs="Times New Roman"/>
          <w:b/>
          <w:bCs/>
          <w:color w:val="auto"/>
          <w:sz w:val="20"/>
          <w:szCs w:val="20"/>
        </w:rPr>
        <w:t xml:space="preserve"> </w:t>
      </w:r>
      <w:r>
        <w:rPr>
          <w:rFonts w:hint="default" w:ascii="Times New Roman" w:hAnsi="Times New Roman" w:cs="Times New Roman"/>
          <w:b/>
          <w:bCs/>
          <w:color w:val="auto"/>
          <w:sz w:val="20"/>
          <w:szCs w:val="20"/>
          <w:lang w:val="en-US" w:eastAsia="zh-CN"/>
        </w:rPr>
        <w:t xml:space="preserve"> </w:t>
      </w:r>
      <w:r>
        <w:rPr>
          <w:rFonts w:hint="eastAsia" w:ascii="Times New Roman" w:hAnsi="Times New Roman" w:eastAsia="宋体" w:cs="Times New Roman"/>
          <w:b/>
          <w:bCs/>
          <w:color w:val="auto"/>
          <w:kern w:val="0"/>
          <w:sz w:val="20"/>
          <w:szCs w:val="20"/>
          <w:lang w:val="en-US" w:eastAsia="zh-CN" w:bidi="ar"/>
        </w:rPr>
        <w:t>P</w:t>
      </w:r>
      <w:r>
        <w:rPr>
          <w:rFonts w:hint="default" w:ascii="Times New Roman" w:hAnsi="Times New Roman" w:eastAsia="宋体" w:cs="Times New Roman"/>
          <w:b/>
          <w:bCs/>
          <w:color w:val="auto"/>
          <w:kern w:val="0"/>
          <w:sz w:val="20"/>
          <w:szCs w:val="20"/>
          <w:lang w:val="en-US" w:eastAsia="zh-CN" w:bidi="ar"/>
        </w:rPr>
        <w:t>rognosis</w:t>
      </w:r>
      <w:r>
        <w:rPr>
          <w:rFonts w:hint="eastAsia" w:ascii="Times New Roman" w:hAnsi="Times New Roman" w:cs="Times New Roman"/>
          <w:b/>
          <w:bCs/>
          <w:color w:val="auto"/>
          <w:sz w:val="20"/>
          <w:szCs w:val="20"/>
          <w:lang w:val="en-US" w:eastAsia="zh-CN"/>
        </w:rPr>
        <w:t xml:space="preserve"> of patients with </w:t>
      </w:r>
      <w:r>
        <w:rPr>
          <w:rFonts w:hint="default" w:ascii="Arial" w:hAnsi="Arial" w:cs="Arial"/>
          <w:b/>
          <w:bCs/>
          <w:color w:val="auto"/>
          <w:sz w:val="20"/>
          <w:szCs w:val="20"/>
          <w:lang w:val="en-US" w:eastAsia="zh-CN"/>
        </w:rPr>
        <w:t>≥</w:t>
      </w:r>
      <w:r>
        <w:rPr>
          <w:rFonts w:hint="default" w:ascii="Times New Roman" w:hAnsi="Times New Roman" w:cs="Times New Roman"/>
          <w:b/>
          <w:bCs/>
          <w:color w:val="auto"/>
          <w:sz w:val="20"/>
          <w:szCs w:val="20"/>
          <w:lang w:val="en-US" w:eastAsia="zh-CN"/>
        </w:rPr>
        <w:t xml:space="preserve"> </w:t>
      </w:r>
      <w:r>
        <w:rPr>
          <w:rFonts w:hint="default" w:ascii="Times New Roman" w:hAnsi="Times New Roman" w:eastAsia="宋体" w:cs="Times New Roman"/>
          <w:b/>
          <w:bCs/>
          <w:color w:val="auto"/>
          <w:kern w:val="0"/>
          <w:sz w:val="20"/>
          <w:szCs w:val="20"/>
          <w:lang w:val="en-US" w:eastAsia="zh-CN" w:bidi="ar"/>
        </w:rPr>
        <w:t>Grade 3</w:t>
      </w:r>
      <w:r>
        <w:rPr>
          <w:rFonts w:hint="eastAsia" w:ascii="Times New Roman" w:hAnsi="Times New Roman" w:eastAsia="宋体" w:cs="Times New Roman"/>
          <w:b/>
          <w:bCs/>
          <w:color w:val="auto"/>
          <w:kern w:val="0"/>
          <w:sz w:val="20"/>
          <w:szCs w:val="20"/>
          <w:lang w:val="en-US" w:eastAsia="zh-CN" w:bidi="ar"/>
        </w:rPr>
        <w:t xml:space="preserve"> </w:t>
      </w:r>
      <w:r>
        <w:rPr>
          <w:rFonts w:hint="default" w:ascii="Times New Roman" w:hAnsi="Times New Roman" w:eastAsia="宋体" w:cs="Times New Roman"/>
          <w:b/>
          <w:bCs/>
          <w:color w:val="auto"/>
          <w:kern w:val="0"/>
          <w:sz w:val="20"/>
          <w:szCs w:val="20"/>
          <w:lang w:val="en-US" w:eastAsia="zh-CN" w:bidi="ar"/>
        </w:rPr>
        <w:t>irAEs</w:t>
      </w:r>
      <w:r>
        <w:rPr>
          <w:rFonts w:hint="eastAsia" w:ascii="Times New Roman" w:hAnsi="Times New Roman" w:cs="Times New Roman"/>
          <w:b/>
          <w:bCs/>
          <w:color w:val="auto"/>
          <w:sz w:val="20"/>
          <w:szCs w:val="20"/>
          <w:lang w:val="en-US" w:eastAsia="zh-CN"/>
        </w:rPr>
        <w:t>.</w:t>
      </w:r>
    </w:p>
    <w:tbl>
      <w:tblPr>
        <w:tblStyle w:val="4"/>
        <w:tblW w:w="908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7"/>
        <w:gridCol w:w="878"/>
        <w:gridCol w:w="645"/>
        <w:gridCol w:w="997"/>
        <w:gridCol w:w="675"/>
        <w:gridCol w:w="1208"/>
        <w:gridCol w:w="1545"/>
        <w:gridCol w:w="142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1707" w:type="dxa"/>
            <w:vMerge w:val="restart"/>
          </w:tcPr>
          <w:p>
            <w:pPr>
              <w:ind w:left="0" w:leftChars="0" w:firstLine="0" w:firstLineChars="0"/>
              <w:rPr>
                <w:rFonts w:hint="default" w:ascii="Times New Roman" w:hAnsi="Times New Roman" w:cs="Times New Roman"/>
                <w:color w:val="auto"/>
                <w:sz w:val="20"/>
                <w:szCs w:val="20"/>
              </w:rPr>
            </w:pPr>
            <w:r>
              <w:rPr>
                <w:rFonts w:hint="default" w:ascii="Times New Roman" w:hAnsi="Times New Roman" w:cs="Times New Roman"/>
                <w:color w:val="auto"/>
                <w:sz w:val="20"/>
                <w:szCs w:val="20"/>
              </w:rPr>
              <w:t>Observed</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rPr>
              <w:t>indicators</w:t>
            </w:r>
          </w:p>
        </w:tc>
        <w:tc>
          <w:tcPr>
            <w:tcW w:w="7373" w:type="dxa"/>
            <w:gridSpan w:val="7"/>
            <w:tcBorders>
              <w:bottom w:val="single" w:color="auto" w:sz="4" w:space="0"/>
            </w:tcBorders>
          </w:tcPr>
          <w:p>
            <w:pPr>
              <w:jc w:val="center"/>
              <w:rPr>
                <w:rFonts w:hint="default" w:ascii="Times New Roman" w:hAnsi="Times New Roman" w:cs="Times New Roman" w:eastAsiaTheme="minorEastAsia"/>
                <w:color w:val="auto"/>
                <w:sz w:val="20"/>
                <w:szCs w:val="20"/>
                <w:lang w:val="en-US" w:eastAsia="zh-CN"/>
              </w:rPr>
            </w:pPr>
            <w:r>
              <w:rPr>
                <w:rFonts w:hint="eastAsia" w:ascii="Times New Roman" w:hAnsi="Times New Roman" w:cs="Times New Roman"/>
                <w:color w:val="auto"/>
                <w:sz w:val="20"/>
                <w:szCs w:val="20"/>
                <w:lang w:val="en-US" w:eastAsia="zh-CN"/>
              </w:rPr>
              <w:t>Patients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1707" w:type="dxa"/>
            <w:vMerge w:val="continue"/>
            <w:tcBorders>
              <w:bottom w:val="single" w:color="auto" w:sz="4" w:space="0"/>
            </w:tcBorders>
          </w:tcPr>
          <w:p>
            <w:pPr>
              <w:rPr>
                <w:color w:val="auto"/>
              </w:rPr>
            </w:pPr>
          </w:p>
        </w:tc>
        <w:tc>
          <w:tcPr>
            <w:tcW w:w="878" w:type="dxa"/>
            <w:tcBorders>
              <w:bottom w:val="single" w:color="auto" w:sz="4" w:space="0"/>
            </w:tcBorders>
            <w:vAlign w:val="top"/>
          </w:tcPr>
          <w:p>
            <w:pPr>
              <w:rPr>
                <w:rFonts w:hint="eastAsia" w:ascii="Times New Roman" w:hAnsi="Times New Roman" w:cs="Times New Roman"/>
                <w:color w:val="auto"/>
                <w:sz w:val="20"/>
                <w:szCs w:val="20"/>
                <w:lang w:val="en-US" w:eastAsia="zh-CN"/>
              </w:rPr>
            </w:pPr>
            <w:r>
              <w:rPr>
                <w:rFonts w:hint="eastAsia" w:ascii="Times New Roman" w:hAnsi="Times New Roman" w:cs="Times New Roman"/>
                <w:color w:val="auto"/>
                <w:sz w:val="20"/>
                <w:szCs w:val="20"/>
                <w:lang w:val="en-US" w:eastAsia="zh-CN"/>
              </w:rPr>
              <w:t>1</w:t>
            </w:r>
          </w:p>
        </w:tc>
        <w:tc>
          <w:tcPr>
            <w:tcW w:w="645" w:type="dxa"/>
            <w:tcBorders>
              <w:bottom w:val="single" w:color="auto" w:sz="4" w:space="0"/>
            </w:tcBorders>
            <w:vAlign w:val="top"/>
          </w:tcPr>
          <w:p>
            <w:pPr>
              <w:rPr>
                <w:rFonts w:hint="eastAsia" w:ascii="Times New Roman" w:hAnsi="Times New Roman" w:cs="Times New Roman"/>
                <w:color w:val="auto"/>
                <w:sz w:val="20"/>
                <w:szCs w:val="20"/>
                <w:lang w:val="en-US" w:eastAsia="zh-CN"/>
              </w:rPr>
            </w:pPr>
            <w:r>
              <w:rPr>
                <w:rFonts w:hint="eastAsia" w:ascii="Times New Roman" w:hAnsi="Times New Roman" w:cs="Times New Roman"/>
                <w:color w:val="auto"/>
                <w:sz w:val="20"/>
                <w:szCs w:val="20"/>
                <w:lang w:val="en-US" w:eastAsia="zh-CN"/>
              </w:rPr>
              <w:t>2</w:t>
            </w:r>
          </w:p>
        </w:tc>
        <w:tc>
          <w:tcPr>
            <w:tcW w:w="997" w:type="dxa"/>
            <w:tcBorders>
              <w:bottom w:val="single" w:color="auto" w:sz="4" w:space="0"/>
            </w:tcBorders>
            <w:vAlign w:val="top"/>
          </w:tcPr>
          <w:p>
            <w:pPr>
              <w:rPr>
                <w:rFonts w:hint="eastAsia" w:ascii="Times New Roman" w:hAnsi="Times New Roman" w:cs="Times New Roman"/>
                <w:color w:val="auto"/>
                <w:sz w:val="20"/>
                <w:szCs w:val="20"/>
                <w:lang w:val="en-US" w:eastAsia="zh-CN"/>
              </w:rPr>
            </w:pPr>
            <w:r>
              <w:rPr>
                <w:rFonts w:hint="eastAsia" w:ascii="Times New Roman" w:hAnsi="Times New Roman" w:cs="Times New Roman"/>
                <w:color w:val="auto"/>
                <w:sz w:val="20"/>
                <w:szCs w:val="20"/>
                <w:lang w:val="en-US" w:eastAsia="zh-CN"/>
              </w:rPr>
              <w:t>3</w:t>
            </w:r>
          </w:p>
        </w:tc>
        <w:tc>
          <w:tcPr>
            <w:tcW w:w="675" w:type="dxa"/>
            <w:tcBorders>
              <w:bottom w:val="single" w:color="auto" w:sz="4" w:space="0"/>
            </w:tcBorders>
            <w:vAlign w:val="top"/>
          </w:tcPr>
          <w:p>
            <w:pPr>
              <w:rPr>
                <w:rFonts w:hint="eastAsia" w:ascii="Times New Roman" w:hAnsi="Times New Roman" w:cs="Times New Roman"/>
                <w:color w:val="auto"/>
                <w:sz w:val="20"/>
                <w:szCs w:val="20"/>
                <w:lang w:val="en-US" w:eastAsia="zh-CN"/>
              </w:rPr>
            </w:pPr>
            <w:r>
              <w:rPr>
                <w:rFonts w:hint="eastAsia" w:ascii="Times New Roman" w:hAnsi="Times New Roman" w:cs="Times New Roman"/>
                <w:color w:val="auto"/>
                <w:sz w:val="20"/>
                <w:szCs w:val="20"/>
                <w:lang w:eastAsia="zh-CN"/>
              </w:rPr>
              <w:t>4</w:t>
            </w:r>
          </w:p>
        </w:tc>
        <w:tc>
          <w:tcPr>
            <w:tcW w:w="1208" w:type="dxa"/>
            <w:tcBorders>
              <w:bottom w:val="single" w:color="auto" w:sz="4" w:space="0"/>
            </w:tcBorders>
            <w:vAlign w:val="top"/>
          </w:tcPr>
          <w:p>
            <w:pPr>
              <w:rPr>
                <w:rFonts w:hint="eastAsia" w:ascii="Times New Roman" w:hAnsi="Times New Roman" w:cs="Times New Roman"/>
                <w:color w:val="auto"/>
                <w:sz w:val="20"/>
                <w:szCs w:val="20"/>
                <w:lang w:val="en-US" w:eastAsia="zh-CN"/>
              </w:rPr>
            </w:pPr>
            <w:r>
              <w:rPr>
                <w:rFonts w:hint="eastAsia" w:ascii="Times New Roman" w:hAnsi="Times New Roman" w:cs="Times New Roman"/>
                <w:color w:val="auto"/>
                <w:sz w:val="20"/>
                <w:szCs w:val="20"/>
                <w:lang w:val="en-US" w:eastAsia="zh-CN"/>
              </w:rPr>
              <w:t>5</w:t>
            </w:r>
          </w:p>
        </w:tc>
        <w:tc>
          <w:tcPr>
            <w:tcW w:w="1545" w:type="dxa"/>
            <w:tcBorders>
              <w:bottom w:val="single" w:color="auto" w:sz="4" w:space="0"/>
            </w:tcBorders>
            <w:vAlign w:val="top"/>
          </w:tcPr>
          <w:p>
            <w:pPr>
              <w:rPr>
                <w:rFonts w:hint="eastAsia" w:ascii="Times New Roman" w:hAnsi="Times New Roman" w:cs="Times New Roman"/>
                <w:color w:val="auto"/>
                <w:sz w:val="20"/>
                <w:szCs w:val="20"/>
                <w:lang w:val="en-US" w:eastAsia="zh-CN"/>
              </w:rPr>
            </w:pPr>
            <w:r>
              <w:rPr>
                <w:rFonts w:hint="eastAsia" w:ascii="Times New Roman" w:hAnsi="Times New Roman" w:cs="Times New Roman"/>
                <w:color w:val="auto"/>
                <w:sz w:val="20"/>
                <w:szCs w:val="20"/>
                <w:lang w:val="en-US" w:eastAsia="zh-CN"/>
              </w:rPr>
              <w:t>6</w:t>
            </w:r>
          </w:p>
        </w:tc>
        <w:tc>
          <w:tcPr>
            <w:tcW w:w="1425" w:type="dxa"/>
            <w:tcBorders>
              <w:bottom w:val="single" w:color="auto" w:sz="4" w:space="0"/>
            </w:tcBorders>
            <w:vAlign w:val="top"/>
          </w:tcPr>
          <w:p>
            <w:pPr>
              <w:rPr>
                <w:rFonts w:hint="default" w:ascii="Times New Roman" w:hAnsi="Times New Roman" w:cs="Times New Roman"/>
                <w:color w:val="auto"/>
                <w:sz w:val="20"/>
                <w:szCs w:val="20"/>
                <w:lang w:val="en-US" w:eastAsia="zh-CN"/>
              </w:rPr>
            </w:pPr>
            <w:r>
              <w:rPr>
                <w:rFonts w:hint="eastAsia" w:ascii="Times New Roman" w:hAnsi="Times New Roman" w:cs="Times New Roman"/>
                <w:color w:val="auto"/>
                <w:sz w:val="20"/>
                <w:szCs w:val="20"/>
                <w:lang w:val="en-US" w:eastAsia="zh-CN"/>
              </w:rPr>
              <w:t>All patients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7" w:type="dxa"/>
          </w:tcPr>
          <w:p>
            <w:pPr>
              <w:ind w:firstLine="0" w:firstLineChars="0"/>
              <w:rPr>
                <w:rFonts w:hint="default" w:ascii="Times New Roman" w:hAnsi="Times New Roman" w:cs="Times New Roman"/>
                <w:color w:val="auto"/>
                <w:sz w:val="20"/>
                <w:szCs w:val="20"/>
                <w:lang w:val="en-US"/>
              </w:rPr>
            </w:pPr>
            <w:r>
              <w:rPr>
                <w:rFonts w:hint="eastAsia" w:ascii="Times New Roman" w:hAnsi="Times New Roman" w:cs="Times New Roman"/>
                <w:color w:val="auto"/>
                <w:sz w:val="20"/>
                <w:szCs w:val="20"/>
                <w:lang w:val="en-US" w:eastAsia="zh-CN"/>
              </w:rPr>
              <w:t>Type of irAEs</w:t>
            </w:r>
          </w:p>
        </w:tc>
        <w:tc>
          <w:tcPr>
            <w:tcW w:w="878" w:type="dxa"/>
            <w:vAlign w:val="top"/>
          </w:tcPr>
          <w:p>
            <w:pPr>
              <w:rPr>
                <w:rFonts w:hint="default" w:ascii="Times New Roman" w:hAnsi="Times New Roman" w:cs="Times New Roman"/>
                <w:b w:val="0"/>
                <w:bCs w:val="0"/>
                <w:color w:val="auto"/>
                <w:sz w:val="20"/>
                <w:szCs w:val="20"/>
                <w:lang w:val="en-US" w:eastAsia="zh-CN"/>
              </w:rPr>
            </w:pPr>
            <w:r>
              <w:rPr>
                <w:rFonts w:hint="default" w:ascii="Times New Roman" w:hAnsi="Times New Roman" w:eastAsia="Times New Roman" w:cs="Times New Roman"/>
                <w:color w:val="auto"/>
                <w:sz w:val="20"/>
                <w:szCs w:val="20"/>
              </w:rPr>
              <w:t xml:space="preserve">liver disease </w:t>
            </w:r>
          </w:p>
        </w:tc>
        <w:tc>
          <w:tcPr>
            <w:tcW w:w="645" w:type="dxa"/>
            <w:vAlign w:val="top"/>
          </w:tcPr>
          <w:p>
            <w:pPr>
              <w:rPr>
                <w:rFonts w:hint="default" w:ascii="Times New Roman" w:hAnsi="Times New Roman" w:cs="Times New Roman"/>
                <w:b w:val="0"/>
                <w:bCs w:val="0"/>
                <w:color w:val="auto"/>
                <w:sz w:val="20"/>
                <w:szCs w:val="20"/>
                <w:lang w:val="en-US" w:eastAsia="zh-CN"/>
              </w:rPr>
            </w:pPr>
            <w:r>
              <w:rPr>
                <w:rFonts w:hint="default" w:ascii="Times New Roman" w:hAnsi="Times New Roman" w:eastAsia="Times New Roman" w:cs="Times New Roman"/>
                <w:color w:val="auto"/>
                <w:sz w:val="20"/>
                <w:szCs w:val="20"/>
              </w:rPr>
              <w:t>rash</w:t>
            </w:r>
          </w:p>
        </w:tc>
        <w:tc>
          <w:tcPr>
            <w:tcW w:w="997" w:type="dxa"/>
            <w:vAlign w:val="top"/>
          </w:tcPr>
          <w:p>
            <w:pPr>
              <w:rPr>
                <w:rFonts w:hint="default" w:ascii="Times New Roman" w:hAnsi="Times New Roman" w:cs="Times New Roman"/>
                <w:b w:val="0"/>
                <w:bCs w:val="0"/>
                <w:color w:val="auto"/>
                <w:sz w:val="20"/>
                <w:szCs w:val="20"/>
                <w:lang w:val="en-US" w:eastAsia="zh-CN"/>
              </w:rPr>
            </w:pPr>
            <w:r>
              <w:rPr>
                <w:rFonts w:hint="default" w:ascii="Times New Roman" w:hAnsi="Times New Roman" w:eastAsia="Times New Roman" w:cs="Times New Roman"/>
                <w:color w:val="auto"/>
                <w:sz w:val="20"/>
                <w:szCs w:val="20"/>
              </w:rPr>
              <w:t>mellitus</w:t>
            </w:r>
          </w:p>
        </w:tc>
        <w:tc>
          <w:tcPr>
            <w:tcW w:w="675" w:type="dxa"/>
            <w:vAlign w:val="top"/>
          </w:tcPr>
          <w:p>
            <w:pPr>
              <w:rPr>
                <w:rFonts w:hint="default" w:ascii="Times New Roman" w:hAnsi="Times New Roman" w:cs="Times New Roman"/>
                <w:b w:val="0"/>
                <w:bCs w:val="0"/>
                <w:color w:val="auto"/>
                <w:sz w:val="20"/>
                <w:szCs w:val="20"/>
                <w:lang w:val="en-US" w:eastAsia="zh-CN"/>
              </w:rPr>
            </w:pPr>
            <w:r>
              <w:rPr>
                <w:rFonts w:hint="default" w:ascii="Times New Roman" w:hAnsi="Times New Roman" w:eastAsia="Times New Roman" w:cs="Times New Roman"/>
                <w:color w:val="auto"/>
                <w:sz w:val="20"/>
                <w:szCs w:val="20"/>
              </w:rPr>
              <w:t>rash</w:t>
            </w:r>
          </w:p>
        </w:tc>
        <w:tc>
          <w:tcPr>
            <w:tcW w:w="1208" w:type="dxa"/>
            <w:vAlign w:val="top"/>
          </w:tcPr>
          <w:p>
            <w:pPr>
              <w:rPr>
                <w:rFonts w:hint="default" w:ascii="Times New Roman" w:hAnsi="Times New Roman" w:cs="Times New Roman"/>
                <w:b w:val="0"/>
                <w:bCs w:val="0"/>
                <w:color w:val="auto"/>
                <w:sz w:val="20"/>
                <w:szCs w:val="20"/>
                <w:lang w:val="en-US" w:eastAsia="zh-CN"/>
              </w:rPr>
            </w:pPr>
            <w:r>
              <w:rPr>
                <w:rFonts w:hint="default" w:ascii="Times New Roman" w:hAnsi="Times New Roman" w:eastAsia="Times New Roman" w:cs="Times New Roman"/>
                <w:color w:val="auto"/>
                <w:sz w:val="20"/>
                <w:szCs w:val="20"/>
              </w:rPr>
              <w:t>pneumonitis</w:t>
            </w:r>
          </w:p>
        </w:tc>
        <w:tc>
          <w:tcPr>
            <w:tcW w:w="1545" w:type="dxa"/>
            <w:vAlign w:val="top"/>
          </w:tcPr>
          <w:p>
            <w:pPr>
              <w:rPr>
                <w:rFonts w:hint="default" w:ascii="Times New Roman" w:hAnsi="Times New Roman" w:cs="Times New Roman"/>
                <w:b w:val="0"/>
                <w:bCs w:val="0"/>
                <w:color w:val="auto"/>
                <w:sz w:val="20"/>
                <w:szCs w:val="20"/>
                <w:lang w:val="en-US" w:eastAsia="zh-CN"/>
              </w:rPr>
            </w:pPr>
            <w:r>
              <w:rPr>
                <w:rFonts w:hint="default" w:ascii="Times New Roman" w:hAnsi="Times New Roman" w:cs="Times New Roman"/>
                <w:color w:val="auto"/>
                <w:kern w:val="0"/>
                <w:sz w:val="20"/>
                <w:szCs w:val="20"/>
                <w:lang w:eastAsia="zh-CN"/>
              </w:rPr>
              <w:t>h</w:t>
            </w:r>
            <w:r>
              <w:rPr>
                <w:rFonts w:hint="default" w:ascii="Times New Roman" w:hAnsi="Times New Roman" w:eastAsia="Times New Roman" w:cs="Times New Roman"/>
                <w:color w:val="auto"/>
                <w:kern w:val="0"/>
                <w:sz w:val="20"/>
                <w:szCs w:val="20"/>
              </w:rPr>
              <w:t>yperthyroidism</w:t>
            </w:r>
          </w:p>
        </w:tc>
        <w:tc>
          <w:tcPr>
            <w:tcW w:w="1425" w:type="dxa"/>
            <w:vAlign w:val="top"/>
          </w:tcPr>
          <w:p>
            <w:pPr>
              <w:rPr>
                <w:rFonts w:hint="default" w:ascii="Times New Roman" w:hAnsi="Times New Roman" w:cs="Times New Roman"/>
                <w:color w:val="auto"/>
                <w:kern w:val="0"/>
                <w:sz w:val="20"/>
                <w:szCs w:val="20"/>
                <w:lang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7" w:type="dxa"/>
          </w:tcPr>
          <w:p>
            <w:pPr>
              <w:ind w:firstLine="0" w:firstLineChars="0"/>
              <w:rPr>
                <w:rFonts w:hint="default" w:ascii="Times New Roman" w:hAnsi="Times New Roman" w:cs="Times New Roman" w:eastAsiaTheme="minorEastAsia"/>
                <w:color w:val="auto"/>
                <w:sz w:val="20"/>
                <w:szCs w:val="20"/>
                <w:lang w:val="en-US" w:eastAsia="zh-CN"/>
              </w:rPr>
            </w:pPr>
            <w:r>
              <w:rPr>
                <w:rFonts w:hint="eastAsia" w:ascii="Times New Roman" w:hAnsi="Times New Roman" w:cs="Times New Roman"/>
                <w:color w:val="auto"/>
                <w:sz w:val="20"/>
                <w:szCs w:val="20"/>
                <w:lang w:val="en-US" w:eastAsia="zh-CN"/>
              </w:rPr>
              <w:t>Median PFS (Months)</w:t>
            </w:r>
          </w:p>
        </w:tc>
        <w:tc>
          <w:tcPr>
            <w:tcW w:w="878" w:type="dxa"/>
            <w:vAlign w:val="top"/>
          </w:tcPr>
          <w:p>
            <w:pPr>
              <w:rPr>
                <w:rFonts w:hint="default" w:ascii="Times New Roman" w:hAnsi="Times New Roman" w:cs="Times New Roman" w:eastAsiaTheme="minorEastAsia"/>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10.6</w:t>
            </w:r>
          </w:p>
        </w:tc>
        <w:tc>
          <w:tcPr>
            <w:tcW w:w="645" w:type="dxa"/>
            <w:vAlign w:val="top"/>
          </w:tcPr>
          <w:p>
            <w:pPr>
              <w:rPr>
                <w:rFonts w:hint="default" w:ascii="Times New Roman" w:hAnsi="Times New Roman" w:cs="Times New Roman" w:eastAsiaTheme="minorEastAsia"/>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7.9</w:t>
            </w:r>
          </w:p>
        </w:tc>
        <w:tc>
          <w:tcPr>
            <w:tcW w:w="997" w:type="dxa"/>
            <w:vAlign w:val="top"/>
          </w:tcPr>
          <w:p>
            <w:pPr>
              <w:rPr>
                <w:rFonts w:hint="default"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8.0</w:t>
            </w:r>
          </w:p>
        </w:tc>
        <w:tc>
          <w:tcPr>
            <w:tcW w:w="675" w:type="dxa"/>
            <w:vAlign w:val="top"/>
          </w:tcPr>
          <w:p>
            <w:pPr>
              <w:rPr>
                <w:rFonts w:hint="eastAsia"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6.7</w:t>
            </w:r>
          </w:p>
        </w:tc>
        <w:tc>
          <w:tcPr>
            <w:tcW w:w="1208" w:type="dxa"/>
            <w:vAlign w:val="top"/>
          </w:tcPr>
          <w:p>
            <w:pPr>
              <w:rPr>
                <w:rFonts w:hint="eastAsia"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10.7</w:t>
            </w:r>
          </w:p>
        </w:tc>
        <w:tc>
          <w:tcPr>
            <w:tcW w:w="1545" w:type="dxa"/>
            <w:vAlign w:val="top"/>
          </w:tcPr>
          <w:p>
            <w:pPr>
              <w:rPr>
                <w:rFonts w:hint="eastAsia"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15.3</w:t>
            </w:r>
          </w:p>
        </w:tc>
        <w:tc>
          <w:tcPr>
            <w:tcW w:w="1425" w:type="dxa"/>
            <w:vAlign w:val="top"/>
          </w:tcPr>
          <w:p>
            <w:pPr>
              <w:rPr>
                <w:rFonts w:hint="default"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8.0(4.7-11.2)</w:t>
            </w:r>
            <w:r>
              <w:rPr>
                <w:rFonts w:hint="eastAsia" w:ascii="Times New Roman" w:hAnsi="Times New Roman" w:cs="Times New Roman"/>
                <w:b w:val="0"/>
                <w:bCs w:val="0"/>
                <w:color w:val="auto"/>
                <w:sz w:val="20"/>
                <w:szCs w:val="20"/>
                <w:vertAlign w:val="superscript"/>
                <w:lang w:val="en-US" w:eastAsia="zh-CN"/>
              </w:rPr>
              <w: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7" w:type="dxa"/>
          </w:tcPr>
          <w:p>
            <w:pPr>
              <w:ind w:firstLine="0" w:firstLineChars="0"/>
              <w:rPr>
                <w:rFonts w:hint="default" w:ascii="Times New Roman" w:hAnsi="Times New Roman" w:cs="Times New Roman"/>
                <w:color w:val="auto"/>
                <w:sz w:val="20"/>
                <w:szCs w:val="20"/>
                <w:lang w:val="en-US" w:eastAsia="zh-CN"/>
              </w:rPr>
            </w:pPr>
            <w:r>
              <w:rPr>
                <w:rFonts w:hint="eastAsia" w:ascii="Times New Roman" w:hAnsi="Times New Roman" w:cs="Times New Roman"/>
                <w:color w:val="auto"/>
                <w:sz w:val="20"/>
                <w:szCs w:val="20"/>
                <w:lang w:val="en-US" w:eastAsia="zh-CN"/>
              </w:rPr>
              <w:t>Median OS (Months)</w:t>
            </w:r>
          </w:p>
        </w:tc>
        <w:tc>
          <w:tcPr>
            <w:tcW w:w="878" w:type="dxa"/>
            <w:vAlign w:val="top"/>
          </w:tcPr>
          <w:p>
            <w:pPr>
              <w:rPr>
                <w:rFonts w:hint="default" w:ascii="Times New Roman" w:hAnsi="Times New Roman" w:cs="Times New Roman" w:eastAsiaTheme="minorEastAsia"/>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25.3</w:t>
            </w:r>
          </w:p>
        </w:tc>
        <w:tc>
          <w:tcPr>
            <w:tcW w:w="645" w:type="dxa"/>
            <w:vAlign w:val="top"/>
          </w:tcPr>
          <w:p>
            <w:pPr>
              <w:rPr>
                <w:rFonts w:hint="default" w:ascii="Times New Roman" w:hAnsi="Times New Roman" w:cs="Times New Roman" w:eastAsiaTheme="minorEastAsia"/>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16.2</w:t>
            </w:r>
          </w:p>
        </w:tc>
        <w:tc>
          <w:tcPr>
            <w:tcW w:w="997" w:type="dxa"/>
            <w:vAlign w:val="top"/>
          </w:tcPr>
          <w:p>
            <w:pPr>
              <w:rPr>
                <w:rFonts w:hint="default"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16.6</w:t>
            </w:r>
          </w:p>
        </w:tc>
        <w:tc>
          <w:tcPr>
            <w:tcW w:w="675" w:type="dxa"/>
            <w:vAlign w:val="top"/>
          </w:tcPr>
          <w:p>
            <w:pPr>
              <w:rPr>
                <w:rFonts w:hint="default"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12.5</w:t>
            </w:r>
          </w:p>
        </w:tc>
        <w:tc>
          <w:tcPr>
            <w:tcW w:w="1208" w:type="dxa"/>
            <w:vAlign w:val="top"/>
          </w:tcPr>
          <w:p>
            <w:pPr>
              <w:rPr>
                <w:rFonts w:hint="default"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13.7</w:t>
            </w:r>
          </w:p>
        </w:tc>
        <w:tc>
          <w:tcPr>
            <w:tcW w:w="1545" w:type="dxa"/>
            <w:vAlign w:val="top"/>
          </w:tcPr>
          <w:p>
            <w:pPr>
              <w:rPr>
                <w:rFonts w:hint="default"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17.5</w:t>
            </w:r>
          </w:p>
        </w:tc>
        <w:tc>
          <w:tcPr>
            <w:tcW w:w="1425" w:type="dxa"/>
            <w:vAlign w:val="top"/>
          </w:tcPr>
          <w:p>
            <w:pPr>
              <w:rPr>
                <w:rFonts w:hint="default" w:ascii="Times New Roman" w:hAnsi="Times New Roman" w:cs="Times New Roman"/>
                <w:b w:val="0"/>
                <w:bCs w:val="0"/>
                <w:color w:val="auto"/>
                <w:sz w:val="20"/>
                <w:szCs w:val="20"/>
                <w:lang w:val="en-US" w:eastAsia="zh-CN"/>
              </w:rPr>
            </w:pPr>
            <w:r>
              <w:rPr>
                <w:rFonts w:hint="eastAsia" w:ascii="Times New Roman" w:hAnsi="Times New Roman" w:cs="Times New Roman"/>
                <w:b w:val="0"/>
                <w:bCs w:val="0"/>
                <w:color w:val="auto"/>
                <w:sz w:val="20"/>
                <w:szCs w:val="20"/>
                <w:lang w:val="en-US" w:eastAsia="zh-CN"/>
              </w:rPr>
              <w:t>NA</w:t>
            </w:r>
            <w:r>
              <w:rPr>
                <w:rFonts w:hint="eastAsia" w:ascii="Times New Roman" w:hAnsi="Times New Roman" w:cs="Times New Roman"/>
                <w:b w:val="0"/>
                <w:bCs w:val="0"/>
                <w:color w:val="auto"/>
                <w:sz w:val="20"/>
                <w:szCs w:val="20"/>
                <w:vertAlign w:val="superscript"/>
                <w:lang w:val="en-US" w:eastAsia="zh-CN"/>
              </w:rPr>
              <w:t>b</w:t>
            </w:r>
          </w:p>
        </w:tc>
      </w:tr>
    </w:tbl>
    <w:p>
      <w:pPr>
        <w:numPr>
          <w:ilvl w:val="0"/>
          <w:numId w:val="0"/>
        </w:numPr>
        <w:jc w:val="both"/>
        <w:rPr>
          <w:rFonts w:hint="default" w:ascii="Times New Roman" w:hAnsi="Times New Roman" w:eastAsia="宋体" w:cs="Times New Roman"/>
          <w:color w:val="auto"/>
          <w:kern w:val="0"/>
          <w:sz w:val="20"/>
          <w:szCs w:val="20"/>
          <w:lang w:val="en-US" w:eastAsia="zh-CN" w:bidi="ar"/>
        </w:rPr>
      </w:pPr>
      <w:r>
        <w:rPr>
          <w:rFonts w:hint="eastAsia" w:ascii="Times New Roman" w:hAnsi="Times New Roman" w:eastAsia="宋体" w:cs="Times New Roman"/>
          <w:color w:val="auto"/>
          <w:sz w:val="20"/>
          <w:szCs w:val="20"/>
          <w:highlight w:val="none"/>
          <w:vertAlign w:val="superscript"/>
          <w:lang w:val="en-US" w:eastAsia="zh-CN"/>
        </w:rPr>
        <w:t>a</w:t>
      </w:r>
      <w:r>
        <w:rPr>
          <w:rFonts w:hint="eastAsia" w:ascii="Times New Roman" w:hAnsi="Times New Roman" w:eastAsia="宋体" w:cs="Times New Roman"/>
          <w:color w:val="auto"/>
          <w:sz w:val="20"/>
          <w:szCs w:val="20"/>
          <w:highlight w:val="none"/>
          <w:lang w:val="en-US" w:eastAsia="zh-CN"/>
        </w:rPr>
        <w:t xml:space="preserve">  Median </w:t>
      </w:r>
      <w:r>
        <w:rPr>
          <w:rFonts w:hint="eastAsia" w:ascii="Times New Roman" w:hAnsi="Times New Roman" w:eastAsia="宋体" w:cs="Times New Roman"/>
          <w:color w:val="auto"/>
          <w:kern w:val="0"/>
          <w:sz w:val="20"/>
          <w:szCs w:val="20"/>
          <w:lang w:val="en-US" w:eastAsia="zh-CN" w:bidi="ar"/>
        </w:rPr>
        <w:t>PFS</w:t>
      </w:r>
      <w:r>
        <w:rPr>
          <w:rFonts w:hint="default" w:ascii="Times New Roman" w:hAnsi="Times New Roman" w:eastAsia="宋体" w:cs="Times New Roman"/>
          <w:color w:val="auto"/>
          <w:kern w:val="0"/>
          <w:sz w:val="20"/>
          <w:szCs w:val="20"/>
          <w:lang w:val="en-US" w:eastAsia="zh-CN" w:bidi="ar"/>
        </w:rPr>
        <w:t xml:space="preserve"> </w:t>
      </w:r>
      <w:r>
        <w:rPr>
          <w:rFonts w:hint="eastAsia" w:ascii="Times New Roman" w:hAnsi="Times New Roman" w:eastAsia="宋体" w:cs="Times New Roman"/>
          <w:color w:val="auto"/>
          <w:kern w:val="0"/>
          <w:sz w:val="20"/>
          <w:szCs w:val="20"/>
          <w:lang w:val="en-US" w:eastAsia="zh-CN" w:bidi="ar"/>
        </w:rPr>
        <w:t xml:space="preserve">in </w:t>
      </w:r>
      <w:r>
        <w:rPr>
          <w:rFonts w:hint="eastAsia" w:ascii="Times New Roman" w:hAnsi="Times New Roman" w:cs="Times New Roman"/>
          <w:color w:val="auto"/>
          <w:sz w:val="20"/>
          <w:szCs w:val="20"/>
          <w:lang w:val="en-US" w:eastAsia="zh-CN"/>
        </w:rPr>
        <w:t xml:space="preserve">patients with </w:t>
      </w:r>
      <w:r>
        <w:rPr>
          <w:rFonts w:hint="default" w:ascii="Arial" w:hAnsi="Arial" w:cs="Arial"/>
          <w:color w:val="auto"/>
          <w:sz w:val="20"/>
          <w:szCs w:val="20"/>
          <w:lang w:val="en-US" w:eastAsia="zh-CN"/>
        </w:rPr>
        <w:t>≥</w:t>
      </w:r>
      <w:r>
        <w:rPr>
          <w:rFonts w:hint="default" w:ascii="Times New Roman" w:hAnsi="Times New Roman" w:cs="Times New Roman"/>
          <w:color w:val="auto"/>
          <w:sz w:val="20"/>
          <w:szCs w:val="20"/>
          <w:lang w:val="en-US" w:eastAsia="zh-CN"/>
        </w:rPr>
        <w:t xml:space="preserve"> </w:t>
      </w:r>
      <w:r>
        <w:rPr>
          <w:rFonts w:hint="default" w:ascii="Times New Roman" w:hAnsi="Times New Roman" w:eastAsia="宋体" w:cs="Times New Roman"/>
          <w:color w:val="auto"/>
          <w:kern w:val="0"/>
          <w:sz w:val="20"/>
          <w:szCs w:val="20"/>
          <w:lang w:val="en-US" w:eastAsia="zh-CN" w:bidi="ar"/>
        </w:rPr>
        <w:t>Grade 3</w:t>
      </w:r>
      <w:r>
        <w:rPr>
          <w:rFonts w:hint="eastAsia" w:ascii="Times New Roman" w:hAnsi="Times New Roman" w:eastAsia="宋体" w:cs="Times New Roman"/>
          <w:color w:val="auto"/>
          <w:kern w:val="0"/>
          <w:sz w:val="20"/>
          <w:szCs w:val="20"/>
          <w:lang w:val="en-US" w:eastAsia="zh-CN" w:bidi="ar"/>
        </w:rPr>
        <w:t xml:space="preserve"> </w:t>
      </w:r>
      <w:r>
        <w:rPr>
          <w:rFonts w:hint="default" w:ascii="Times New Roman" w:hAnsi="Times New Roman" w:eastAsia="宋体" w:cs="Times New Roman"/>
          <w:color w:val="auto"/>
          <w:kern w:val="0"/>
          <w:sz w:val="20"/>
          <w:szCs w:val="20"/>
          <w:lang w:val="en-US" w:eastAsia="zh-CN" w:bidi="ar"/>
        </w:rPr>
        <w:t>irAEs.</w:t>
      </w:r>
    </w:p>
    <w:p>
      <w:pPr>
        <w:keepNext w:val="0"/>
        <w:keepLines w:val="0"/>
        <w:pageBreakBefore w:val="0"/>
        <w:kinsoku/>
        <w:wordWrap/>
        <w:overflowPunct/>
        <w:topLinePunct w:val="0"/>
        <w:bidi w:val="0"/>
        <w:snapToGrid/>
        <w:spacing w:line="240" w:lineRule="auto"/>
        <w:textAlignment w:val="auto"/>
        <w:rPr>
          <w:rFonts w:hint="eastAsia" w:ascii="Times New Roman" w:hAnsi="Times New Roman" w:eastAsia="宋体" w:cs="Times New Roman"/>
          <w:color w:val="auto"/>
          <w:sz w:val="20"/>
          <w:szCs w:val="20"/>
        </w:rPr>
      </w:pPr>
      <w:r>
        <w:rPr>
          <w:rFonts w:hint="eastAsia" w:ascii="Times New Roman" w:hAnsi="Times New Roman" w:eastAsia="宋体" w:cs="Times New Roman"/>
          <w:color w:val="auto"/>
          <w:kern w:val="0"/>
          <w:sz w:val="20"/>
          <w:szCs w:val="20"/>
          <w:vertAlign w:val="superscript"/>
          <w:lang w:val="en-US" w:eastAsia="zh-CN" w:bidi="ar"/>
        </w:rPr>
        <w:t xml:space="preserve">b   </w:t>
      </w:r>
      <w:r>
        <w:rPr>
          <w:rFonts w:hint="eastAsia" w:ascii="Times New Roman" w:hAnsi="Times New Roman" w:eastAsia="宋体" w:cs="Times New Roman"/>
          <w:color w:val="auto"/>
          <w:kern w:val="0"/>
          <w:sz w:val="20"/>
          <w:szCs w:val="20"/>
          <w:vertAlign w:val="baseline"/>
          <w:lang w:val="en-US" w:eastAsia="zh-CN" w:bidi="ar"/>
        </w:rPr>
        <w:t xml:space="preserve">Median OS </w:t>
      </w:r>
      <w:r>
        <w:rPr>
          <w:rFonts w:hint="eastAsia" w:ascii="Times New Roman" w:hAnsi="Times New Roman" w:eastAsia="宋体" w:cs="Times New Roman"/>
          <w:color w:val="auto"/>
          <w:kern w:val="0"/>
          <w:sz w:val="20"/>
          <w:szCs w:val="20"/>
          <w:lang w:val="en-US" w:eastAsia="zh-CN" w:bidi="ar"/>
        </w:rPr>
        <w:t xml:space="preserve">in </w:t>
      </w:r>
      <w:r>
        <w:rPr>
          <w:rFonts w:hint="eastAsia" w:ascii="Times New Roman" w:hAnsi="Times New Roman" w:cs="Times New Roman"/>
          <w:color w:val="auto"/>
          <w:sz w:val="20"/>
          <w:szCs w:val="20"/>
          <w:lang w:val="en-US" w:eastAsia="zh-CN"/>
        </w:rPr>
        <w:t xml:space="preserve">patients with </w:t>
      </w:r>
      <w:r>
        <w:rPr>
          <w:rFonts w:hint="default" w:ascii="Arial" w:hAnsi="Arial" w:cs="Arial"/>
          <w:color w:val="auto"/>
          <w:sz w:val="20"/>
          <w:szCs w:val="20"/>
          <w:lang w:val="en-US" w:eastAsia="zh-CN"/>
        </w:rPr>
        <w:t>≥</w:t>
      </w:r>
      <w:r>
        <w:rPr>
          <w:rFonts w:hint="default" w:ascii="Times New Roman" w:hAnsi="Times New Roman" w:cs="Times New Roman"/>
          <w:color w:val="auto"/>
          <w:sz w:val="20"/>
          <w:szCs w:val="20"/>
          <w:lang w:val="en-US" w:eastAsia="zh-CN"/>
        </w:rPr>
        <w:t xml:space="preserve"> </w:t>
      </w:r>
      <w:r>
        <w:rPr>
          <w:rFonts w:hint="default" w:ascii="Times New Roman" w:hAnsi="Times New Roman" w:eastAsia="宋体" w:cs="Times New Roman"/>
          <w:color w:val="auto"/>
          <w:kern w:val="0"/>
          <w:sz w:val="20"/>
          <w:szCs w:val="20"/>
          <w:lang w:val="en-US" w:eastAsia="zh-CN" w:bidi="ar"/>
        </w:rPr>
        <w:t>Grade 3</w:t>
      </w:r>
      <w:r>
        <w:rPr>
          <w:rFonts w:hint="eastAsia" w:ascii="Times New Roman" w:hAnsi="Times New Roman" w:eastAsia="宋体" w:cs="Times New Roman"/>
          <w:color w:val="auto"/>
          <w:kern w:val="0"/>
          <w:sz w:val="20"/>
          <w:szCs w:val="20"/>
          <w:lang w:val="en-US" w:eastAsia="zh-CN" w:bidi="ar"/>
        </w:rPr>
        <w:t xml:space="preserve"> </w:t>
      </w:r>
      <w:r>
        <w:rPr>
          <w:rFonts w:hint="default" w:ascii="Times New Roman" w:hAnsi="Times New Roman" w:eastAsia="宋体" w:cs="Times New Roman"/>
          <w:color w:val="auto"/>
          <w:kern w:val="0"/>
          <w:sz w:val="20"/>
          <w:szCs w:val="20"/>
          <w:lang w:val="en-US" w:eastAsia="zh-CN" w:bidi="ar"/>
        </w:rPr>
        <w:t>irAEs</w:t>
      </w:r>
      <w:r>
        <w:rPr>
          <w:rFonts w:hint="eastAsia" w:ascii="Times New Roman" w:hAnsi="Times New Roman" w:eastAsia="宋体" w:cs="Times New Roman"/>
          <w:color w:val="auto"/>
          <w:kern w:val="0"/>
          <w:sz w:val="20"/>
          <w:szCs w:val="20"/>
          <w:lang w:val="en-US" w:eastAsia="zh-CN" w:bidi="ar"/>
        </w:rPr>
        <w:t>.</w:t>
      </w:r>
    </w:p>
    <w:p>
      <w:pPr>
        <w:rPr>
          <w:color w:val="auto"/>
        </w:rPr>
      </w:pPr>
    </w:p>
    <w:p>
      <w:pPr>
        <w:rPr>
          <w:color w:val="auto"/>
        </w:rPr>
      </w:pPr>
    </w:p>
    <w:p>
      <w:pPr>
        <w:rPr>
          <w:rFonts w:hint="eastAsia" w:eastAsiaTheme="minorEastAsia"/>
          <w:color w:val="auto"/>
          <w:lang w:eastAsia="zh-CN"/>
        </w:rPr>
      </w:pPr>
      <w:r>
        <w:rPr>
          <w:rFonts w:hint="eastAsia" w:eastAsiaTheme="minorEastAsia"/>
          <w:color w:val="auto"/>
          <w:lang w:eastAsia="zh-CN"/>
        </w:rPr>
        <w:drawing>
          <wp:inline distT="0" distB="0" distL="114300" distR="114300">
            <wp:extent cx="5269230" cy="5467985"/>
            <wp:effectExtent l="0" t="0" r="7620" b="8890"/>
            <wp:docPr id="1" name="图片 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标题-1"/>
                    <pic:cNvPicPr>
                      <a:picLocks noChangeAspect="1"/>
                    </pic:cNvPicPr>
                  </pic:nvPicPr>
                  <pic:blipFill>
                    <a:blip r:embed="rId4"/>
                    <a:stretch>
                      <a:fillRect/>
                    </a:stretch>
                  </pic:blipFill>
                  <pic:spPr>
                    <a:xfrm>
                      <a:off x="0" y="0"/>
                      <a:ext cx="5269230" cy="5467985"/>
                    </a:xfrm>
                    <a:prstGeom prst="rect">
                      <a:avLst/>
                    </a:prstGeom>
                  </pic:spPr>
                </pic:pic>
              </a:graphicData>
            </a:graphic>
          </wp:inline>
        </w:drawing>
      </w:r>
    </w:p>
    <w:p>
      <w:pPr>
        <w:rPr>
          <w:rFonts w:hint="eastAsia" w:eastAsiaTheme="minorEastAsia"/>
          <w:color w:val="auto"/>
          <w:lang w:eastAsia="zh-CN"/>
        </w:rPr>
      </w:pPr>
    </w:p>
    <w:p>
      <w:pPr>
        <w:numPr>
          <w:ilvl w:val="0"/>
          <w:numId w:val="0"/>
        </w:numPr>
        <w:rPr>
          <w:rFonts w:hint="default" w:ascii="Times New Roman" w:hAnsi="Times New Roman" w:cs="Times New Roman"/>
          <w:b/>
          <w:bCs/>
          <w:color w:val="auto"/>
          <w:sz w:val="20"/>
          <w:szCs w:val="20"/>
        </w:rPr>
      </w:pPr>
      <w:r>
        <w:rPr>
          <w:rFonts w:hint="eastAsia" w:ascii="Times New Roman" w:hAnsi="Times New Roman" w:cs="Times New Roman"/>
          <w:b/>
          <w:bCs/>
          <w:color w:val="auto"/>
          <w:sz w:val="20"/>
          <w:szCs w:val="20"/>
          <w:lang w:val="en-US" w:eastAsia="zh-CN"/>
        </w:rPr>
        <w:t>e</w:t>
      </w:r>
      <w:r>
        <w:rPr>
          <w:rFonts w:hint="default" w:ascii="Times New Roman" w:hAnsi="Times New Roman" w:cs="Times New Roman"/>
          <w:b/>
          <w:bCs/>
          <w:color w:val="auto"/>
          <w:sz w:val="20"/>
          <w:szCs w:val="20"/>
        </w:rPr>
        <w:t>Figure 1. Study design: inclusion and exclusion criteria.</w:t>
      </w:r>
    </w:p>
    <w:p>
      <w:pPr>
        <w:rPr>
          <w:rFonts w:hint="eastAsia" w:ascii="Times New Roman" w:hAnsi="Times New Roman" w:cs="Times New Roman"/>
          <w:b w:val="0"/>
          <w:bCs w:val="0"/>
          <w:color w:val="auto"/>
          <w:sz w:val="20"/>
          <w:szCs w:val="20"/>
          <w:lang w:val="en-US" w:eastAsia="zh-CN"/>
        </w:rPr>
      </w:pPr>
      <w:r>
        <w:rPr>
          <w:rFonts w:hint="eastAsia" w:ascii="Times New Roman" w:hAnsi="Times New Roman" w:cs="Times New Roman"/>
          <w:b/>
          <w:bCs/>
          <w:color w:val="auto"/>
          <w:sz w:val="20"/>
          <w:szCs w:val="20"/>
          <w:vertAlign w:val="superscript"/>
          <w:lang w:val="en-US" w:eastAsia="zh-CN"/>
        </w:rPr>
        <w:t xml:space="preserve">a </w:t>
      </w:r>
      <w:r>
        <w:rPr>
          <w:rFonts w:hint="eastAsia" w:ascii="Times New Roman" w:hAnsi="Times New Roman" w:cs="Times New Roman"/>
          <w:b w:val="0"/>
          <w:bCs w:val="0"/>
          <w:color w:val="auto"/>
          <w:sz w:val="20"/>
          <w:szCs w:val="20"/>
          <w:lang w:val="en-US" w:eastAsia="zh-CN"/>
        </w:rPr>
        <w:t xml:space="preserve"> Patients who received nivolumab and pembrolizumab monotherapy as third or later line for the treatment of patients with relapsed SCLC.</w:t>
      </w:r>
    </w:p>
    <w:p>
      <w:pPr>
        <w:rPr>
          <w:rFonts w:hint="eastAsia" w:ascii="Times New Roman" w:hAnsi="Times New Roman" w:cs="Times New Roman"/>
          <w:b w:val="0"/>
          <w:bCs w:val="0"/>
          <w:color w:val="auto"/>
          <w:sz w:val="20"/>
          <w:szCs w:val="20"/>
          <w:lang w:val="en-US" w:eastAsia="zh-CN"/>
        </w:rPr>
      </w:pPr>
      <w:r>
        <w:rPr>
          <w:rFonts w:hint="eastAsia" w:ascii="Times New Roman" w:hAnsi="Times New Roman" w:cs="Times New Roman"/>
          <w:b/>
          <w:bCs/>
          <w:color w:val="auto"/>
          <w:sz w:val="20"/>
          <w:szCs w:val="20"/>
          <w:vertAlign w:val="superscript"/>
          <w:lang w:val="en-US" w:eastAsia="zh-CN"/>
        </w:rPr>
        <w:t xml:space="preserve">b </w:t>
      </w:r>
      <w:r>
        <w:rPr>
          <w:rFonts w:hint="eastAsia" w:ascii="Times New Roman" w:hAnsi="Times New Roman" w:cs="Times New Roman"/>
          <w:b w:val="0"/>
          <w:bCs w:val="0"/>
          <w:color w:val="auto"/>
          <w:sz w:val="20"/>
          <w:szCs w:val="20"/>
          <w:lang w:val="en-US" w:eastAsia="zh-CN"/>
        </w:rPr>
        <w:t xml:space="preserve"> Patients who received </w:t>
      </w:r>
      <w:r>
        <w:rPr>
          <w:rFonts w:hint="default" w:ascii="Times New Roman" w:hAnsi="Times New Roman" w:eastAsia="Times New Roman" w:cs="Times New Roman"/>
          <w:color w:val="auto"/>
          <w:sz w:val="20"/>
          <w:szCs w:val="20"/>
        </w:rPr>
        <w:t>etoposide and platinum</w:t>
      </w:r>
      <w:r>
        <w:rPr>
          <w:rFonts w:hint="eastAsia" w:ascii="Times New Roman" w:hAnsi="Times New Roman" w:cs="Times New Roman"/>
          <w:b w:val="0"/>
          <w:bCs w:val="0"/>
          <w:color w:val="auto"/>
          <w:sz w:val="20"/>
          <w:szCs w:val="20"/>
          <w:lang w:val="en-US" w:eastAsia="zh-CN"/>
        </w:rPr>
        <w:t xml:space="preserve"> as a first-line treatment and those treated with </w:t>
      </w:r>
      <w:r>
        <w:rPr>
          <w:rFonts w:hint="default" w:ascii="Times New Roman" w:hAnsi="Times New Roman" w:eastAsia="Times New Roman" w:cs="Times New Roman"/>
          <w:color w:val="auto"/>
          <w:sz w:val="20"/>
          <w:szCs w:val="20"/>
        </w:rPr>
        <w:t xml:space="preserve"> etoposide and platinum</w:t>
      </w:r>
      <w:r>
        <w:rPr>
          <w:rFonts w:hint="eastAsia" w:ascii="Times New Roman" w:hAnsi="Times New Roman" w:cs="Times New Roman"/>
          <w:b w:val="0"/>
          <w:bCs w:val="0"/>
          <w:color w:val="auto"/>
          <w:sz w:val="20"/>
          <w:szCs w:val="20"/>
          <w:lang w:val="en-US" w:eastAsia="zh-CN"/>
        </w:rPr>
        <w:t xml:space="preserve">, irinotecan </w:t>
      </w:r>
      <w:r>
        <w:rPr>
          <w:rFonts w:hint="default" w:ascii="Times New Roman" w:hAnsi="Times New Roman" w:eastAsia="Times New Roman" w:cs="Times New Roman"/>
          <w:color w:val="auto"/>
          <w:sz w:val="20"/>
          <w:szCs w:val="20"/>
        </w:rPr>
        <w:t>and platinum</w:t>
      </w:r>
      <w:r>
        <w:rPr>
          <w:rFonts w:hint="eastAsia" w:ascii="Times New Roman" w:hAnsi="Times New Roman" w:eastAsia="宋体" w:cs="Times New Roman"/>
          <w:color w:val="auto"/>
          <w:sz w:val="20"/>
          <w:szCs w:val="20"/>
          <w:lang w:val="en-US" w:eastAsia="zh-CN"/>
        </w:rPr>
        <w:t>,</w:t>
      </w:r>
      <w:r>
        <w:rPr>
          <w:rFonts w:hint="eastAsia" w:ascii="Times New Roman" w:hAnsi="Times New Roman" w:cs="Times New Roman"/>
          <w:b w:val="0"/>
          <w:bCs w:val="0"/>
          <w:color w:val="auto"/>
          <w:sz w:val="20"/>
          <w:szCs w:val="20"/>
          <w:lang w:val="en-US" w:eastAsia="zh-CN"/>
        </w:rPr>
        <w:t xml:space="preserve"> or paclitaxel in second-line or beyond.</w:t>
      </w:r>
    </w:p>
    <w:p>
      <w:pPr>
        <w:rPr>
          <w:rFonts w:hint="eastAsia" w:ascii="Times New Roman" w:hAnsi="Times New Roman" w:cs="Times New Roman"/>
          <w:b w:val="0"/>
          <w:bCs w:val="0"/>
          <w:color w:val="auto"/>
          <w:sz w:val="20"/>
          <w:szCs w:val="20"/>
          <w:lang w:val="en-US" w:eastAsia="zh-CN"/>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bookmarkStart w:id="12" w:name="_GoBack"/>
      <w:r>
        <w:rPr>
          <w:rFonts w:hint="eastAsia" w:eastAsiaTheme="minorEastAsia"/>
          <w:color w:val="auto"/>
          <w:lang w:eastAsia="zh-CN"/>
        </w:rPr>
        <w:drawing>
          <wp:inline distT="0" distB="0" distL="114300" distR="114300">
            <wp:extent cx="5273040" cy="2844165"/>
            <wp:effectExtent l="0" t="0" r="3810" b="3810"/>
            <wp:docPr id="2" name="图片 2" descr="c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Figure2"/>
                    <pic:cNvPicPr>
                      <a:picLocks noChangeAspect="1"/>
                    </pic:cNvPicPr>
                  </pic:nvPicPr>
                  <pic:blipFill>
                    <a:blip r:embed="rId5"/>
                    <a:stretch>
                      <a:fillRect/>
                    </a:stretch>
                  </pic:blipFill>
                  <pic:spPr>
                    <a:xfrm>
                      <a:off x="0" y="0"/>
                      <a:ext cx="5273040" cy="2844165"/>
                    </a:xfrm>
                    <a:prstGeom prst="rect">
                      <a:avLst/>
                    </a:prstGeom>
                  </pic:spPr>
                </pic:pic>
              </a:graphicData>
            </a:graphic>
          </wp:inline>
        </w:drawing>
      </w:r>
      <w:bookmarkEnd w:id="12"/>
    </w:p>
    <w:p>
      <w:pPr>
        <w:rPr>
          <w:rFonts w:hint="eastAsia" w:eastAsiaTheme="minorEastAsia"/>
          <w:color w:val="auto"/>
          <w:lang w:eastAsia="zh-CN"/>
        </w:rPr>
      </w:pPr>
    </w:p>
    <w:p>
      <w:pPr>
        <w:numPr>
          <w:ilvl w:val="0"/>
          <w:numId w:val="0"/>
        </w:numPr>
        <w:rPr>
          <w:rFonts w:hint="default" w:ascii="Times New Roman" w:hAnsi="Times New Roman" w:cs="Times New Roman"/>
          <w:b/>
          <w:bCs/>
          <w:color w:val="auto"/>
          <w:sz w:val="20"/>
          <w:szCs w:val="20"/>
        </w:rPr>
      </w:pPr>
      <w:r>
        <w:rPr>
          <w:rFonts w:hint="eastAsia" w:ascii="Times New Roman" w:hAnsi="Times New Roman" w:cs="Times New Roman"/>
          <w:b/>
          <w:bCs/>
          <w:color w:val="auto"/>
          <w:sz w:val="20"/>
          <w:szCs w:val="20"/>
          <w:lang w:val="en-US" w:eastAsia="zh-CN"/>
        </w:rPr>
        <w:t>e</w:t>
      </w:r>
      <w:r>
        <w:rPr>
          <w:rFonts w:hint="default" w:ascii="Times New Roman" w:hAnsi="Times New Roman" w:cs="Times New Roman"/>
          <w:b/>
          <w:bCs/>
          <w:color w:val="auto"/>
          <w:sz w:val="20"/>
          <w:szCs w:val="20"/>
        </w:rPr>
        <w:t xml:space="preserve">Figure </w:t>
      </w:r>
      <w:r>
        <w:rPr>
          <w:rFonts w:hint="default" w:ascii="Times New Roman" w:hAnsi="Times New Roman" w:cs="Times New Roman"/>
          <w:b/>
          <w:bCs/>
          <w:color w:val="auto"/>
          <w:sz w:val="20"/>
          <w:szCs w:val="20"/>
          <w:lang w:val="en-US" w:eastAsia="zh-CN"/>
        </w:rPr>
        <w:t>2</w:t>
      </w:r>
      <w:r>
        <w:rPr>
          <w:rFonts w:hint="default" w:ascii="Times New Roman" w:hAnsi="Times New Roman" w:cs="Times New Roman"/>
          <w:b/>
          <w:bCs/>
          <w:color w:val="auto"/>
          <w:sz w:val="20"/>
          <w:szCs w:val="20"/>
        </w:rPr>
        <w:t xml:space="preserve">. </w:t>
      </w:r>
      <w:r>
        <w:rPr>
          <w:rFonts w:hint="default" w:ascii="Times New Roman" w:hAnsi="Times New Roman" w:cs="Times New Roman"/>
          <w:b/>
          <w:bCs/>
          <w:color w:val="auto"/>
          <w:sz w:val="20"/>
          <w:szCs w:val="20"/>
          <w:lang w:val="en-US" w:eastAsia="zh-CN"/>
        </w:rPr>
        <w:t xml:space="preserve">(A) </w:t>
      </w:r>
      <w:r>
        <w:rPr>
          <w:rFonts w:hint="default" w:ascii="Times New Roman" w:hAnsi="Times New Roman" w:cs="Times New Roman"/>
          <w:b/>
          <w:bCs/>
          <w:color w:val="auto"/>
          <w:sz w:val="20"/>
          <w:szCs w:val="20"/>
        </w:rPr>
        <w:t xml:space="preserve">Chord diagram displaying the spectrum of multi-system irAEs in </w:t>
      </w:r>
      <w:r>
        <w:rPr>
          <w:rFonts w:hint="default" w:ascii="Times New Roman" w:hAnsi="Times New Roman" w:cs="Times New Roman"/>
          <w:b/>
          <w:bCs/>
          <w:color w:val="auto"/>
          <w:sz w:val="20"/>
          <w:szCs w:val="20"/>
          <w:lang w:val="en-US" w:eastAsia="zh-CN"/>
        </w:rPr>
        <w:t xml:space="preserve">SCLC </w:t>
      </w:r>
      <w:r>
        <w:rPr>
          <w:rFonts w:hint="default" w:ascii="Times New Roman" w:hAnsi="Times New Roman" w:cs="Times New Roman"/>
          <w:b/>
          <w:bCs/>
          <w:color w:val="auto"/>
          <w:sz w:val="20"/>
          <w:szCs w:val="20"/>
        </w:rPr>
        <w:t>patients treated with</w:t>
      </w:r>
      <w:r>
        <w:rPr>
          <w:rFonts w:hint="default" w:ascii="Times New Roman" w:hAnsi="Times New Roman" w:cs="Times New Roman"/>
          <w:b/>
          <w:bCs/>
          <w:color w:val="auto"/>
          <w:sz w:val="20"/>
          <w:szCs w:val="20"/>
          <w:lang w:val="en-US" w:eastAsia="zh-CN"/>
        </w:rPr>
        <w:t xml:space="preserve"> PD-1/PD-L1 inhibitors. (B and C) </w:t>
      </w:r>
      <w:r>
        <w:rPr>
          <w:rFonts w:hint="default" w:ascii="Times New Roman" w:hAnsi="Times New Roman" w:cs="Times New Roman"/>
          <w:b/>
          <w:bCs/>
          <w:color w:val="auto"/>
          <w:sz w:val="20"/>
          <w:szCs w:val="20"/>
        </w:rPr>
        <w:t>Time to onset of multigroup</w:t>
      </w:r>
      <w:r>
        <w:rPr>
          <w:rFonts w:hint="default" w:ascii="Times New Roman" w:hAnsi="Times New Roman" w:cs="Times New Roman"/>
          <w:b/>
          <w:bCs/>
          <w:color w:val="auto"/>
          <w:sz w:val="20"/>
          <w:szCs w:val="20"/>
          <w:lang w:val="en-US" w:eastAsia="zh-CN"/>
        </w:rPr>
        <w:t xml:space="preserve"> </w:t>
      </w:r>
      <w:r>
        <w:rPr>
          <w:rFonts w:hint="default" w:ascii="Times New Roman" w:hAnsi="Times New Roman" w:cs="Times New Roman"/>
          <w:b/>
          <w:bCs/>
          <w:color w:val="auto"/>
          <w:sz w:val="20"/>
          <w:szCs w:val="20"/>
        </w:rPr>
        <w:t>irAE</w:t>
      </w:r>
      <w:r>
        <w:rPr>
          <w:rFonts w:hint="default" w:ascii="Times New Roman" w:hAnsi="Times New Roman" w:cs="Times New Roman"/>
          <w:b/>
          <w:bCs/>
          <w:color w:val="auto"/>
          <w:sz w:val="20"/>
          <w:szCs w:val="20"/>
          <w:lang w:val="en-US" w:eastAsia="zh-CN"/>
        </w:rPr>
        <w:t>s(B)</w:t>
      </w:r>
      <w:r>
        <w:rPr>
          <w:rFonts w:hint="default" w:ascii="Times New Roman" w:hAnsi="Times New Roman" w:cs="Times New Roman"/>
          <w:b/>
          <w:bCs/>
          <w:color w:val="auto"/>
          <w:sz w:val="20"/>
          <w:szCs w:val="20"/>
        </w:rPr>
        <w:t xml:space="preserve"> </w:t>
      </w:r>
      <w:r>
        <w:rPr>
          <w:rFonts w:hint="default" w:ascii="Times New Roman" w:hAnsi="Times New Roman" w:cs="Times New Roman"/>
          <w:b/>
          <w:bCs/>
          <w:color w:val="auto"/>
          <w:sz w:val="20"/>
          <w:szCs w:val="20"/>
          <w:lang w:val="en-US" w:eastAsia="zh-CN"/>
        </w:rPr>
        <w:t xml:space="preserve">or </w:t>
      </w:r>
      <w:r>
        <w:rPr>
          <w:rFonts w:hint="default" w:ascii="Times New Roman" w:hAnsi="Times New Roman" w:cs="Times New Roman"/>
          <w:b/>
          <w:bCs/>
          <w:color w:val="auto"/>
          <w:sz w:val="20"/>
          <w:szCs w:val="20"/>
        </w:rPr>
        <w:t>multi-system</w:t>
      </w:r>
      <w:r>
        <w:rPr>
          <w:rFonts w:hint="default" w:ascii="Times New Roman" w:hAnsi="Times New Roman" w:cs="Times New Roman"/>
          <w:b/>
          <w:bCs/>
          <w:color w:val="auto"/>
          <w:sz w:val="20"/>
          <w:szCs w:val="20"/>
          <w:lang w:val="en-US" w:eastAsia="zh-CN"/>
        </w:rPr>
        <w:t xml:space="preserve"> </w:t>
      </w:r>
      <w:r>
        <w:rPr>
          <w:rFonts w:hint="default" w:ascii="Times New Roman" w:hAnsi="Times New Roman" w:cs="Times New Roman"/>
          <w:b/>
          <w:bCs/>
          <w:color w:val="auto"/>
          <w:sz w:val="20"/>
          <w:szCs w:val="20"/>
        </w:rPr>
        <w:t>irAE</w:t>
      </w:r>
      <w:r>
        <w:rPr>
          <w:rFonts w:hint="default" w:ascii="Times New Roman" w:hAnsi="Times New Roman" w:cs="Times New Roman"/>
          <w:b/>
          <w:bCs/>
          <w:color w:val="auto"/>
          <w:sz w:val="20"/>
          <w:szCs w:val="20"/>
          <w:lang w:val="en-US" w:eastAsia="zh-CN"/>
        </w:rPr>
        <w:t xml:space="preserve">s(C) </w:t>
      </w:r>
      <w:r>
        <w:rPr>
          <w:rFonts w:hint="default" w:ascii="Times New Roman" w:hAnsi="Times New Roman" w:cs="Times New Roman"/>
          <w:b/>
          <w:bCs/>
          <w:color w:val="auto"/>
          <w:sz w:val="20"/>
          <w:szCs w:val="20"/>
        </w:rPr>
        <w:t xml:space="preserve">in </w:t>
      </w:r>
      <w:r>
        <w:rPr>
          <w:rFonts w:hint="default" w:ascii="Times New Roman" w:hAnsi="Times New Roman" w:cs="Times New Roman"/>
          <w:b/>
          <w:bCs/>
          <w:color w:val="auto"/>
          <w:sz w:val="20"/>
          <w:szCs w:val="20"/>
          <w:lang w:val="en-US" w:eastAsia="zh-CN"/>
        </w:rPr>
        <w:t xml:space="preserve">SCLC </w:t>
      </w:r>
      <w:r>
        <w:rPr>
          <w:rFonts w:hint="default" w:ascii="Times New Roman" w:hAnsi="Times New Roman" w:cs="Times New Roman"/>
          <w:b/>
          <w:bCs/>
          <w:color w:val="auto"/>
          <w:sz w:val="20"/>
          <w:szCs w:val="20"/>
        </w:rPr>
        <w:t xml:space="preserve">patients treated with </w:t>
      </w:r>
      <w:r>
        <w:rPr>
          <w:rFonts w:hint="default" w:ascii="Times New Roman" w:hAnsi="Times New Roman" w:cs="Times New Roman"/>
          <w:b/>
          <w:bCs/>
          <w:color w:val="auto"/>
          <w:sz w:val="20"/>
          <w:szCs w:val="20"/>
          <w:lang w:val="en-US" w:eastAsia="zh-CN"/>
        </w:rPr>
        <w:t>PD-1/PD-L1 inhibitors</w:t>
      </w:r>
      <w:r>
        <w:rPr>
          <w:rFonts w:hint="default" w:ascii="Times New Roman" w:hAnsi="Times New Roman" w:cs="Times New Roman"/>
          <w:b/>
          <w:bCs/>
          <w:color w:val="auto"/>
          <w:sz w:val="20"/>
          <w:szCs w:val="20"/>
        </w:rPr>
        <w:t>.</w:t>
      </w: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numPr>
          <w:ilvl w:val="0"/>
          <w:numId w:val="0"/>
        </w:numPr>
        <w:jc w:val="left"/>
        <w:rPr>
          <w:color w:val="auto"/>
        </w:rPr>
      </w:pPr>
    </w:p>
    <w:p>
      <w:pPr>
        <w:rPr>
          <w:rFonts w:hint="eastAsia" w:eastAsiaTheme="minorEastAsia"/>
          <w:color w:val="auto"/>
          <w:lang w:eastAsia="zh-CN"/>
        </w:rPr>
      </w:pPr>
    </w:p>
    <w:p>
      <w:pPr>
        <w:rPr>
          <w:rFonts w:hint="eastAsia" w:eastAsiaTheme="minorEastAsia"/>
          <w:color w:val="auto"/>
          <w:lang w:eastAsia="zh-CN"/>
        </w:rPr>
      </w:pPr>
    </w:p>
    <w:p>
      <w:pPr>
        <w:rPr>
          <w:rFonts w:hint="eastAsia" w:eastAsiaTheme="minorEastAsia"/>
          <w:color w:val="auto"/>
          <w:lang w:eastAsia="zh-CN"/>
        </w:rPr>
      </w:pP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NjAzMWJlZjFkMmQwODUwMTJkYzE2ODFiYmFmYTcifQ=="/>
  </w:docVars>
  <w:rsids>
    <w:rsidRoot w:val="336D47A8"/>
    <w:rsid w:val="097A36AD"/>
    <w:rsid w:val="09E47A60"/>
    <w:rsid w:val="0C3628D7"/>
    <w:rsid w:val="10EE3E04"/>
    <w:rsid w:val="13C93122"/>
    <w:rsid w:val="1AB46FAD"/>
    <w:rsid w:val="2FAF1885"/>
    <w:rsid w:val="336D47A8"/>
    <w:rsid w:val="484F6CB0"/>
    <w:rsid w:val="4DAA2F7A"/>
    <w:rsid w:val="50CF1219"/>
    <w:rsid w:val="53412E94"/>
    <w:rsid w:val="56292132"/>
    <w:rsid w:val="5B5C0526"/>
    <w:rsid w:val="5C4A3192"/>
    <w:rsid w:val="652F7AFD"/>
    <w:rsid w:val="709B5583"/>
    <w:rsid w:val="7D9C3E74"/>
    <w:rsid w:val="7E830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Autospacing="1" w:afterAutospacing="1"/>
      <w:jc w:val="left"/>
    </w:pPr>
    <w:rPr>
      <w:kern w:val="0"/>
      <w:sz w:val="24"/>
    </w:rPr>
  </w:style>
  <w:style w:type="table" w:styleId="4">
    <w:name w:val="Table Grid"/>
    <w:basedOn w:val="3"/>
    <w:autoRedefine/>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EndNote Bibliography"/>
    <w:autoRedefine/>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2828</Words>
  <Characters>14101</Characters>
  <Lines>0</Lines>
  <Paragraphs>0</Paragraphs>
  <TotalTime>10</TotalTime>
  <ScaleCrop>false</ScaleCrop>
  <LinksUpToDate>false</LinksUpToDate>
  <CharactersWithSpaces>15773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2024-02-14T08:49:00Z</dcterms:created>
  <dc:creator>十二</dc:creator>
  <cp:lastModifiedBy>张建</cp:lastModifiedBy>
  <dcterms:modified xsi:type="dcterms:W3CDTF">2024-06-01T12:04:49Z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2734A50B0DA043DFB9563FDDA0179631_13</vt:lpwstr>
  </property>
</Properties>
</file>