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34021" w14:textId="2399FFF4" w:rsidR="00BF5BBD" w:rsidRPr="00BF5BBD" w:rsidRDefault="002D7D1F" w:rsidP="00BF5BBD">
      <w:pPr>
        <w:pStyle w:val="EndNoteBibliography"/>
        <w:jc w:val="both"/>
        <w:rPr>
          <w:rFonts w:ascii="Times New Roman" w:hAnsi="Times New Roman" w:cs="Times New Roman"/>
          <w:b/>
          <w:lang w:val="en-GB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08F2FDEE" wp14:editId="69BC9EF0">
            <wp:simplePos x="0" y="0"/>
            <wp:positionH relativeFrom="page">
              <wp:align>left</wp:align>
            </wp:positionH>
            <wp:positionV relativeFrom="paragraph">
              <wp:posOffset>209550</wp:posOffset>
            </wp:positionV>
            <wp:extent cx="7517765" cy="6546850"/>
            <wp:effectExtent l="0" t="0" r="6985" b="6350"/>
            <wp:wrapTight wrapText="bothSides">
              <wp:wrapPolygon edited="0">
                <wp:start x="0" y="0"/>
                <wp:lineTo x="0" y="21558"/>
                <wp:lineTo x="21565" y="21558"/>
                <wp:lineTo x="21565" y="0"/>
                <wp:lineTo x="0" y="0"/>
              </wp:wrapPolygon>
            </wp:wrapTight>
            <wp:docPr id="53524241" name="Picture 17" descr="A collection of graphs showing different types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4241" name="Picture 17" descr="A collection of graphs showing different types of cell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305" cy="6552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95E">
        <w:rPr>
          <w:rFonts w:ascii="Times New Roman" w:hAnsi="Times New Roman" w:cs="Times New Roman"/>
          <w:b/>
          <w:lang w:val="en-GB"/>
        </w:rPr>
        <w:t>Additional data</w:t>
      </w:r>
      <w:r w:rsidR="0088395E" w:rsidRPr="00816DA8">
        <w:rPr>
          <w:rFonts w:ascii="Times New Roman" w:hAnsi="Times New Roman" w:cs="Times New Roman"/>
          <w:b/>
          <w:lang w:val="en-GB"/>
        </w:rPr>
        <w:t xml:space="preserve"> </w:t>
      </w:r>
      <w:r w:rsidR="002C3EBF">
        <w:rPr>
          <w:rFonts w:ascii="Times New Roman" w:hAnsi="Times New Roman" w:cs="Times New Roman"/>
          <w:b/>
          <w:lang w:val="en-GB"/>
        </w:rPr>
        <w:t>4</w:t>
      </w:r>
    </w:p>
    <w:p w14:paraId="1E1E4725" w14:textId="73FF48D5" w:rsidR="004450A9" w:rsidRDefault="004450A9" w:rsidP="00F06627">
      <w:pPr>
        <w:jc w:val="both"/>
        <w:rPr>
          <w:b/>
          <w:bCs/>
          <w:i/>
          <w:iCs/>
        </w:rPr>
      </w:pPr>
    </w:p>
    <w:p w14:paraId="6BE55804" w14:textId="5524167E" w:rsidR="003E73A3" w:rsidRPr="00F06627" w:rsidRDefault="0088395E" w:rsidP="00F06627">
      <w:pPr>
        <w:jc w:val="both"/>
      </w:pPr>
      <w:r w:rsidRPr="00F06627">
        <w:rPr>
          <w:b/>
          <w:bCs/>
          <w:i/>
          <w:iCs/>
        </w:rPr>
        <w:t>Figure S</w:t>
      </w:r>
      <w:r w:rsidR="008646DA">
        <w:rPr>
          <w:b/>
          <w:bCs/>
          <w:i/>
          <w:iCs/>
        </w:rPr>
        <w:t>3</w:t>
      </w:r>
      <w:r w:rsidRPr="00F06627">
        <w:rPr>
          <w:b/>
          <w:bCs/>
          <w:i/>
          <w:iCs/>
        </w:rPr>
        <w:t>.</w:t>
      </w:r>
      <w:r w:rsidRPr="00F06627">
        <w:rPr>
          <w:i/>
          <w:iCs/>
        </w:rPr>
        <w:t xml:space="preserve"> </w:t>
      </w:r>
      <w:r w:rsidR="00F06627" w:rsidRPr="00F06627">
        <w:rPr>
          <w:b/>
          <w:bCs/>
          <w:i/>
          <w:iCs/>
        </w:rPr>
        <w:t xml:space="preserve">Effect of </w:t>
      </w:r>
      <w:r w:rsidR="008646DA">
        <w:rPr>
          <w:b/>
          <w:bCs/>
          <w:i/>
          <w:iCs/>
        </w:rPr>
        <w:t>2</w:t>
      </w:r>
      <w:r w:rsidR="00F06627" w:rsidRPr="00F06627">
        <w:rPr>
          <w:b/>
          <w:bCs/>
          <w:i/>
          <w:iCs/>
        </w:rPr>
        <w:t>4 hours of hypoxia exposure on gene expression levels</w:t>
      </w:r>
      <w:r w:rsidR="00F06627">
        <w:rPr>
          <w:i/>
          <w:iCs/>
        </w:rPr>
        <w:t xml:space="preserve">. </w:t>
      </w:r>
      <w:r w:rsidR="007C2C24" w:rsidRPr="007C2C24">
        <w:t>Genes where no statistically significant differences were found</w:t>
      </w:r>
      <w:r w:rsidR="007C2C24">
        <w:t xml:space="preserve"> in the mRNA measured with RT-qPCR in primary distal lung fibroblasts obtained from healthy subjects (n=7) and COPD patients (n=7) after </w:t>
      </w:r>
      <w:r w:rsidR="008646DA">
        <w:t>2</w:t>
      </w:r>
      <w:r w:rsidR="007C2C24">
        <w:t xml:space="preserve">4 hours of exposure to </w:t>
      </w:r>
      <w:proofErr w:type="spellStart"/>
      <w:r w:rsidR="007C2C24">
        <w:t>normoxic</w:t>
      </w:r>
      <w:proofErr w:type="spellEnd"/>
      <w:r w:rsidR="007C2C24">
        <w:t xml:space="preserve"> (21% O</w:t>
      </w:r>
      <w:r w:rsidR="007C2C24">
        <w:rPr>
          <w:vertAlign w:val="subscript"/>
        </w:rPr>
        <w:t>2</w:t>
      </w:r>
      <w:r w:rsidR="007C2C24">
        <w:t>) or hypoxic (1% O</w:t>
      </w:r>
      <w:r w:rsidR="007C2C24">
        <w:rPr>
          <w:vertAlign w:val="subscript"/>
        </w:rPr>
        <w:t>2</w:t>
      </w:r>
      <w:r w:rsidR="007C2C24">
        <w:t xml:space="preserve">) conditions. Geomean of beta-actin and 18S were used as housekeeping. The data is presented as median with interquartile range. </w:t>
      </w:r>
      <w:r w:rsidR="007C2C24" w:rsidRPr="00916952">
        <w:rPr>
          <w:rFonts w:eastAsia="Times New Roman"/>
          <w:iCs/>
        </w:rPr>
        <w:t>Ordinary two-way ANOVA or RM two-way ANOVA were used for unpaired and paired comparisons and the post-hoc test Fisher’s LSD was used for statistical analysis</w:t>
      </w:r>
      <w:r w:rsidR="007C2C24">
        <w:rPr>
          <w:rFonts w:eastAsia="Times New Roman"/>
          <w:iCs/>
        </w:rPr>
        <w:t>.</w:t>
      </w:r>
      <w:r w:rsidR="007C2C24">
        <w:t xml:space="preserve"> </w:t>
      </w:r>
    </w:p>
    <w:sectPr w:rsidR="003E73A3" w:rsidRPr="00F06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5E"/>
    <w:rsid w:val="001C072C"/>
    <w:rsid w:val="001F6789"/>
    <w:rsid w:val="002C3EBF"/>
    <w:rsid w:val="002D7D1F"/>
    <w:rsid w:val="003E73A3"/>
    <w:rsid w:val="004450A9"/>
    <w:rsid w:val="00506BD0"/>
    <w:rsid w:val="005342A8"/>
    <w:rsid w:val="0061205D"/>
    <w:rsid w:val="00787A91"/>
    <w:rsid w:val="007C2C24"/>
    <w:rsid w:val="00800D06"/>
    <w:rsid w:val="00857829"/>
    <w:rsid w:val="008646DA"/>
    <w:rsid w:val="0088395E"/>
    <w:rsid w:val="00BF5BBD"/>
    <w:rsid w:val="00CF45C6"/>
    <w:rsid w:val="00D721A3"/>
    <w:rsid w:val="00F06627"/>
    <w:rsid w:val="00F1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8BF2"/>
  <w15:chartTrackingRefBased/>
  <w15:docId w15:val="{41460DD5-A56A-44A9-BA8E-39D41340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5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95E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88395E"/>
    <w:rPr>
      <w:rFonts w:ascii="Arial" w:eastAsia="MS Mincho" w:hAnsi="Arial" w:cs="Arial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395E"/>
    <w:rPr>
      <w:rFonts w:ascii="Arial" w:eastAsia="MS Mincho" w:hAnsi="Arial" w:cs="Arial"/>
      <w:kern w:val="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8395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Ryde</dc:creator>
  <cp:keywords/>
  <dc:description/>
  <cp:lastModifiedBy>Martin Garcia-Ryde</cp:lastModifiedBy>
  <cp:revision>2</cp:revision>
  <dcterms:created xsi:type="dcterms:W3CDTF">2024-07-03T10:35:00Z</dcterms:created>
  <dcterms:modified xsi:type="dcterms:W3CDTF">2024-07-03T10:35:00Z</dcterms:modified>
</cp:coreProperties>
</file>