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EC0" w:rsidRPr="00FA3EC0" w:rsidRDefault="00FA3EC0" w:rsidP="00FA3EC0">
      <w:pPr>
        <w:pStyle w:val="Heading1"/>
        <w:spacing w:before="61"/>
        <w:rPr>
          <w:color w:val="000000" w:themeColor="text1"/>
        </w:rPr>
      </w:pPr>
      <w:r w:rsidRPr="00FA3EC0">
        <w:rPr>
          <w:color w:val="000000" w:themeColor="text1"/>
        </w:rPr>
        <w:t>Supplementary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Figure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  <w:spacing w:val="-2"/>
        </w:rPr>
        <w:t>Legends</w:t>
      </w:r>
    </w:p>
    <w:p w:rsidR="00FA3EC0" w:rsidRPr="00FA3EC0" w:rsidRDefault="00FA3EC0" w:rsidP="00FA3EC0">
      <w:pPr>
        <w:pStyle w:val="BodyText"/>
        <w:spacing w:before="45"/>
        <w:ind w:left="0"/>
        <w:rPr>
          <w:b/>
          <w:color w:val="000000" w:themeColor="text1"/>
        </w:rPr>
      </w:pPr>
    </w:p>
    <w:p w:rsidR="00FA3EC0" w:rsidRPr="00FA3EC0" w:rsidRDefault="00FA3EC0" w:rsidP="00FA3EC0">
      <w:pPr>
        <w:spacing w:line="276" w:lineRule="auto"/>
        <w:ind w:left="380" w:right="352"/>
        <w:rPr>
          <w:color w:val="000000" w:themeColor="text1"/>
          <w:sz w:val="24"/>
        </w:rPr>
      </w:pPr>
      <w:r w:rsidRPr="00FA3EC0">
        <w:rPr>
          <w:b/>
          <w:color w:val="000000" w:themeColor="text1"/>
          <w:sz w:val="24"/>
        </w:rPr>
        <w:t>Figure</w:t>
      </w:r>
      <w:r w:rsidRPr="00FA3EC0">
        <w:rPr>
          <w:b/>
          <w:color w:val="000000" w:themeColor="text1"/>
          <w:spacing w:val="-4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S1:</w:t>
      </w:r>
      <w:r w:rsidRPr="00FA3EC0">
        <w:rPr>
          <w:b/>
          <w:color w:val="000000" w:themeColor="text1"/>
          <w:spacing w:val="40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Marker</w:t>
      </w:r>
      <w:r w:rsidRPr="00FA3EC0">
        <w:rPr>
          <w:b/>
          <w:color w:val="000000" w:themeColor="text1"/>
          <w:spacing w:val="-4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genes</w:t>
      </w:r>
      <w:r w:rsidRPr="00FA3EC0">
        <w:rPr>
          <w:b/>
          <w:color w:val="000000" w:themeColor="text1"/>
          <w:spacing w:val="-3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for</w:t>
      </w:r>
      <w:r w:rsidRPr="00FA3EC0">
        <w:rPr>
          <w:b/>
          <w:color w:val="000000" w:themeColor="text1"/>
          <w:spacing w:val="-5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key</w:t>
      </w:r>
      <w:r w:rsidRPr="00FA3EC0">
        <w:rPr>
          <w:b/>
          <w:color w:val="000000" w:themeColor="text1"/>
          <w:spacing w:val="-3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HBE</w:t>
      </w:r>
      <w:r w:rsidRPr="00FA3EC0">
        <w:rPr>
          <w:b/>
          <w:color w:val="000000" w:themeColor="text1"/>
          <w:spacing w:val="-3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cell</w:t>
      </w:r>
      <w:r w:rsidRPr="00FA3EC0">
        <w:rPr>
          <w:b/>
          <w:color w:val="000000" w:themeColor="text1"/>
          <w:spacing w:val="-3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types.</w:t>
      </w:r>
      <w:r w:rsidRPr="00FA3EC0">
        <w:rPr>
          <w:b/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(</w:t>
      </w:r>
      <w:r w:rsidRPr="00FA3EC0">
        <w:rPr>
          <w:b/>
          <w:color w:val="000000" w:themeColor="text1"/>
          <w:sz w:val="24"/>
        </w:rPr>
        <w:t>a</w:t>
      </w:r>
      <w:r w:rsidRPr="00FA3EC0">
        <w:rPr>
          <w:color w:val="000000" w:themeColor="text1"/>
          <w:sz w:val="24"/>
        </w:rPr>
        <w:t>)Heatmap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showing</w:t>
      </w:r>
      <w:r w:rsidRPr="00FA3EC0">
        <w:rPr>
          <w:color w:val="000000" w:themeColor="text1"/>
          <w:spacing w:val="-1"/>
          <w:sz w:val="24"/>
        </w:rPr>
        <w:t xml:space="preserve"> </w:t>
      </w:r>
      <w:r w:rsidRPr="00FA3EC0">
        <w:rPr>
          <w:color w:val="000000" w:themeColor="text1"/>
          <w:sz w:val="24"/>
        </w:rPr>
        <w:t>expression levels of cluster</w:t>
      </w:r>
      <w:bookmarkStart w:id="0" w:name="_GoBack"/>
      <w:bookmarkEnd w:id="0"/>
      <w:r w:rsidRPr="00FA3EC0">
        <w:rPr>
          <w:color w:val="000000" w:themeColor="text1"/>
          <w:sz w:val="24"/>
        </w:rPr>
        <w:t xml:space="preserve"> marker genes.</w:t>
      </w:r>
      <w:r w:rsidRPr="00FA3EC0">
        <w:rPr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(</w:t>
      </w:r>
      <w:r w:rsidRPr="00FA3EC0">
        <w:rPr>
          <w:b/>
          <w:color w:val="000000" w:themeColor="text1"/>
          <w:sz w:val="24"/>
        </w:rPr>
        <w:t>b</w:t>
      </w:r>
      <w:r w:rsidRPr="00FA3EC0">
        <w:rPr>
          <w:color w:val="000000" w:themeColor="text1"/>
          <w:sz w:val="24"/>
        </w:rPr>
        <w:t>) Violin plots showing expression levels marker genes.</w:t>
      </w:r>
      <w:r w:rsidRPr="00FA3EC0">
        <w:rPr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(</w:t>
      </w:r>
      <w:r w:rsidRPr="00FA3EC0">
        <w:rPr>
          <w:b/>
          <w:color w:val="000000" w:themeColor="text1"/>
          <w:sz w:val="24"/>
        </w:rPr>
        <w:t>c</w:t>
      </w:r>
      <w:r w:rsidRPr="00FA3EC0">
        <w:rPr>
          <w:color w:val="000000" w:themeColor="text1"/>
          <w:sz w:val="24"/>
        </w:rPr>
        <w:t>) Cell cycle score embedded in UMAPs.</w:t>
      </w:r>
    </w:p>
    <w:p w:rsidR="00FA3EC0" w:rsidRPr="00FA3EC0" w:rsidRDefault="00FA3EC0" w:rsidP="00FA3EC0">
      <w:pPr>
        <w:pStyle w:val="BodyText"/>
        <w:spacing w:before="3"/>
        <w:ind w:left="0"/>
        <w:rPr>
          <w:color w:val="000000" w:themeColor="text1"/>
        </w:rPr>
      </w:pPr>
    </w:p>
    <w:p w:rsidR="00FA3EC0" w:rsidRPr="00FA3EC0" w:rsidRDefault="00FA3EC0" w:rsidP="00FA3EC0">
      <w:pPr>
        <w:spacing w:before="1" w:line="276" w:lineRule="auto"/>
        <w:ind w:left="380" w:right="425"/>
        <w:rPr>
          <w:color w:val="000000" w:themeColor="text1"/>
          <w:sz w:val="24"/>
        </w:rPr>
      </w:pPr>
      <w:r w:rsidRPr="00FA3EC0">
        <w:rPr>
          <w:b/>
          <w:color w:val="000000" w:themeColor="text1"/>
          <w:sz w:val="24"/>
        </w:rPr>
        <w:t>Figure S2:</w:t>
      </w:r>
      <w:r w:rsidRPr="00FA3EC0">
        <w:rPr>
          <w:b/>
          <w:color w:val="000000" w:themeColor="text1"/>
          <w:spacing w:val="40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 xml:space="preserve">Expression levels of key marker genes in HBE cell populations. </w:t>
      </w:r>
      <w:r w:rsidRPr="00FA3EC0">
        <w:rPr>
          <w:color w:val="000000" w:themeColor="text1"/>
          <w:sz w:val="24"/>
        </w:rPr>
        <w:t>Violin plots showing expression levels of (</w:t>
      </w:r>
      <w:r w:rsidRPr="00FA3EC0">
        <w:rPr>
          <w:b/>
          <w:color w:val="000000" w:themeColor="text1"/>
          <w:sz w:val="24"/>
        </w:rPr>
        <w:t>a</w:t>
      </w:r>
      <w:r w:rsidRPr="00FA3EC0">
        <w:rPr>
          <w:color w:val="000000" w:themeColor="text1"/>
          <w:sz w:val="24"/>
        </w:rPr>
        <w:t>) ciliated 4 cluster marker genes, (</w:t>
      </w:r>
      <w:r w:rsidRPr="00FA3EC0">
        <w:rPr>
          <w:b/>
          <w:color w:val="000000" w:themeColor="text1"/>
          <w:sz w:val="24"/>
        </w:rPr>
        <w:t>b</w:t>
      </w:r>
      <w:r w:rsidRPr="00FA3EC0">
        <w:rPr>
          <w:color w:val="000000" w:themeColor="text1"/>
          <w:sz w:val="24"/>
        </w:rPr>
        <w:t>) ciliated 1 cluster marker genes and (</w:t>
      </w:r>
      <w:r w:rsidRPr="00FA3EC0">
        <w:rPr>
          <w:b/>
          <w:color w:val="000000" w:themeColor="text1"/>
          <w:sz w:val="24"/>
        </w:rPr>
        <w:t>c</w:t>
      </w:r>
      <w:r w:rsidRPr="00FA3EC0">
        <w:rPr>
          <w:color w:val="000000" w:themeColor="text1"/>
          <w:sz w:val="24"/>
        </w:rPr>
        <w:t>) club cluster marker genes.</w:t>
      </w:r>
      <w:r w:rsidRPr="00FA3EC0">
        <w:rPr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(</w:t>
      </w:r>
      <w:r w:rsidRPr="00FA3EC0">
        <w:rPr>
          <w:b/>
          <w:color w:val="000000" w:themeColor="text1"/>
          <w:sz w:val="24"/>
        </w:rPr>
        <w:t>d</w:t>
      </w:r>
      <w:r w:rsidRPr="00FA3EC0">
        <w:rPr>
          <w:color w:val="000000" w:themeColor="text1"/>
          <w:sz w:val="24"/>
        </w:rPr>
        <w:t>) Expression patterns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of</w:t>
      </w:r>
      <w:r w:rsidRPr="00FA3EC0">
        <w:rPr>
          <w:color w:val="000000" w:themeColor="text1"/>
          <w:spacing w:val="-4"/>
          <w:sz w:val="24"/>
        </w:rPr>
        <w:t xml:space="preserve"> </w:t>
      </w:r>
      <w:r w:rsidRPr="00FA3EC0">
        <w:rPr>
          <w:i/>
          <w:color w:val="000000" w:themeColor="text1"/>
          <w:sz w:val="24"/>
        </w:rPr>
        <w:t>CP</w:t>
      </w:r>
      <w:r w:rsidRPr="00FA3EC0">
        <w:rPr>
          <w:color w:val="000000" w:themeColor="text1"/>
          <w:sz w:val="24"/>
        </w:rPr>
        <w:t>,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i/>
          <w:color w:val="000000" w:themeColor="text1"/>
          <w:sz w:val="24"/>
        </w:rPr>
        <w:t>MYB</w:t>
      </w:r>
      <w:r w:rsidRPr="00FA3EC0">
        <w:rPr>
          <w:i/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and</w:t>
      </w:r>
      <w:r w:rsidRPr="00FA3EC0">
        <w:rPr>
          <w:color w:val="000000" w:themeColor="text1"/>
          <w:spacing w:val="-1"/>
          <w:sz w:val="24"/>
        </w:rPr>
        <w:t xml:space="preserve"> </w:t>
      </w:r>
      <w:r w:rsidRPr="00FA3EC0">
        <w:rPr>
          <w:i/>
          <w:color w:val="000000" w:themeColor="text1"/>
          <w:sz w:val="24"/>
        </w:rPr>
        <w:t>CDK1</w:t>
      </w:r>
      <w:r w:rsidRPr="00FA3EC0">
        <w:rPr>
          <w:color w:val="000000" w:themeColor="text1"/>
          <w:sz w:val="24"/>
        </w:rPr>
        <w:t>.</w:t>
      </w:r>
      <w:r w:rsidRPr="00FA3EC0">
        <w:rPr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(</w:t>
      </w:r>
      <w:r w:rsidRPr="00FA3EC0">
        <w:rPr>
          <w:b/>
          <w:color w:val="000000" w:themeColor="text1"/>
          <w:sz w:val="24"/>
        </w:rPr>
        <w:t>e</w:t>
      </w:r>
      <w:r w:rsidRPr="00FA3EC0">
        <w:rPr>
          <w:color w:val="000000" w:themeColor="text1"/>
          <w:sz w:val="24"/>
        </w:rPr>
        <w:t>)</w:t>
      </w:r>
      <w:r w:rsidRPr="00FA3EC0">
        <w:rPr>
          <w:color w:val="000000" w:themeColor="text1"/>
          <w:spacing w:val="-4"/>
          <w:sz w:val="24"/>
        </w:rPr>
        <w:t xml:space="preserve"> </w:t>
      </w:r>
      <w:r w:rsidRPr="00FA3EC0">
        <w:rPr>
          <w:color w:val="000000" w:themeColor="text1"/>
          <w:sz w:val="24"/>
        </w:rPr>
        <w:t>Expression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patterns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of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i/>
          <w:color w:val="000000" w:themeColor="text1"/>
          <w:sz w:val="24"/>
        </w:rPr>
        <w:t>BPIFB1</w:t>
      </w:r>
      <w:r w:rsidRPr="00FA3EC0">
        <w:rPr>
          <w:i/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and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i/>
          <w:color w:val="000000" w:themeColor="text1"/>
          <w:sz w:val="24"/>
        </w:rPr>
        <w:t>SERPINB3</w:t>
      </w:r>
      <w:r w:rsidRPr="00FA3EC0">
        <w:rPr>
          <w:color w:val="000000" w:themeColor="text1"/>
          <w:sz w:val="24"/>
        </w:rPr>
        <w:t>.</w:t>
      </w:r>
    </w:p>
    <w:p w:rsidR="00FA3EC0" w:rsidRPr="00FA3EC0" w:rsidRDefault="00FA3EC0" w:rsidP="00FA3EC0">
      <w:pPr>
        <w:pStyle w:val="BodyText"/>
        <w:spacing w:before="5"/>
        <w:ind w:left="0"/>
        <w:rPr>
          <w:color w:val="000000" w:themeColor="text1"/>
        </w:rPr>
      </w:pPr>
    </w:p>
    <w:p w:rsidR="00FA3EC0" w:rsidRPr="00FA3EC0" w:rsidRDefault="00FA3EC0" w:rsidP="00FA3EC0">
      <w:pPr>
        <w:spacing w:line="276" w:lineRule="auto"/>
        <w:ind w:left="380" w:right="336"/>
        <w:rPr>
          <w:color w:val="000000" w:themeColor="text1"/>
          <w:sz w:val="24"/>
        </w:rPr>
      </w:pPr>
      <w:r w:rsidRPr="00FA3EC0">
        <w:rPr>
          <w:b/>
          <w:color w:val="000000" w:themeColor="text1"/>
          <w:sz w:val="24"/>
        </w:rPr>
        <w:t>Figure S3:</w:t>
      </w:r>
      <w:r w:rsidRPr="00FA3EC0">
        <w:rPr>
          <w:b/>
          <w:color w:val="000000" w:themeColor="text1"/>
          <w:spacing w:val="40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Consistency of identifying similar cell populations between our scRNA-Seq data and published scRNA-Seq data (PRJEB44878) of HBE cells in ALI</w:t>
      </w:r>
      <w:r w:rsidRPr="00FA3EC0">
        <w:rPr>
          <w:b/>
          <w:color w:val="000000" w:themeColor="text1"/>
          <w:spacing w:val="-3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cultures.</w:t>
      </w:r>
      <w:r w:rsidRPr="00FA3EC0">
        <w:rPr>
          <w:b/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(</w:t>
      </w:r>
      <w:r w:rsidRPr="00FA3EC0">
        <w:rPr>
          <w:b/>
          <w:color w:val="000000" w:themeColor="text1"/>
          <w:sz w:val="24"/>
        </w:rPr>
        <w:t>a</w:t>
      </w:r>
      <w:r w:rsidRPr="00FA3EC0">
        <w:rPr>
          <w:color w:val="000000" w:themeColor="text1"/>
          <w:sz w:val="24"/>
        </w:rPr>
        <w:t>)</w:t>
      </w:r>
      <w:r w:rsidRPr="00FA3EC0">
        <w:rPr>
          <w:color w:val="000000" w:themeColor="text1"/>
          <w:spacing w:val="-4"/>
          <w:sz w:val="24"/>
        </w:rPr>
        <w:t xml:space="preserve"> </w:t>
      </w:r>
      <w:r w:rsidRPr="00FA3EC0">
        <w:rPr>
          <w:color w:val="000000" w:themeColor="text1"/>
          <w:sz w:val="24"/>
        </w:rPr>
        <w:t>UMAP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plot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of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main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clusters’</w:t>
      </w:r>
      <w:r w:rsidRPr="00FA3EC0">
        <w:rPr>
          <w:color w:val="000000" w:themeColor="text1"/>
          <w:spacing w:val="-5"/>
          <w:sz w:val="24"/>
        </w:rPr>
        <w:t xml:space="preserve"> </w:t>
      </w:r>
      <w:r w:rsidRPr="00FA3EC0">
        <w:rPr>
          <w:color w:val="000000" w:themeColor="text1"/>
          <w:sz w:val="24"/>
        </w:rPr>
        <w:t>annotation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between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our</w:t>
      </w:r>
      <w:r w:rsidRPr="00FA3EC0">
        <w:rPr>
          <w:color w:val="000000" w:themeColor="text1"/>
          <w:spacing w:val="-4"/>
          <w:sz w:val="24"/>
        </w:rPr>
        <w:t xml:space="preserve"> </w:t>
      </w:r>
      <w:r w:rsidRPr="00FA3EC0">
        <w:rPr>
          <w:color w:val="000000" w:themeColor="text1"/>
          <w:sz w:val="24"/>
        </w:rPr>
        <w:t>ALI</w:t>
      </w:r>
      <w:r w:rsidRPr="00FA3EC0">
        <w:rPr>
          <w:color w:val="000000" w:themeColor="text1"/>
          <w:spacing w:val="-7"/>
          <w:sz w:val="24"/>
        </w:rPr>
        <w:t xml:space="preserve"> </w:t>
      </w:r>
      <w:r w:rsidRPr="00FA3EC0">
        <w:rPr>
          <w:color w:val="000000" w:themeColor="text1"/>
          <w:sz w:val="24"/>
        </w:rPr>
        <w:t>data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and previous</w:t>
      </w:r>
      <w:r w:rsidRPr="00FA3EC0">
        <w:rPr>
          <w:color w:val="000000" w:themeColor="text1"/>
          <w:spacing w:val="-1"/>
          <w:sz w:val="24"/>
        </w:rPr>
        <w:t xml:space="preserve"> </w:t>
      </w:r>
      <w:r w:rsidRPr="00FA3EC0">
        <w:rPr>
          <w:color w:val="000000" w:themeColor="text1"/>
          <w:sz w:val="24"/>
        </w:rPr>
        <w:t>study</w:t>
      </w:r>
      <w:r w:rsidRPr="00FA3EC0">
        <w:rPr>
          <w:color w:val="000000" w:themeColor="text1"/>
          <w:spacing w:val="-1"/>
          <w:sz w:val="24"/>
        </w:rPr>
        <w:t xml:space="preserve"> </w:t>
      </w:r>
      <w:r w:rsidRPr="00FA3EC0">
        <w:rPr>
          <w:color w:val="000000" w:themeColor="text1"/>
          <w:sz w:val="24"/>
        </w:rPr>
        <w:t>(PRJEB44878)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using</w:t>
      </w:r>
      <w:r w:rsidRPr="00FA3EC0">
        <w:rPr>
          <w:color w:val="000000" w:themeColor="text1"/>
          <w:spacing w:val="-1"/>
          <w:sz w:val="24"/>
        </w:rPr>
        <w:t xml:space="preserve"> </w:t>
      </w:r>
      <w:r w:rsidRPr="00FA3EC0">
        <w:rPr>
          <w:color w:val="000000" w:themeColor="text1"/>
          <w:sz w:val="24"/>
        </w:rPr>
        <w:t>the</w:t>
      </w:r>
      <w:r w:rsidRPr="00FA3EC0">
        <w:rPr>
          <w:color w:val="000000" w:themeColor="text1"/>
          <w:spacing w:val="-1"/>
          <w:sz w:val="24"/>
        </w:rPr>
        <w:t xml:space="preserve"> </w:t>
      </w:r>
      <w:r w:rsidRPr="00FA3EC0">
        <w:rPr>
          <w:color w:val="000000" w:themeColor="text1"/>
          <w:sz w:val="24"/>
        </w:rPr>
        <w:t>published</w:t>
      </w:r>
      <w:r w:rsidRPr="00FA3EC0">
        <w:rPr>
          <w:color w:val="000000" w:themeColor="text1"/>
          <w:spacing w:val="-1"/>
          <w:sz w:val="24"/>
        </w:rPr>
        <w:t xml:space="preserve"> </w:t>
      </w:r>
      <w:r w:rsidRPr="00FA3EC0">
        <w:rPr>
          <w:color w:val="000000" w:themeColor="text1"/>
          <w:sz w:val="24"/>
        </w:rPr>
        <w:t>markers (BC1:</w:t>
      </w:r>
      <w:r w:rsidRPr="00FA3EC0">
        <w:rPr>
          <w:color w:val="000000" w:themeColor="text1"/>
          <w:spacing w:val="-1"/>
          <w:sz w:val="24"/>
        </w:rPr>
        <w:t xml:space="preserve"> </w:t>
      </w:r>
      <w:r w:rsidRPr="00FA3EC0">
        <w:rPr>
          <w:color w:val="000000" w:themeColor="text1"/>
          <w:sz w:val="24"/>
        </w:rPr>
        <w:t>Basal</w:t>
      </w:r>
      <w:r w:rsidRPr="00FA3EC0">
        <w:rPr>
          <w:color w:val="000000" w:themeColor="text1"/>
          <w:spacing w:val="-1"/>
          <w:sz w:val="24"/>
        </w:rPr>
        <w:t xml:space="preserve"> </w:t>
      </w:r>
      <w:r w:rsidRPr="00FA3EC0">
        <w:rPr>
          <w:color w:val="000000" w:themeColor="text1"/>
          <w:sz w:val="24"/>
        </w:rPr>
        <w:t>cells;</w:t>
      </w:r>
      <w:r w:rsidRPr="00FA3EC0">
        <w:rPr>
          <w:color w:val="000000" w:themeColor="text1"/>
          <w:spacing w:val="-1"/>
          <w:sz w:val="24"/>
        </w:rPr>
        <w:t xml:space="preserve"> </w:t>
      </w:r>
      <w:r w:rsidRPr="00FA3EC0">
        <w:rPr>
          <w:color w:val="000000" w:themeColor="text1"/>
          <w:sz w:val="24"/>
        </w:rPr>
        <w:t>BC2/3: BC proliferating &amp; squamous; CC1: Ciliated cells; CC2: CC II; CC3: CC intermediate; IC: Intermediate cells; SC1: Secretory cells; SC2: SC proinflam; SC3:SC mucous).</w:t>
      </w:r>
      <w:r w:rsidRPr="00FA3EC0">
        <w:rPr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(</w:t>
      </w:r>
      <w:r w:rsidRPr="00FA3EC0">
        <w:rPr>
          <w:b/>
          <w:color w:val="000000" w:themeColor="text1"/>
          <w:sz w:val="24"/>
        </w:rPr>
        <w:t>b</w:t>
      </w:r>
      <w:r w:rsidRPr="00FA3EC0">
        <w:rPr>
          <w:color w:val="000000" w:themeColor="text1"/>
          <w:sz w:val="24"/>
        </w:rPr>
        <w:t>) Correlation heatmap between our ALI data cell types and PRJEB44878.</w:t>
      </w:r>
      <w:r w:rsidRPr="00FA3EC0">
        <w:rPr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(</w:t>
      </w:r>
      <w:r w:rsidRPr="00FA3EC0">
        <w:rPr>
          <w:b/>
          <w:color w:val="000000" w:themeColor="text1"/>
          <w:sz w:val="24"/>
        </w:rPr>
        <w:t>c</w:t>
      </w:r>
      <w:r w:rsidRPr="00FA3EC0">
        <w:rPr>
          <w:color w:val="000000" w:themeColor="text1"/>
          <w:sz w:val="24"/>
        </w:rPr>
        <w:t>) Expression heatmap of the key markers for clusters between our ALI data and PRJEB44878.</w:t>
      </w:r>
    </w:p>
    <w:p w:rsidR="00FA3EC0" w:rsidRPr="00FA3EC0" w:rsidRDefault="00FA3EC0" w:rsidP="00FA3EC0">
      <w:pPr>
        <w:pStyle w:val="BodyText"/>
        <w:spacing w:before="5"/>
        <w:ind w:left="0"/>
        <w:rPr>
          <w:color w:val="000000" w:themeColor="text1"/>
        </w:rPr>
      </w:pPr>
    </w:p>
    <w:p w:rsidR="00FA3EC0" w:rsidRPr="00FA3EC0" w:rsidRDefault="00FA3EC0" w:rsidP="00FA3EC0">
      <w:pPr>
        <w:spacing w:line="276" w:lineRule="auto"/>
        <w:ind w:left="380" w:right="330"/>
        <w:rPr>
          <w:color w:val="000000" w:themeColor="text1"/>
          <w:sz w:val="24"/>
        </w:rPr>
      </w:pPr>
      <w:r w:rsidRPr="00FA3EC0">
        <w:rPr>
          <w:b/>
          <w:color w:val="000000" w:themeColor="text1"/>
          <w:sz w:val="24"/>
        </w:rPr>
        <w:t>Figure S4:</w:t>
      </w:r>
      <w:r w:rsidRPr="00FA3EC0">
        <w:rPr>
          <w:b/>
          <w:color w:val="000000" w:themeColor="text1"/>
          <w:spacing w:val="40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ECE exposure leads to no significant differences in proliferation of HBE cells or basal cells from healthy nonsmokers.</w:t>
      </w:r>
      <w:r w:rsidRPr="00FA3EC0">
        <w:rPr>
          <w:b/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(</w:t>
      </w:r>
      <w:r w:rsidRPr="00FA3EC0">
        <w:rPr>
          <w:b/>
          <w:color w:val="000000" w:themeColor="text1"/>
          <w:sz w:val="24"/>
        </w:rPr>
        <w:t>a</w:t>
      </w:r>
      <w:r w:rsidRPr="00FA3EC0">
        <w:rPr>
          <w:color w:val="000000" w:themeColor="text1"/>
          <w:sz w:val="24"/>
        </w:rPr>
        <w:t>)Immunostaining for Ki67 (green), CDH1 (red)and DAPI staining (blue) in HBE cells from healthy nonsmokers at the ALI after 9 day DMEM/F-12 medium (n</w:t>
      </w:r>
      <w:r w:rsidRPr="00FA3EC0">
        <w:rPr>
          <w:color w:val="000000" w:themeColor="text1"/>
          <w:spacing w:val="-5"/>
          <w:sz w:val="24"/>
        </w:rPr>
        <w:t xml:space="preserve"> </w:t>
      </w:r>
      <w:r w:rsidRPr="00FA3EC0">
        <w:rPr>
          <w:color w:val="000000" w:themeColor="text1"/>
          <w:sz w:val="24"/>
        </w:rPr>
        <w:t>=</w:t>
      </w:r>
      <w:r w:rsidRPr="00FA3EC0">
        <w:rPr>
          <w:color w:val="000000" w:themeColor="text1"/>
          <w:spacing w:val="-4"/>
          <w:sz w:val="24"/>
        </w:rPr>
        <w:t xml:space="preserve"> </w:t>
      </w:r>
      <w:r w:rsidRPr="00FA3EC0">
        <w:rPr>
          <w:color w:val="000000" w:themeColor="text1"/>
          <w:sz w:val="24"/>
        </w:rPr>
        <w:t>5), ECE (n</w:t>
      </w:r>
      <w:r w:rsidRPr="00FA3EC0">
        <w:rPr>
          <w:color w:val="000000" w:themeColor="text1"/>
          <w:spacing w:val="-5"/>
          <w:sz w:val="24"/>
        </w:rPr>
        <w:t xml:space="preserve"> </w:t>
      </w:r>
      <w:r w:rsidRPr="00FA3EC0">
        <w:rPr>
          <w:color w:val="000000" w:themeColor="text1"/>
          <w:sz w:val="24"/>
        </w:rPr>
        <w:t>=</w:t>
      </w:r>
      <w:r w:rsidRPr="00FA3EC0">
        <w:rPr>
          <w:color w:val="000000" w:themeColor="text1"/>
          <w:spacing w:val="-6"/>
          <w:sz w:val="24"/>
        </w:rPr>
        <w:t xml:space="preserve"> </w:t>
      </w:r>
      <w:r w:rsidRPr="00FA3EC0">
        <w:rPr>
          <w:color w:val="000000" w:themeColor="text1"/>
          <w:sz w:val="24"/>
        </w:rPr>
        <w:t>5) or CSE(n</w:t>
      </w:r>
      <w:r w:rsidRPr="00FA3EC0">
        <w:rPr>
          <w:color w:val="000000" w:themeColor="text1"/>
          <w:spacing w:val="-5"/>
          <w:sz w:val="24"/>
        </w:rPr>
        <w:t xml:space="preserve"> </w:t>
      </w:r>
      <w:r w:rsidRPr="00FA3EC0">
        <w:rPr>
          <w:color w:val="000000" w:themeColor="text1"/>
          <w:sz w:val="24"/>
        </w:rPr>
        <w:t>=</w:t>
      </w:r>
      <w:r w:rsidRPr="00FA3EC0">
        <w:rPr>
          <w:color w:val="000000" w:themeColor="text1"/>
          <w:spacing w:val="-6"/>
          <w:sz w:val="24"/>
        </w:rPr>
        <w:t xml:space="preserve"> </w:t>
      </w:r>
      <w:r w:rsidRPr="00FA3EC0">
        <w:rPr>
          <w:color w:val="000000" w:themeColor="text1"/>
          <w:sz w:val="24"/>
        </w:rPr>
        <w:t>5) treatment.</w:t>
      </w:r>
      <w:r w:rsidRPr="00FA3EC0">
        <w:rPr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(</w:t>
      </w:r>
      <w:r w:rsidRPr="00FA3EC0">
        <w:rPr>
          <w:b/>
          <w:color w:val="000000" w:themeColor="text1"/>
          <w:sz w:val="24"/>
        </w:rPr>
        <w:t>b</w:t>
      </w:r>
      <w:r w:rsidRPr="00FA3EC0">
        <w:rPr>
          <w:color w:val="000000" w:themeColor="text1"/>
          <w:sz w:val="24"/>
        </w:rPr>
        <w:t>)</w:t>
      </w:r>
      <w:r w:rsidRPr="00FA3EC0">
        <w:rPr>
          <w:color w:val="000000" w:themeColor="text1"/>
          <w:spacing w:val="-1"/>
          <w:sz w:val="24"/>
        </w:rPr>
        <w:t xml:space="preserve"> </w:t>
      </w:r>
      <w:r w:rsidRPr="00FA3EC0">
        <w:rPr>
          <w:color w:val="000000" w:themeColor="text1"/>
          <w:sz w:val="24"/>
        </w:rPr>
        <w:t>Ratio of CDH1</w:t>
      </w:r>
      <w:r w:rsidRPr="00FA3EC0">
        <w:rPr>
          <w:color w:val="000000" w:themeColor="text1"/>
          <w:sz w:val="24"/>
          <w:vertAlign w:val="superscript"/>
        </w:rPr>
        <w:t>+</w:t>
      </w:r>
      <w:r w:rsidRPr="00FA3EC0">
        <w:rPr>
          <w:color w:val="000000" w:themeColor="text1"/>
          <w:sz w:val="24"/>
        </w:rPr>
        <w:t xml:space="preserve"> cells that are Ki67</w:t>
      </w:r>
      <w:r w:rsidRPr="00FA3EC0">
        <w:rPr>
          <w:color w:val="000000" w:themeColor="text1"/>
          <w:sz w:val="24"/>
          <w:vertAlign w:val="superscript"/>
        </w:rPr>
        <w:t>+</w:t>
      </w:r>
      <w:r w:rsidRPr="00FA3EC0">
        <w:rPr>
          <w:color w:val="000000" w:themeColor="text1"/>
          <w:sz w:val="24"/>
        </w:rPr>
        <w:t>.</w:t>
      </w:r>
      <w:r w:rsidRPr="00FA3EC0">
        <w:rPr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3653, 2821 and 2108 Ki67</w:t>
      </w:r>
      <w:r w:rsidRPr="00FA3EC0">
        <w:rPr>
          <w:color w:val="000000" w:themeColor="text1"/>
          <w:sz w:val="24"/>
          <w:vertAlign w:val="superscript"/>
        </w:rPr>
        <w:t>+</w:t>
      </w:r>
      <w:r w:rsidRPr="00FA3EC0">
        <w:rPr>
          <w:color w:val="000000" w:themeColor="text1"/>
          <w:sz w:val="24"/>
        </w:rPr>
        <w:t xml:space="preserve"> cells were analyzed for controls, ECE and CSE treatment respectively.</w:t>
      </w:r>
      <w:r w:rsidRPr="00FA3EC0">
        <w:rPr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15240, 14763 and 11758</w:t>
      </w:r>
      <w:r w:rsidRPr="00FA3EC0">
        <w:rPr>
          <w:color w:val="000000" w:themeColor="text1"/>
          <w:spacing w:val="-5"/>
          <w:sz w:val="24"/>
        </w:rPr>
        <w:t xml:space="preserve"> </w:t>
      </w:r>
      <w:r w:rsidRPr="00FA3EC0">
        <w:rPr>
          <w:color w:val="000000" w:themeColor="text1"/>
          <w:sz w:val="24"/>
        </w:rPr>
        <w:t>CDH1</w:t>
      </w:r>
      <w:r w:rsidRPr="00FA3EC0">
        <w:rPr>
          <w:color w:val="000000" w:themeColor="text1"/>
          <w:sz w:val="24"/>
          <w:vertAlign w:val="superscript"/>
        </w:rPr>
        <w:t>+</w:t>
      </w:r>
      <w:r w:rsidRPr="00FA3EC0">
        <w:rPr>
          <w:color w:val="000000" w:themeColor="text1"/>
          <w:spacing w:val="-4"/>
          <w:sz w:val="24"/>
        </w:rPr>
        <w:t xml:space="preserve"> </w:t>
      </w:r>
      <w:r w:rsidRPr="00FA3EC0">
        <w:rPr>
          <w:color w:val="000000" w:themeColor="text1"/>
          <w:sz w:val="24"/>
        </w:rPr>
        <w:t>cells</w:t>
      </w:r>
      <w:r w:rsidRPr="00FA3EC0">
        <w:rPr>
          <w:color w:val="000000" w:themeColor="text1"/>
          <w:spacing w:val="-4"/>
          <w:sz w:val="24"/>
        </w:rPr>
        <w:t xml:space="preserve"> </w:t>
      </w:r>
      <w:r w:rsidRPr="00FA3EC0">
        <w:rPr>
          <w:color w:val="000000" w:themeColor="text1"/>
          <w:sz w:val="24"/>
        </w:rPr>
        <w:t>were</w:t>
      </w:r>
      <w:r w:rsidRPr="00FA3EC0">
        <w:rPr>
          <w:color w:val="000000" w:themeColor="text1"/>
          <w:spacing w:val="-4"/>
          <w:sz w:val="24"/>
        </w:rPr>
        <w:t xml:space="preserve"> </w:t>
      </w:r>
      <w:r w:rsidRPr="00FA3EC0">
        <w:rPr>
          <w:color w:val="000000" w:themeColor="text1"/>
          <w:sz w:val="24"/>
        </w:rPr>
        <w:t>analyzed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for</w:t>
      </w:r>
      <w:r w:rsidRPr="00FA3EC0">
        <w:rPr>
          <w:color w:val="000000" w:themeColor="text1"/>
          <w:spacing w:val="-6"/>
          <w:sz w:val="24"/>
        </w:rPr>
        <w:t xml:space="preserve"> </w:t>
      </w:r>
      <w:r w:rsidRPr="00FA3EC0">
        <w:rPr>
          <w:color w:val="000000" w:themeColor="text1"/>
          <w:sz w:val="24"/>
        </w:rPr>
        <w:t>controls,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ECE</w:t>
      </w:r>
      <w:r w:rsidRPr="00FA3EC0">
        <w:rPr>
          <w:color w:val="000000" w:themeColor="text1"/>
          <w:spacing w:val="-4"/>
          <w:sz w:val="24"/>
        </w:rPr>
        <w:t xml:space="preserve"> </w:t>
      </w:r>
      <w:r w:rsidRPr="00FA3EC0">
        <w:rPr>
          <w:color w:val="000000" w:themeColor="text1"/>
          <w:sz w:val="24"/>
        </w:rPr>
        <w:t>and</w:t>
      </w:r>
      <w:r w:rsidRPr="00FA3EC0">
        <w:rPr>
          <w:color w:val="000000" w:themeColor="text1"/>
          <w:spacing w:val="-4"/>
          <w:sz w:val="24"/>
        </w:rPr>
        <w:t xml:space="preserve"> </w:t>
      </w:r>
      <w:r w:rsidRPr="00FA3EC0">
        <w:rPr>
          <w:color w:val="000000" w:themeColor="text1"/>
          <w:sz w:val="24"/>
        </w:rPr>
        <w:t>CSE</w:t>
      </w:r>
      <w:r w:rsidRPr="00FA3EC0">
        <w:rPr>
          <w:color w:val="000000" w:themeColor="text1"/>
          <w:spacing w:val="-4"/>
          <w:sz w:val="24"/>
        </w:rPr>
        <w:t xml:space="preserve"> </w:t>
      </w:r>
      <w:r w:rsidRPr="00FA3EC0">
        <w:rPr>
          <w:color w:val="000000" w:themeColor="text1"/>
          <w:sz w:val="24"/>
        </w:rPr>
        <w:t>treatment,</w:t>
      </w:r>
      <w:r w:rsidRPr="00FA3EC0">
        <w:rPr>
          <w:color w:val="000000" w:themeColor="text1"/>
          <w:spacing w:val="-4"/>
          <w:sz w:val="24"/>
        </w:rPr>
        <w:t xml:space="preserve"> </w:t>
      </w:r>
      <w:r w:rsidRPr="00FA3EC0">
        <w:rPr>
          <w:color w:val="000000" w:themeColor="text1"/>
          <w:sz w:val="24"/>
        </w:rPr>
        <w:t>respectively.</w:t>
      </w:r>
    </w:p>
    <w:p w:rsidR="00FA3EC0" w:rsidRPr="00FA3EC0" w:rsidRDefault="00FA3EC0" w:rsidP="00FA3EC0">
      <w:pPr>
        <w:pStyle w:val="BodyText"/>
        <w:spacing w:line="276" w:lineRule="auto"/>
        <w:ind w:right="473"/>
        <w:rPr>
          <w:color w:val="000000" w:themeColor="text1"/>
        </w:rPr>
      </w:pP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c</w:t>
      </w:r>
      <w:r w:rsidRPr="00FA3EC0">
        <w:rPr>
          <w:color w:val="000000" w:themeColor="text1"/>
        </w:rPr>
        <w:t>) Immunostaining for Ki67 (green), TP63 (red)and DAPI staining (blue) in HBE cells from healthy nonsmokers at the ALI after 9 day DMEM/F-12 medium (n</w:t>
      </w:r>
      <w:r w:rsidRPr="00FA3EC0">
        <w:rPr>
          <w:color w:val="000000" w:themeColor="text1"/>
          <w:spacing w:val="-8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10"/>
        </w:rPr>
        <w:t xml:space="preserve"> </w:t>
      </w:r>
      <w:r w:rsidRPr="00FA3EC0">
        <w:rPr>
          <w:color w:val="000000" w:themeColor="text1"/>
        </w:rPr>
        <w:t>5), ECE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(n</w:t>
      </w:r>
      <w:r w:rsidRPr="00FA3EC0">
        <w:rPr>
          <w:color w:val="000000" w:themeColor="text1"/>
          <w:spacing w:val="-14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15"/>
        </w:rPr>
        <w:t xml:space="preserve"> </w:t>
      </w:r>
      <w:r w:rsidRPr="00FA3EC0">
        <w:rPr>
          <w:color w:val="000000" w:themeColor="text1"/>
        </w:rPr>
        <w:t>5)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or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CSE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(n</w:t>
      </w:r>
      <w:r w:rsidRPr="00FA3EC0">
        <w:rPr>
          <w:color w:val="000000" w:themeColor="text1"/>
          <w:spacing w:val="-14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13"/>
        </w:rPr>
        <w:t xml:space="preserve"> </w:t>
      </w:r>
      <w:r w:rsidRPr="00FA3EC0">
        <w:rPr>
          <w:color w:val="000000" w:themeColor="text1"/>
        </w:rPr>
        <w:t>5)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treatment.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d</w:t>
      </w:r>
      <w:r w:rsidRPr="00FA3EC0">
        <w:rPr>
          <w:color w:val="000000" w:themeColor="text1"/>
        </w:rPr>
        <w:t>)Ratio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of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TP63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cells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that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are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Ki67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</w:rPr>
        <w:t>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3430, 3306 and 2118 Ki67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</w:rPr>
        <w:t xml:space="preserve"> cells were analyzed for controls, ECE and CSE treatment, respectively.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14216, 14421and 9773 CDH1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</w:rPr>
        <w:t xml:space="preserve"> cells were analyzed for controls, ECE and CSE treatment, respectively.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Scale bars: 100 μm.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 xml:space="preserve">Unpaired Student’s </w:t>
      </w:r>
      <w:r w:rsidRPr="00FA3EC0">
        <w:rPr>
          <w:i/>
          <w:color w:val="000000" w:themeColor="text1"/>
        </w:rPr>
        <w:t>t</w:t>
      </w:r>
      <w:r w:rsidRPr="00FA3EC0">
        <w:rPr>
          <w:color w:val="000000" w:themeColor="text1"/>
        </w:rPr>
        <w:t>-test, mean ±s.d.</w:t>
      </w:r>
    </w:p>
    <w:p w:rsidR="00FA3EC0" w:rsidRPr="00FA3EC0" w:rsidRDefault="00FA3EC0" w:rsidP="00FA3EC0">
      <w:pPr>
        <w:pStyle w:val="BodyText"/>
        <w:spacing w:before="4"/>
        <w:ind w:left="0"/>
        <w:rPr>
          <w:color w:val="000000" w:themeColor="text1"/>
        </w:rPr>
      </w:pPr>
    </w:p>
    <w:p w:rsidR="00FA3EC0" w:rsidRPr="00FA3EC0" w:rsidRDefault="00FA3EC0" w:rsidP="00FA3EC0">
      <w:pPr>
        <w:spacing w:before="1" w:line="276" w:lineRule="auto"/>
        <w:ind w:left="380" w:right="352"/>
        <w:rPr>
          <w:color w:val="000000" w:themeColor="text1"/>
          <w:sz w:val="24"/>
        </w:rPr>
      </w:pPr>
      <w:r w:rsidRPr="00FA3EC0">
        <w:rPr>
          <w:b/>
          <w:color w:val="000000" w:themeColor="text1"/>
          <w:sz w:val="24"/>
        </w:rPr>
        <w:t>Figure S5:</w:t>
      </w:r>
      <w:r w:rsidRPr="00FA3EC0">
        <w:rPr>
          <w:b/>
          <w:color w:val="000000" w:themeColor="text1"/>
          <w:spacing w:val="40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ECE exposure causes no significant differences in proliferation of HBE cells or basal cells from COPD smokers.</w:t>
      </w:r>
      <w:r w:rsidRPr="00FA3EC0">
        <w:rPr>
          <w:b/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(</w:t>
      </w:r>
      <w:r w:rsidRPr="00FA3EC0">
        <w:rPr>
          <w:b/>
          <w:color w:val="000000" w:themeColor="text1"/>
          <w:sz w:val="24"/>
        </w:rPr>
        <w:t>a</w:t>
      </w:r>
      <w:r w:rsidRPr="00FA3EC0">
        <w:rPr>
          <w:color w:val="000000" w:themeColor="text1"/>
          <w:sz w:val="24"/>
        </w:rPr>
        <w:t>) Immunostaining for Ki67 (green), CDH1 (red) and DAPI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staining (blue) in HBE cells from COPD smokers at the ALI after 9 day DMEM/F-12 medium (n</w:t>
      </w:r>
      <w:r w:rsidRPr="00FA3EC0">
        <w:rPr>
          <w:color w:val="000000" w:themeColor="text1"/>
          <w:spacing w:val="-5"/>
          <w:sz w:val="24"/>
        </w:rPr>
        <w:t xml:space="preserve"> </w:t>
      </w:r>
      <w:r w:rsidRPr="00FA3EC0">
        <w:rPr>
          <w:color w:val="000000" w:themeColor="text1"/>
          <w:sz w:val="24"/>
        </w:rPr>
        <w:t>=</w:t>
      </w:r>
      <w:r w:rsidRPr="00FA3EC0">
        <w:rPr>
          <w:color w:val="000000" w:themeColor="text1"/>
          <w:spacing w:val="-6"/>
          <w:sz w:val="24"/>
        </w:rPr>
        <w:t xml:space="preserve"> </w:t>
      </w:r>
      <w:r w:rsidRPr="00FA3EC0">
        <w:rPr>
          <w:color w:val="000000" w:themeColor="text1"/>
          <w:sz w:val="24"/>
        </w:rPr>
        <w:t>5), ECE (n</w:t>
      </w:r>
      <w:r w:rsidRPr="00FA3EC0">
        <w:rPr>
          <w:color w:val="000000" w:themeColor="text1"/>
          <w:spacing w:val="-5"/>
          <w:sz w:val="24"/>
        </w:rPr>
        <w:t xml:space="preserve"> </w:t>
      </w:r>
      <w:r w:rsidRPr="00FA3EC0">
        <w:rPr>
          <w:color w:val="000000" w:themeColor="text1"/>
          <w:sz w:val="24"/>
        </w:rPr>
        <w:t>=</w:t>
      </w:r>
      <w:r w:rsidRPr="00FA3EC0">
        <w:rPr>
          <w:color w:val="000000" w:themeColor="text1"/>
          <w:spacing w:val="-6"/>
          <w:sz w:val="24"/>
        </w:rPr>
        <w:t xml:space="preserve"> </w:t>
      </w:r>
      <w:r w:rsidRPr="00FA3EC0">
        <w:rPr>
          <w:color w:val="000000" w:themeColor="text1"/>
          <w:sz w:val="24"/>
        </w:rPr>
        <w:t>5) or CSE (n</w:t>
      </w:r>
      <w:r w:rsidRPr="00FA3EC0">
        <w:rPr>
          <w:color w:val="000000" w:themeColor="text1"/>
          <w:spacing w:val="-5"/>
          <w:sz w:val="24"/>
        </w:rPr>
        <w:t xml:space="preserve"> </w:t>
      </w:r>
      <w:r w:rsidRPr="00FA3EC0">
        <w:rPr>
          <w:color w:val="000000" w:themeColor="text1"/>
          <w:sz w:val="24"/>
        </w:rPr>
        <w:t>=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5) treatment.</w:t>
      </w:r>
      <w:r w:rsidRPr="00FA3EC0">
        <w:rPr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(</w:t>
      </w:r>
      <w:r w:rsidRPr="00FA3EC0">
        <w:rPr>
          <w:b/>
          <w:color w:val="000000" w:themeColor="text1"/>
          <w:sz w:val="24"/>
        </w:rPr>
        <w:t>b</w:t>
      </w:r>
      <w:r w:rsidRPr="00FA3EC0">
        <w:rPr>
          <w:color w:val="000000" w:themeColor="text1"/>
          <w:sz w:val="24"/>
        </w:rPr>
        <w:t>)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Ratio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of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CDH1</w:t>
      </w:r>
      <w:r w:rsidRPr="00FA3EC0">
        <w:rPr>
          <w:color w:val="000000" w:themeColor="text1"/>
          <w:sz w:val="24"/>
          <w:vertAlign w:val="superscript"/>
        </w:rPr>
        <w:t>+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cells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that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are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Ki67</w:t>
      </w:r>
      <w:r w:rsidRPr="00FA3EC0">
        <w:rPr>
          <w:color w:val="000000" w:themeColor="text1"/>
          <w:sz w:val="24"/>
          <w:vertAlign w:val="superscript"/>
        </w:rPr>
        <w:t>+</w:t>
      </w:r>
      <w:r w:rsidRPr="00FA3EC0">
        <w:rPr>
          <w:color w:val="000000" w:themeColor="text1"/>
          <w:sz w:val="24"/>
        </w:rPr>
        <w:t>.</w:t>
      </w:r>
      <w:r w:rsidRPr="00FA3EC0">
        <w:rPr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1608,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996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and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1175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Ki67</w:t>
      </w:r>
      <w:r w:rsidRPr="00FA3EC0">
        <w:rPr>
          <w:color w:val="000000" w:themeColor="text1"/>
          <w:sz w:val="24"/>
          <w:vertAlign w:val="superscript"/>
        </w:rPr>
        <w:t>+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cells were analyzed for controls, ECE and CSE treatment, respectively.</w:t>
      </w:r>
      <w:r w:rsidRPr="00FA3EC0">
        <w:rPr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8581, 5445 and 6026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CDH1</w:t>
      </w:r>
      <w:r w:rsidRPr="00FA3EC0">
        <w:rPr>
          <w:color w:val="000000" w:themeColor="text1"/>
          <w:sz w:val="24"/>
          <w:vertAlign w:val="superscript"/>
        </w:rPr>
        <w:t>+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cells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were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analyzed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for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controls, ECE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and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CSE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treatment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respectively.</w:t>
      </w:r>
    </w:p>
    <w:p w:rsidR="00FA3EC0" w:rsidRPr="00FA3EC0" w:rsidRDefault="00FA3EC0" w:rsidP="00FA3EC0">
      <w:pPr>
        <w:pStyle w:val="BodyText"/>
        <w:spacing w:line="275" w:lineRule="exact"/>
        <w:rPr>
          <w:color w:val="000000" w:themeColor="text1"/>
        </w:rPr>
      </w:pP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c</w:t>
      </w:r>
      <w:r w:rsidRPr="00FA3EC0">
        <w:rPr>
          <w:color w:val="000000" w:themeColor="text1"/>
        </w:rPr>
        <w:t>) Immunostaining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for Ki67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(green),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TP63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(red)</w:t>
      </w:r>
      <w:r w:rsidRPr="00FA3EC0">
        <w:rPr>
          <w:color w:val="000000" w:themeColor="text1"/>
          <w:spacing w:val="1"/>
        </w:rPr>
        <w:t xml:space="preserve"> </w:t>
      </w:r>
      <w:r w:rsidRPr="00FA3EC0">
        <w:rPr>
          <w:color w:val="000000" w:themeColor="text1"/>
        </w:rPr>
        <w:t>and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DAPI</w:t>
      </w:r>
      <w:r w:rsidRPr="00FA3EC0">
        <w:rPr>
          <w:color w:val="000000" w:themeColor="text1"/>
          <w:spacing w:val="-5"/>
        </w:rPr>
        <w:t xml:space="preserve"> </w:t>
      </w:r>
      <w:r w:rsidRPr="00FA3EC0">
        <w:rPr>
          <w:color w:val="000000" w:themeColor="text1"/>
        </w:rPr>
        <w:t>staining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(blue)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 xml:space="preserve">in </w:t>
      </w:r>
      <w:r w:rsidRPr="00FA3EC0">
        <w:rPr>
          <w:color w:val="000000" w:themeColor="text1"/>
          <w:spacing w:val="-5"/>
        </w:rPr>
        <w:t>HBE</w:t>
      </w:r>
    </w:p>
    <w:p w:rsidR="00FA3EC0" w:rsidRPr="00FA3EC0" w:rsidRDefault="00FA3EC0" w:rsidP="00FA3EC0">
      <w:pPr>
        <w:spacing w:line="275" w:lineRule="exact"/>
        <w:rPr>
          <w:color w:val="000000" w:themeColor="text1"/>
        </w:rPr>
        <w:sectPr w:rsidR="00FA3EC0" w:rsidRPr="00FA3EC0" w:rsidSect="00FA3EC0">
          <w:type w:val="continuous"/>
          <w:pgSz w:w="11910" w:h="16840"/>
          <w:pgMar w:top="1360" w:right="1500" w:bottom="280" w:left="1420" w:header="720" w:footer="720" w:gutter="0"/>
          <w:cols w:space="720"/>
        </w:sectPr>
      </w:pPr>
    </w:p>
    <w:p w:rsidR="00FA3EC0" w:rsidRPr="00FA3EC0" w:rsidRDefault="00FA3EC0" w:rsidP="00FA3EC0">
      <w:pPr>
        <w:pStyle w:val="BodyText"/>
        <w:spacing w:before="61" w:line="276" w:lineRule="auto"/>
        <w:ind w:right="352"/>
        <w:rPr>
          <w:color w:val="000000" w:themeColor="text1"/>
        </w:rPr>
      </w:pPr>
      <w:r w:rsidRPr="00FA3EC0">
        <w:rPr>
          <w:color w:val="000000" w:themeColor="text1"/>
        </w:rPr>
        <w:t>cells from COPD smokers at the ALI after 9 day DMEM/F-12 medium (n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8"/>
        </w:rPr>
        <w:t xml:space="preserve"> </w:t>
      </w:r>
      <w:r w:rsidRPr="00FA3EC0">
        <w:rPr>
          <w:color w:val="000000" w:themeColor="text1"/>
        </w:rPr>
        <w:t>5), ECE (n</w:t>
      </w:r>
      <w:r w:rsidRPr="00FA3EC0">
        <w:rPr>
          <w:color w:val="000000" w:themeColor="text1"/>
          <w:spacing w:val="-13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13"/>
        </w:rPr>
        <w:t xml:space="preserve"> </w:t>
      </w:r>
      <w:r w:rsidRPr="00FA3EC0">
        <w:rPr>
          <w:color w:val="000000" w:themeColor="text1"/>
        </w:rPr>
        <w:t>5) or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CSE (n</w:t>
      </w:r>
      <w:r w:rsidRPr="00FA3EC0">
        <w:rPr>
          <w:color w:val="000000" w:themeColor="text1"/>
          <w:spacing w:val="-10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13"/>
        </w:rPr>
        <w:t xml:space="preserve"> </w:t>
      </w:r>
      <w:r w:rsidRPr="00FA3EC0">
        <w:rPr>
          <w:color w:val="000000" w:themeColor="text1"/>
        </w:rPr>
        <w:t>5) treatment.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d</w:t>
      </w:r>
      <w:r w:rsidRPr="00FA3EC0">
        <w:rPr>
          <w:color w:val="000000" w:themeColor="text1"/>
        </w:rPr>
        <w:t>)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Ratio of TP63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</w:rPr>
        <w:t xml:space="preserve"> cells that are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Ki67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</w:rPr>
        <w:t>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1852, 1421 and 1381 Ki67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</w:rPr>
        <w:t xml:space="preserve"> cells were analyzed for controls, ECE and CSE treatment, respectively.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8884,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5988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and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5838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CDH1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cells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were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analyzed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for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controls,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ECE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 xml:space="preserve">and </w:t>
      </w:r>
      <w:r w:rsidRPr="00FA3EC0">
        <w:rPr>
          <w:color w:val="000000" w:themeColor="text1"/>
        </w:rPr>
        <w:lastRenderedPageBreak/>
        <w:t>CSE treatment, respectively.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Scale bars: 100 μm.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 xml:space="preserve">Unpaired Student’s </w:t>
      </w:r>
      <w:r w:rsidRPr="00FA3EC0">
        <w:rPr>
          <w:i/>
          <w:color w:val="000000" w:themeColor="text1"/>
        </w:rPr>
        <w:t>t</w:t>
      </w:r>
      <w:r w:rsidRPr="00FA3EC0">
        <w:rPr>
          <w:color w:val="000000" w:themeColor="text1"/>
        </w:rPr>
        <w:t xml:space="preserve">-test, mean </w:t>
      </w:r>
      <w:r w:rsidRPr="00FA3EC0">
        <w:rPr>
          <w:color w:val="000000" w:themeColor="text1"/>
          <w:w w:val="110"/>
        </w:rPr>
        <w:t xml:space="preserve">± </w:t>
      </w:r>
      <w:r w:rsidRPr="00FA3EC0">
        <w:rPr>
          <w:color w:val="000000" w:themeColor="text1"/>
          <w:spacing w:val="-4"/>
        </w:rPr>
        <w:t>s.d.</w:t>
      </w:r>
    </w:p>
    <w:p w:rsidR="00FA3EC0" w:rsidRPr="00FA3EC0" w:rsidRDefault="00FA3EC0" w:rsidP="00FA3EC0">
      <w:pPr>
        <w:pStyle w:val="BodyText"/>
        <w:spacing w:before="3"/>
        <w:ind w:left="0"/>
        <w:rPr>
          <w:color w:val="000000" w:themeColor="text1"/>
        </w:rPr>
      </w:pPr>
    </w:p>
    <w:p w:rsidR="00FA3EC0" w:rsidRPr="00FA3EC0" w:rsidRDefault="00FA3EC0" w:rsidP="00FA3EC0">
      <w:pPr>
        <w:spacing w:before="1" w:line="276" w:lineRule="auto"/>
        <w:ind w:left="380" w:right="424"/>
        <w:rPr>
          <w:color w:val="000000" w:themeColor="text1"/>
          <w:sz w:val="24"/>
        </w:rPr>
      </w:pPr>
      <w:r w:rsidRPr="00FA3EC0">
        <w:rPr>
          <w:b/>
          <w:color w:val="000000" w:themeColor="text1"/>
          <w:sz w:val="24"/>
        </w:rPr>
        <w:t>Figure S6:</w:t>
      </w:r>
      <w:r w:rsidRPr="00FA3EC0">
        <w:rPr>
          <w:b/>
          <w:color w:val="000000" w:themeColor="text1"/>
          <w:spacing w:val="40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ECE exposure leads to reduced transepithelial electrical resistance (TEER) of HBE cells from healthy nonsmokers and COPD smokers.</w:t>
      </w:r>
      <w:r w:rsidRPr="00FA3EC0">
        <w:rPr>
          <w:b/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(</w:t>
      </w:r>
      <w:r w:rsidRPr="00FA3EC0">
        <w:rPr>
          <w:b/>
          <w:color w:val="000000" w:themeColor="text1"/>
          <w:sz w:val="24"/>
        </w:rPr>
        <w:t>a</w:t>
      </w:r>
      <w:r w:rsidRPr="00FA3EC0">
        <w:rPr>
          <w:color w:val="000000" w:themeColor="text1"/>
          <w:sz w:val="24"/>
        </w:rPr>
        <w:t>) TEER measurements for HBE cells from healthy nonsmokers at the ALI after 16 day DMEM/F-12 medium (n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=</w:t>
      </w:r>
      <w:r w:rsidRPr="00FA3EC0">
        <w:rPr>
          <w:color w:val="000000" w:themeColor="text1"/>
          <w:spacing w:val="-6"/>
          <w:sz w:val="24"/>
        </w:rPr>
        <w:t xml:space="preserve"> </w:t>
      </w:r>
      <w:r w:rsidRPr="00FA3EC0">
        <w:rPr>
          <w:color w:val="000000" w:themeColor="text1"/>
          <w:sz w:val="24"/>
        </w:rPr>
        <w:t>3), ECE (n</w:t>
      </w:r>
      <w:r w:rsidRPr="00FA3EC0">
        <w:rPr>
          <w:color w:val="000000" w:themeColor="text1"/>
          <w:spacing w:val="-5"/>
          <w:sz w:val="24"/>
        </w:rPr>
        <w:t xml:space="preserve"> </w:t>
      </w:r>
      <w:r w:rsidRPr="00FA3EC0">
        <w:rPr>
          <w:color w:val="000000" w:themeColor="text1"/>
          <w:sz w:val="24"/>
        </w:rPr>
        <w:t>=</w:t>
      </w:r>
      <w:r w:rsidRPr="00FA3EC0">
        <w:rPr>
          <w:color w:val="000000" w:themeColor="text1"/>
          <w:spacing w:val="-6"/>
          <w:sz w:val="24"/>
        </w:rPr>
        <w:t xml:space="preserve"> </w:t>
      </w:r>
      <w:r w:rsidRPr="00FA3EC0">
        <w:rPr>
          <w:color w:val="000000" w:themeColor="text1"/>
          <w:sz w:val="24"/>
        </w:rPr>
        <w:t>3) or CSE (n = 3) treatment.</w:t>
      </w:r>
      <w:r w:rsidRPr="00FA3EC0">
        <w:rPr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(</w:t>
      </w:r>
      <w:r w:rsidRPr="00FA3EC0">
        <w:rPr>
          <w:b/>
          <w:color w:val="000000" w:themeColor="text1"/>
          <w:sz w:val="24"/>
        </w:rPr>
        <w:t>b</w:t>
      </w:r>
      <w:r w:rsidRPr="00FA3EC0">
        <w:rPr>
          <w:color w:val="000000" w:themeColor="text1"/>
          <w:sz w:val="24"/>
        </w:rPr>
        <w:t>) TEER measurements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for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HBE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cells</w:t>
      </w:r>
      <w:r w:rsidRPr="00FA3EC0">
        <w:rPr>
          <w:color w:val="000000" w:themeColor="text1"/>
          <w:spacing w:val="-2"/>
          <w:sz w:val="24"/>
        </w:rPr>
        <w:t xml:space="preserve"> </w:t>
      </w:r>
      <w:r w:rsidRPr="00FA3EC0">
        <w:rPr>
          <w:color w:val="000000" w:themeColor="text1"/>
          <w:sz w:val="24"/>
        </w:rPr>
        <w:t>from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COPD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smokers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at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the</w:t>
      </w:r>
      <w:r w:rsidRPr="00FA3EC0">
        <w:rPr>
          <w:color w:val="000000" w:themeColor="text1"/>
          <w:spacing w:val="-4"/>
          <w:sz w:val="24"/>
        </w:rPr>
        <w:t xml:space="preserve"> </w:t>
      </w:r>
      <w:r w:rsidRPr="00FA3EC0">
        <w:rPr>
          <w:color w:val="000000" w:themeColor="text1"/>
          <w:sz w:val="24"/>
        </w:rPr>
        <w:t>ALI</w:t>
      </w:r>
      <w:r w:rsidRPr="00FA3EC0">
        <w:rPr>
          <w:color w:val="000000" w:themeColor="text1"/>
          <w:spacing w:val="-5"/>
          <w:sz w:val="24"/>
        </w:rPr>
        <w:t xml:space="preserve"> </w:t>
      </w:r>
      <w:r w:rsidRPr="00FA3EC0">
        <w:rPr>
          <w:color w:val="000000" w:themeColor="text1"/>
          <w:sz w:val="24"/>
        </w:rPr>
        <w:t>after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16</w:t>
      </w:r>
      <w:r w:rsidRPr="00FA3EC0">
        <w:rPr>
          <w:color w:val="000000" w:themeColor="text1"/>
          <w:spacing w:val="-3"/>
          <w:sz w:val="24"/>
        </w:rPr>
        <w:t xml:space="preserve"> </w:t>
      </w:r>
      <w:r w:rsidRPr="00FA3EC0">
        <w:rPr>
          <w:color w:val="000000" w:themeColor="text1"/>
          <w:sz w:val="24"/>
        </w:rPr>
        <w:t>day DMEM/F- 12 medium (n</w:t>
      </w:r>
      <w:r w:rsidRPr="00FA3EC0">
        <w:rPr>
          <w:color w:val="000000" w:themeColor="text1"/>
          <w:spacing w:val="-6"/>
          <w:sz w:val="24"/>
        </w:rPr>
        <w:t xml:space="preserve"> </w:t>
      </w:r>
      <w:r w:rsidRPr="00FA3EC0">
        <w:rPr>
          <w:color w:val="000000" w:themeColor="text1"/>
          <w:sz w:val="24"/>
        </w:rPr>
        <w:t>=</w:t>
      </w:r>
      <w:r w:rsidRPr="00FA3EC0">
        <w:rPr>
          <w:color w:val="000000" w:themeColor="text1"/>
          <w:spacing w:val="-7"/>
          <w:sz w:val="24"/>
        </w:rPr>
        <w:t xml:space="preserve"> </w:t>
      </w:r>
      <w:r w:rsidRPr="00FA3EC0">
        <w:rPr>
          <w:color w:val="000000" w:themeColor="text1"/>
          <w:sz w:val="24"/>
        </w:rPr>
        <w:t>3), ECE (n</w:t>
      </w:r>
      <w:r w:rsidRPr="00FA3EC0">
        <w:rPr>
          <w:color w:val="000000" w:themeColor="text1"/>
          <w:spacing w:val="-6"/>
          <w:sz w:val="24"/>
        </w:rPr>
        <w:t xml:space="preserve"> </w:t>
      </w:r>
      <w:r w:rsidRPr="00FA3EC0">
        <w:rPr>
          <w:color w:val="000000" w:themeColor="text1"/>
          <w:sz w:val="24"/>
        </w:rPr>
        <w:t>=</w:t>
      </w:r>
      <w:r w:rsidRPr="00FA3EC0">
        <w:rPr>
          <w:color w:val="000000" w:themeColor="text1"/>
          <w:spacing w:val="-7"/>
          <w:sz w:val="24"/>
        </w:rPr>
        <w:t xml:space="preserve"> </w:t>
      </w:r>
      <w:r w:rsidRPr="00FA3EC0">
        <w:rPr>
          <w:color w:val="000000" w:themeColor="text1"/>
          <w:sz w:val="24"/>
        </w:rPr>
        <w:t>3) or CSE (n = 3) treatment.</w:t>
      </w:r>
      <w:r w:rsidRPr="00FA3EC0">
        <w:rPr>
          <w:color w:val="000000" w:themeColor="text1"/>
          <w:spacing w:val="40"/>
          <w:sz w:val="24"/>
        </w:rPr>
        <w:t xml:space="preserve"> </w:t>
      </w:r>
      <w:r w:rsidRPr="00FA3EC0">
        <w:rPr>
          <w:color w:val="000000" w:themeColor="text1"/>
          <w:sz w:val="24"/>
        </w:rPr>
        <w:t>Scale bars: 100 μm.one- way ANOVA with Tukey’s multiple comparison test, mean ±s.d.</w:t>
      </w:r>
    </w:p>
    <w:p w:rsidR="00FA3EC0" w:rsidRPr="00FA3EC0" w:rsidRDefault="00FA3EC0" w:rsidP="00FA3EC0">
      <w:pPr>
        <w:pStyle w:val="BodyText"/>
        <w:spacing w:before="3"/>
        <w:ind w:left="0"/>
        <w:rPr>
          <w:color w:val="000000" w:themeColor="text1"/>
        </w:rPr>
      </w:pPr>
    </w:p>
    <w:p w:rsidR="00FA3EC0" w:rsidRPr="00FA3EC0" w:rsidRDefault="00FA3EC0" w:rsidP="00FA3EC0">
      <w:pPr>
        <w:pStyle w:val="BodyText"/>
        <w:spacing w:line="276" w:lineRule="auto"/>
        <w:ind w:right="352"/>
        <w:rPr>
          <w:color w:val="000000" w:themeColor="text1"/>
        </w:rPr>
      </w:pPr>
      <w:r w:rsidRPr="00FA3EC0">
        <w:rPr>
          <w:b/>
          <w:color w:val="000000" w:themeColor="text1"/>
        </w:rPr>
        <w:t>Figure</w:t>
      </w:r>
      <w:r w:rsidRPr="00FA3EC0">
        <w:rPr>
          <w:b/>
          <w:color w:val="000000" w:themeColor="text1"/>
          <w:spacing w:val="-5"/>
        </w:rPr>
        <w:t xml:space="preserve"> </w:t>
      </w:r>
      <w:r w:rsidRPr="00FA3EC0">
        <w:rPr>
          <w:b/>
          <w:color w:val="000000" w:themeColor="text1"/>
        </w:rPr>
        <w:t>S7:</w:t>
      </w:r>
      <w:r w:rsidRPr="00FA3EC0">
        <w:rPr>
          <w:b/>
          <w:color w:val="000000" w:themeColor="text1"/>
          <w:spacing w:val="-4"/>
        </w:rPr>
        <w:t xml:space="preserve"> </w:t>
      </w:r>
      <w:r w:rsidRPr="00FA3EC0">
        <w:rPr>
          <w:b/>
          <w:color w:val="000000" w:themeColor="text1"/>
        </w:rPr>
        <w:t>Low</w:t>
      </w:r>
      <w:r w:rsidRPr="00FA3EC0">
        <w:rPr>
          <w:b/>
          <w:color w:val="000000" w:themeColor="text1"/>
          <w:spacing w:val="-4"/>
        </w:rPr>
        <w:t xml:space="preserve"> </w:t>
      </w:r>
      <w:r w:rsidRPr="00FA3EC0">
        <w:rPr>
          <w:b/>
          <w:color w:val="000000" w:themeColor="text1"/>
        </w:rPr>
        <w:t>dose</w:t>
      </w:r>
      <w:r w:rsidRPr="00FA3EC0">
        <w:rPr>
          <w:b/>
          <w:color w:val="000000" w:themeColor="text1"/>
          <w:spacing w:val="-4"/>
        </w:rPr>
        <w:t xml:space="preserve"> </w:t>
      </w:r>
      <w:r w:rsidRPr="00FA3EC0">
        <w:rPr>
          <w:b/>
          <w:color w:val="000000" w:themeColor="text1"/>
        </w:rPr>
        <w:t>DAPT</w:t>
      </w:r>
      <w:r w:rsidRPr="00FA3EC0">
        <w:rPr>
          <w:b/>
          <w:color w:val="000000" w:themeColor="text1"/>
          <w:spacing w:val="-4"/>
        </w:rPr>
        <w:t xml:space="preserve"> </w:t>
      </w:r>
      <w:r w:rsidRPr="00FA3EC0">
        <w:rPr>
          <w:b/>
          <w:color w:val="000000" w:themeColor="text1"/>
        </w:rPr>
        <w:t>treatment</w:t>
      </w:r>
      <w:r w:rsidRPr="00FA3EC0">
        <w:rPr>
          <w:b/>
          <w:color w:val="000000" w:themeColor="text1"/>
          <w:spacing w:val="-4"/>
        </w:rPr>
        <w:t xml:space="preserve"> </w:t>
      </w:r>
      <w:r w:rsidRPr="00FA3EC0">
        <w:rPr>
          <w:b/>
          <w:color w:val="000000" w:themeColor="text1"/>
        </w:rPr>
        <w:t>partially</w:t>
      </w:r>
      <w:r w:rsidRPr="00FA3EC0">
        <w:rPr>
          <w:b/>
          <w:color w:val="000000" w:themeColor="text1"/>
          <w:spacing w:val="-3"/>
        </w:rPr>
        <w:t xml:space="preserve"> </w:t>
      </w:r>
      <w:r w:rsidRPr="00FA3EC0">
        <w:rPr>
          <w:b/>
          <w:color w:val="000000" w:themeColor="text1"/>
        </w:rPr>
        <w:t>restores</w:t>
      </w:r>
      <w:r w:rsidRPr="00FA3EC0">
        <w:rPr>
          <w:b/>
          <w:color w:val="000000" w:themeColor="text1"/>
          <w:spacing w:val="-4"/>
        </w:rPr>
        <w:t xml:space="preserve"> </w:t>
      </w:r>
      <w:r w:rsidRPr="00FA3EC0">
        <w:rPr>
          <w:b/>
          <w:color w:val="000000" w:themeColor="text1"/>
        </w:rPr>
        <w:t>ECE</w:t>
      </w:r>
      <w:r w:rsidRPr="00FA3EC0">
        <w:rPr>
          <w:b/>
          <w:color w:val="000000" w:themeColor="text1"/>
          <w:spacing w:val="-4"/>
        </w:rPr>
        <w:t xml:space="preserve"> </w:t>
      </w:r>
      <w:r w:rsidRPr="00FA3EC0">
        <w:rPr>
          <w:b/>
          <w:color w:val="000000" w:themeColor="text1"/>
        </w:rPr>
        <w:t>treatment-induced remodeling of HBE cells from healthy nonsmokers and COPD smokers.</w:t>
      </w:r>
      <w:r w:rsidRPr="00FA3EC0">
        <w:rPr>
          <w:b/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a</w:t>
      </w:r>
      <w:r w:rsidRPr="00FA3EC0">
        <w:rPr>
          <w:color w:val="000000" w:themeColor="text1"/>
        </w:rPr>
        <w:t>) Timeline for ECE and DAPT administration.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b</w:t>
      </w:r>
      <w:r w:rsidRPr="00FA3EC0">
        <w:rPr>
          <w:color w:val="000000" w:themeColor="text1"/>
        </w:rPr>
        <w:t>) Immunostaining for acetylatedα- tubulin (green), MUC5AC (red) and DAPI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staining (blue) in HBE cells from healthy nonsmokers at the ALI after 16 day DMEM/F-12 medium (n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5"/>
        </w:rPr>
        <w:t xml:space="preserve"> </w:t>
      </w:r>
      <w:r w:rsidRPr="00FA3EC0">
        <w:rPr>
          <w:color w:val="000000" w:themeColor="text1"/>
        </w:rPr>
        <w:t>3) or ECE (n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5"/>
        </w:rPr>
        <w:t xml:space="preserve"> </w:t>
      </w:r>
      <w:r w:rsidRPr="00FA3EC0">
        <w:rPr>
          <w:color w:val="000000" w:themeColor="text1"/>
        </w:rPr>
        <w:t>3) treatment, or 16 day ECE and 7 day 2.5 μM DAPT (n</w:t>
      </w:r>
      <w:r w:rsidRPr="00FA3EC0">
        <w:rPr>
          <w:color w:val="000000" w:themeColor="text1"/>
          <w:spacing w:val="-8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9"/>
        </w:rPr>
        <w:t xml:space="preserve"> </w:t>
      </w:r>
      <w:r w:rsidRPr="00FA3EC0">
        <w:rPr>
          <w:color w:val="000000" w:themeColor="text1"/>
        </w:rPr>
        <w:t>3).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c</w:t>
      </w:r>
      <w:r w:rsidRPr="00FA3EC0">
        <w:rPr>
          <w:color w:val="000000" w:themeColor="text1"/>
        </w:rPr>
        <w:t>) Quantification of the relative number of acetylated α-tubulin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9"/>
        </w:rPr>
        <w:t xml:space="preserve"> </w:t>
      </w:r>
      <w:r w:rsidRPr="00FA3EC0">
        <w:rPr>
          <w:color w:val="000000" w:themeColor="text1"/>
        </w:rPr>
        <w:t>cells and MUC5AC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9"/>
        </w:rPr>
        <w:t xml:space="preserve"> </w:t>
      </w:r>
      <w:r w:rsidRPr="00FA3EC0">
        <w:rPr>
          <w:color w:val="000000" w:themeColor="text1"/>
        </w:rPr>
        <w:t>cells.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d</w:t>
      </w:r>
      <w:r w:rsidRPr="00FA3EC0">
        <w:rPr>
          <w:color w:val="000000" w:themeColor="text1"/>
        </w:rPr>
        <w:t>) Immunostaining for acetylated α-tubulin (green), MUC5AC (red) and DAPI staining (blue) in HBE cells from COPD smokers at the ALI after 16 day DMEM/F-12 medium (n</w:t>
      </w:r>
      <w:r w:rsidRPr="00FA3EC0">
        <w:rPr>
          <w:color w:val="000000" w:themeColor="text1"/>
          <w:spacing w:val="-6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7"/>
        </w:rPr>
        <w:t xml:space="preserve"> </w:t>
      </w:r>
      <w:r w:rsidRPr="00FA3EC0">
        <w:rPr>
          <w:color w:val="000000" w:themeColor="text1"/>
        </w:rPr>
        <w:t>3) or ECE (n</w:t>
      </w:r>
      <w:r w:rsidRPr="00FA3EC0">
        <w:rPr>
          <w:color w:val="000000" w:themeColor="text1"/>
          <w:spacing w:val="-6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7"/>
        </w:rPr>
        <w:t xml:space="preserve"> </w:t>
      </w:r>
      <w:r w:rsidRPr="00FA3EC0">
        <w:rPr>
          <w:color w:val="000000" w:themeColor="text1"/>
        </w:rPr>
        <w:t>3) treatment, or 16 day ECE and 7 day 2.5 μM DAPT</w:t>
      </w:r>
    </w:p>
    <w:p w:rsidR="00FA3EC0" w:rsidRPr="00FA3EC0" w:rsidRDefault="00FA3EC0" w:rsidP="00FA3EC0">
      <w:pPr>
        <w:pStyle w:val="BodyText"/>
        <w:spacing w:before="2" w:line="276" w:lineRule="auto"/>
        <w:ind w:right="352"/>
        <w:rPr>
          <w:color w:val="000000" w:themeColor="text1"/>
        </w:rPr>
      </w:pPr>
      <w:r w:rsidRPr="00FA3EC0">
        <w:rPr>
          <w:color w:val="000000" w:themeColor="text1"/>
        </w:rPr>
        <w:t>(n</w:t>
      </w:r>
      <w:r w:rsidRPr="00FA3EC0">
        <w:rPr>
          <w:color w:val="000000" w:themeColor="text1"/>
          <w:spacing w:val="-15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15"/>
        </w:rPr>
        <w:t xml:space="preserve"> </w:t>
      </w:r>
      <w:r w:rsidRPr="00FA3EC0">
        <w:rPr>
          <w:color w:val="000000" w:themeColor="text1"/>
        </w:rPr>
        <w:t>3).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f</w:t>
      </w:r>
      <w:r w:rsidRPr="00FA3EC0">
        <w:rPr>
          <w:color w:val="000000" w:themeColor="text1"/>
        </w:rPr>
        <w:t>)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Quantification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of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the</w:t>
      </w:r>
      <w:r w:rsidRPr="00FA3EC0">
        <w:rPr>
          <w:color w:val="000000" w:themeColor="text1"/>
          <w:spacing w:val="-5"/>
        </w:rPr>
        <w:t xml:space="preserve"> </w:t>
      </w:r>
      <w:r w:rsidRPr="00FA3EC0">
        <w:rPr>
          <w:color w:val="000000" w:themeColor="text1"/>
        </w:rPr>
        <w:t>relative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number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of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acetylated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α-tubulin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19"/>
        </w:rPr>
        <w:t xml:space="preserve"> </w:t>
      </w:r>
      <w:r w:rsidRPr="00FA3EC0">
        <w:rPr>
          <w:color w:val="000000" w:themeColor="text1"/>
        </w:rPr>
        <w:t>cells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and MUC5AC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11"/>
        </w:rPr>
        <w:t xml:space="preserve"> </w:t>
      </w:r>
      <w:r w:rsidRPr="00FA3EC0">
        <w:rPr>
          <w:color w:val="000000" w:themeColor="text1"/>
        </w:rPr>
        <w:t>cells.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Scale bars: 100 μm.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one-way ANOVA with Tukey’s multiple comparison test, mean ±s.d.</w:t>
      </w:r>
    </w:p>
    <w:p w:rsidR="00FA3EC0" w:rsidRPr="00FA3EC0" w:rsidRDefault="00FA3EC0" w:rsidP="00FA3EC0">
      <w:pPr>
        <w:pStyle w:val="BodyText"/>
        <w:spacing w:before="3"/>
        <w:ind w:left="0"/>
        <w:rPr>
          <w:color w:val="000000" w:themeColor="text1"/>
        </w:rPr>
      </w:pPr>
    </w:p>
    <w:p w:rsidR="00FA3EC0" w:rsidRPr="00FA3EC0" w:rsidRDefault="00FA3EC0" w:rsidP="00FA3EC0">
      <w:pPr>
        <w:pStyle w:val="BodyText"/>
        <w:spacing w:line="276" w:lineRule="auto"/>
        <w:ind w:right="352"/>
        <w:rPr>
          <w:color w:val="000000" w:themeColor="text1"/>
        </w:rPr>
      </w:pPr>
      <w:r w:rsidRPr="00FA3EC0">
        <w:rPr>
          <w:b/>
          <w:color w:val="000000" w:themeColor="text1"/>
        </w:rPr>
        <w:t>Figure</w:t>
      </w:r>
      <w:r w:rsidRPr="00FA3EC0">
        <w:rPr>
          <w:b/>
          <w:color w:val="000000" w:themeColor="text1"/>
          <w:spacing w:val="-5"/>
        </w:rPr>
        <w:t xml:space="preserve"> </w:t>
      </w:r>
      <w:r w:rsidRPr="00FA3EC0">
        <w:rPr>
          <w:b/>
          <w:color w:val="000000" w:themeColor="text1"/>
        </w:rPr>
        <w:t>S8:</w:t>
      </w:r>
      <w:r w:rsidRPr="00FA3EC0">
        <w:rPr>
          <w:b/>
          <w:color w:val="000000" w:themeColor="text1"/>
          <w:spacing w:val="-5"/>
        </w:rPr>
        <w:t xml:space="preserve"> </w:t>
      </w:r>
      <w:r w:rsidRPr="00FA3EC0">
        <w:rPr>
          <w:b/>
          <w:color w:val="000000" w:themeColor="text1"/>
        </w:rPr>
        <w:t>Low</w:t>
      </w:r>
      <w:r w:rsidRPr="00FA3EC0">
        <w:rPr>
          <w:b/>
          <w:color w:val="000000" w:themeColor="text1"/>
          <w:spacing w:val="-4"/>
        </w:rPr>
        <w:t xml:space="preserve"> </w:t>
      </w:r>
      <w:r w:rsidRPr="00FA3EC0">
        <w:rPr>
          <w:b/>
          <w:color w:val="000000" w:themeColor="text1"/>
        </w:rPr>
        <w:t>dose</w:t>
      </w:r>
      <w:r w:rsidRPr="00FA3EC0">
        <w:rPr>
          <w:b/>
          <w:color w:val="000000" w:themeColor="text1"/>
          <w:spacing w:val="-5"/>
        </w:rPr>
        <w:t xml:space="preserve"> </w:t>
      </w:r>
      <w:r w:rsidRPr="00FA3EC0">
        <w:rPr>
          <w:b/>
          <w:color w:val="000000" w:themeColor="text1"/>
        </w:rPr>
        <w:t>DAPT</w:t>
      </w:r>
      <w:r w:rsidRPr="00FA3EC0">
        <w:rPr>
          <w:b/>
          <w:color w:val="000000" w:themeColor="text1"/>
          <w:spacing w:val="-4"/>
        </w:rPr>
        <w:t xml:space="preserve"> </w:t>
      </w:r>
      <w:r w:rsidRPr="00FA3EC0">
        <w:rPr>
          <w:b/>
          <w:color w:val="000000" w:themeColor="text1"/>
        </w:rPr>
        <w:t>treatment</w:t>
      </w:r>
      <w:r w:rsidRPr="00FA3EC0">
        <w:rPr>
          <w:b/>
          <w:color w:val="000000" w:themeColor="text1"/>
          <w:spacing w:val="-4"/>
        </w:rPr>
        <w:t xml:space="preserve"> </w:t>
      </w:r>
      <w:r w:rsidRPr="00FA3EC0">
        <w:rPr>
          <w:b/>
          <w:color w:val="000000" w:themeColor="text1"/>
        </w:rPr>
        <w:t>partially</w:t>
      </w:r>
      <w:r w:rsidRPr="00FA3EC0">
        <w:rPr>
          <w:b/>
          <w:color w:val="000000" w:themeColor="text1"/>
          <w:spacing w:val="-3"/>
        </w:rPr>
        <w:t xml:space="preserve"> </w:t>
      </w:r>
      <w:r w:rsidRPr="00FA3EC0">
        <w:rPr>
          <w:b/>
          <w:color w:val="000000" w:themeColor="text1"/>
        </w:rPr>
        <w:t>restores</w:t>
      </w:r>
      <w:r w:rsidRPr="00FA3EC0">
        <w:rPr>
          <w:b/>
          <w:color w:val="000000" w:themeColor="text1"/>
          <w:spacing w:val="-4"/>
        </w:rPr>
        <w:t xml:space="preserve"> </w:t>
      </w:r>
      <w:r w:rsidRPr="00FA3EC0">
        <w:rPr>
          <w:b/>
          <w:color w:val="000000" w:themeColor="text1"/>
        </w:rPr>
        <w:t>CSE</w:t>
      </w:r>
      <w:r w:rsidRPr="00FA3EC0">
        <w:rPr>
          <w:b/>
          <w:color w:val="000000" w:themeColor="text1"/>
          <w:spacing w:val="-3"/>
        </w:rPr>
        <w:t xml:space="preserve"> </w:t>
      </w:r>
      <w:r w:rsidRPr="00FA3EC0">
        <w:rPr>
          <w:b/>
          <w:color w:val="000000" w:themeColor="text1"/>
        </w:rPr>
        <w:t>treatment-induced remodeling of HBE cells from healthy nonsmokers and COPD smokers.</w:t>
      </w:r>
      <w:r w:rsidRPr="00FA3EC0">
        <w:rPr>
          <w:b/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a</w:t>
      </w:r>
      <w:r w:rsidRPr="00FA3EC0">
        <w:rPr>
          <w:color w:val="000000" w:themeColor="text1"/>
        </w:rPr>
        <w:t>) Timeline for CSE and DAPT administration.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b</w:t>
      </w:r>
      <w:r w:rsidRPr="00FA3EC0">
        <w:rPr>
          <w:color w:val="000000" w:themeColor="text1"/>
        </w:rPr>
        <w:t>) Immunostaining for acetylated α- tubulin (green), MUC5AC (red) and DAPI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staining (blue) in HBE cells from healthy nonsmokers at the ALI after 16 day DMEM/F-12 medium (n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5"/>
        </w:rPr>
        <w:t xml:space="preserve"> </w:t>
      </w:r>
      <w:r w:rsidRPr="00FA3EC0">
        <w:rPr>
          <w:color w:val="000000" w:themeColor="text1"/>
        </w:rPr>
        <w:t>3) or CSE (n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5"/>
        </w:rPr>
        <w:t xml:space="preserve"> </w:t>
      </w:r>
      <w:r w:rsidRPr="00FA3EC0">
        <w:rPr>
          <w:color w:val="000000" w:themeColor="text1"/>
        </w:rPr>
        <w:t>3) treatment, or 16 day CSE and 7 day 2.5 μM DAPT (n</w:t>
      </w:r>
      <w:r w:rsidRPr="00FA3EC0">
        <w:rPr>
          <w:color w:val="000000" w:themeColor="text1"/>
          <w:spacing w:val="-8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10"/>
        </w:rPr>
        <w:t xml:space="preserve"> </w:t>
      </w:r>
      <w:r w:rsidRPr="00FA3EC0">
        <w:rPr>
          <w:color w:val="000000" w:themeColor="text1"/>
        </w:rPr>
        <w:t>3).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c</w:t>
      </w:r>
      <w:r w:rsidRPr="00FA3EC0">
        <w:rPr>
          <w:color w:val="000000" w:themeColor="text1"/>
        </w:rPr>
        <w:t>) Quantification of the relative number of acetylated α-tubulin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9"/>
        </w:rPr>
        <w:t xml:space="preserve"> </w:t>
      </w:r>
      <w:r w:rsidRPr="00FA3EC0">
        <w:rPr>
          <w:color w:val="000000" w:themeColor="text1"/>
        </w:rPr>
        <w:t>cells and MUC5AC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9"/>
        </w:rPr>
        <w:t xml:space="preserve"> </w:t>
      </w:r>
      <w:r w:rsidRPr="00FA3EC0">
        <w:rPr>
          <w:color w:val="000000" w:themeColor="text1"/>
        </w:rPr>
        <w:t>cells.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d</w:t>
      </w:r>
      <w:r w:rsidRPr="00FA3EC0">
        <w:rPr>
          <w:color w:val="000000" w:themeColor="text1"/>
        </w:rPr>
        <w:t>) Immunostaining for acetylated α-tubulin (green), MUC5AC (red) and DAPI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staining (blue) in HBE cells from COPD smokers at the ALI after 16 day DMEM/F-12 medium (n</w:t>
      </w:r>
      <w:r w:rsidRPr="00FA3EC0">
        <w:rPr>
          <w:color w:val="000000" w:themeColor="text1"/>
          <w:spacing w:val="-6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7"/>
        </w:rPr>
        <w:t xml:space="preserve"> </w:t>
      </w:r>
      <w:r w:rsidRPr="00FA3EC0">
        <w:rPr>
          <w:color w:val="000000" w:themeColor="text1"/>
        </w:rPr>
        <w:t>3) or CSE (n</w:t>
      </w:r>
      <w:r w:rsidRPr="00FA3EC0">
        <w:rPr>
          <w:color w:val="000000" w:themeColor="text1"/>
          <w:spacing w:val="-6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7"/>
        </w:rPr>
        <w:t xml:space="preserve"> </w:t>
      </w:r>
      <w:r w:rsidRPr="00FA3EC0">
        <w:rPr>
          <w:color w:val="000000" w:themeColor="text1"/>
        </w:rPr>
        <w:t>3) treatment, or 16 day CSE and 7 day 2.5 μM DAPT</w:t>
      </w:r>
    </w:p>
    <w:p w:rsidR="00FA3EC0" w:rsidRPr="00FA3EC0" w:rsidRDefault="00FA3EC0" w:rsidP="00FA3EC0">
      <w:pPr>
        <w:pStyle w:val="BodyText"/>
        <w:spacing w:before="2" w:line="276" w:lineRule="auto"/>
        <w:ind w:right="352"/>
        <w:rPr>
          <w:color w:val="000000" w:themeColor="text1"/>
        </w:rPr>
      </w:pPr>
      <w:r w:rsidRPr="00FA3EC0">
        <w:rPr>
          <w:color w:val="000000" w:themeColor="text1"/>
        </w:rPr>
        <w:t>(n</w:t>
      </w:r>
      <w:r w:rsidRPr="00FA3EC0">
        <w:rPr>
          <w:color w:val="000000" w:themeColor="text1"/>
          <w:spacing w:val="-15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15"/>
        </w:rPr>
        <w:t xml:space="preserve"> </w:t>
      </w:r>
      <w:r w:rsidRPr="00FA3EC0">
        <w:rPr>
          <w:color w:val="000000" w:themeColor="text1"/>
        </w:rPr>
        <w:t>3).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f</w:t>
      </w:r>
      <w:r w:rsidRPr="00FA3EC0">
        <w:rPr>
          <w:color w:val="000000" w:themeColor="text1"/>
        </w:rPr>
        <w:t>)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Quantification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of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the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relative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number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of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acetylated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α-tubulin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19"/>
        </w:rPr>
        <w:t xml:space="preserve"> </w:t>
      </w:r>
      <w:r w:rsidRPr="00FA3EC0">
        <w:rPr>
          <w:color w:val="000000" w:themeColor="text1"/>
        </w:rPr>
        <w:t>cells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and MUC5AC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11"/>
        </w:rPr>
        <w:t xml:space="preserve"> </w:t>
      </w:r>
      <w:r w:rsidRPr="00FA3EC0">
        <w:rPr>
          <w:color w:val="000000" w:themeColor="text1"/>
        </w:rPr>
        <w:t>cells.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Scale bars: 100 μm.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one-way ANOVA with Tukey’s multiple comparison test, mean ±s.d.</w:t>
      </w:r>
    </w:p>
    <w:p w:rsidR="00FA3EC0" w:rsidRPr="00FA3EC0" w:rsidRDefault="00FA3EC0" w:rsidP="00FA3EC0">
      <w:pPr>
        <w:spacing w:line="276" w:lineRule="auto"/>
        <w:rPr>
          <w:color w:val="000000" w:themeColor="text1"/>
        </w:rPr>
        <w:sectPr w:rsidR="00FA3EC0" w:rsidRPr="00FA3EC0" w:rsidSect="00FA3EC0">
          <w:type w:val="continuous"/>
          <w:pgSz w:w="11910" w:h="16840"/>
          <w:pgMar w:top="1360" w:right="1500" w:bottom="280" w:left="1420" w:header="720" w:footer="720" w:gutter="0"/>
          <w:cols w:space="720"/>
        </w:sectPr>
      </w:pPr>
    </w:p>
    <w:p w:rsidR="00FA3EC0" w:rsidRPr="00FA3EC0" w:rsidRDefault="00FA3EC0" w:rsidP="00FA3EC0">
      <w:pPr>
        <w:pStyle w:val="BodyText"/>
        <w:spacing w:before="61" w:line="276" w:lineRule="auto"/>
        <w:ind w:right="312"/>
        <w:rPr>
          <w:color w:val="000000" w:themeColor="text1"/>
        </w:rPr>
      </w:pPr>
      <w:r w:rsidRPr="00FA3EC0">
        <w:rPr>
          <w:b/>
          <w:color w:val="000000" w:themeColor="text1"/>
        </w:rPr>
        <w:t>Figure S9:</w:t>
      </w:r>
      <w:r w:rsidRPr="00FA3EC0">
        <w:rPr>
          <w:b/>
          <w:color w:val="000000" w:themeColor="text1"/>
          <w:spacing w:val="-1"/>
        </w:rPr>
        <w:t xml:space="preserve"> </w:t>
      </w:r>
      <w:r w:rsidRPr="00FA3EC0">
        <w:rPr>
          <w:b/>
          <w:color w:val="000000" w:themeColor="text1"/>
        </w:rPr>
        <w:t>DBZ treatment partially restores ECE treatment-induced remodeling of</w:t>
      </w:r>
      <w:r w:rsidRPr="00FA3EC0">
        <w:rPr>
          <w:b/>
          <w:color w:val="000000" w:themeColor="text1"/>
          <w:spacing w:val="-3"/>
        </w:rPr>
        <w:t xml:space="preserve"> </w:t>
      </w:r>
      <w:r w:rsidRPr="00FA3EC0">
        <w:rPr>
          <w:b/>
          <w:color w:val="000000" w:themeColor="text1"/>
        </w:rPr>
        <w:t>HBE</w:t>
      </w:r>
      <w:r w:rsidRPr="00FA3EC0">
        <w:rPr>
          <w:b/>
          <w:color w:val="000000" w:themeColor="text1"/>
          <w:spacing w:val="-3"/>
        </w:rPr>
        <w:t xml:space="preserve"> </w:t>
      </w:r>
      <w:r w:rsidRPr="00FA3EC0">
        <w:rPr>
          <w:b/>
          <w:color w:val="000000" w:themeColor="text1"/>
        </w:rPr>
        <w:t>cells</w:t>
      </w:r>
      <w:r w:rsidRPr="00FA3EC0">
        <w:rPr>
          <w:b/>
          <w:color w:val="000000" w:themeColor="text1"/>
          <w:spacing w:val="-3"/>
        </w:rPr>
        <w:t xml:space="preserve"> </w:t>
      </w:r>
      <w:r w:rsidRPr="00FA3EC0">
        <w:rPr>
          <w:b/>
          <w:color w:val="000000" w:themeColor="text1"/>
        </w:rPr>
        <w:t>from</w:t>
      </w:r>
      <w:r w:rsidRPr="00FA3EC0">
        <w:rPr>
          <w:b/>
          <w:color w:val="000000" w:themeColor="text1"/>
          <w:spacing w:val="-1"/>
        </w:rPr>
        <w:t xml:space="preserve"> </w:t>
      </w:r>
      <w:r w:rsidRPr="00FA3EC0">
        <w:rPr>
          <w:b/>
          <w:color w:val="000000" w:themeColor="text1"/>
        </w:rPr>
        <w:t>healthy</w:t>
      </w:r>
      <w:r w:rsidRPr="00FA3EC0">
        <w:rPr>
          <w:b/>
          <w:color w:val="000000" w:themeColor="text1"/>
          <w:spacing w:val="-3"/>
        </w:rPr>
        <w:t xml:space="preserve"> </w:t>
      </w:r>
      <w:r w:rsidRPr="00FA3EC0">
        <w:rPr>
          <w:b/>
          <w:color w:val="000000" w:themeColor="text1"/>
        </w:rPr>
        <w:t>nonsmokers</w:t>
      </w:r>
      <w:r w:rsidRPr="00FA3EC0">
        <w:rPr>
          <w:b/>
          <w:color w:val="000000" w:themeColor="text1"/>
          <w:spacing w:val="-1"/>
        </w:rPr>
        <w:t xml:space="preserve"> </w:t>
      </w:r>
      <w:r w:rsidRPr="00FA3EC0">
        <w:rPr>
          <w:b/>
          <w:color w:val="000000" w:themeColor="text1"/>
        </w:rPr>
        <w:t>and</w:t>
      </w:r>
      <w:r w:rsidRPr="00FA3EC0">
        <w:rPr>
          <w:b/>
          <w:color w:val="000000" w:themeColor="text1"/>
          <w:spacing w:val="-2"/>
        </w:rPr>
        <w:t xml:space="preserve"> </w:t>
      </w:r>
      <w:r w:rsidRPr="00FA3EC0">
        <w:rPr>
          <w:b/>
          <w:color w:val="000000" w:themeColor="text1"/>
        </w:rPr>
        <w:t>COPD</w:t>
      </w:r>
      <w:r w:rsidRPr="00FA3EC0">
        <w:rPr>
          <w:b/>
          <w:color w:val="000000" w:themeColor="text1"/>
          <w:spacing w:val="-4"/>
        </w:rPr>
        <w:t xml:space="preserve"> </w:t>
      </w:r>
      <w:r w:rsidRPr="00FA3EC0">
        <w:rPr>
          <w:b/>
          <w:color w:val="000000" w:themeColor="text1"/>
        </w:rPr>
        <w:t>smokers.</w:t>
      </w:r>
      <w:r w:rsidRPr="00FA3EC0">
        <w:rPr>
          <w:b/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a</w:t>
      </w:r>
      <w:r w:rsidRPr="00FA3EC0">
        <w:rPr>
          <w:color w:val="000000" w:themeColor="text1"/>
        </w:rPr>
        <w:t>)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Timeline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for</w:t>
      </w:r>
      <w:r w:rsidRPr="00FA3EC0">
        <w:rPr>
          <w:color w:val="000000" w:themeColor="text1"/>
          <w:spacing w:val="-5"/>
        </w:rPr>
        <w:t xml:space="preserve"> </w:t>
      </w:r>
      <w:r w:rsidRPr="00FA3EC0">
        <w:rPr>
          <w:color w:val="000000" w:themeColor="text1"/>
        </w:rPr>
        <w:t>ECE and DAPT administration.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b</w:t>
      </w:r>
      <w:r w:rsidRPr="00FA3EC0">
        <w:rPr>
          <w:color w:val="000000" w:themeColor="text1"/>
        </w:rPr>
        <w:t>) Immunostaining for acetylated α-tubulin (green), MUC5AC (red) and DAPI staining (blue) in HBE cells from healthy nonsmokers at the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ALI</w:t>
      </w:r>
      <w:r w:rsidRPr="00FA3EC0">
        <w:rPr>
          <w:color w:val="000000" w:themeColor="text1"/>
          <w:spacing w:val="-6"/>
        </w:rPr>
        <w:t xml:space="preserve"> </w:t>
      </w:r>
      <w:r w:rsidRPr="00FA3EC0">
        <w:rPr>
          <w:color w:val="000000" w:themeColor="text1"/>
        </w:rPr>
        <w:t>after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16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day DMEM/F-12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medium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(n</w:t>
      </w:r>
      <w:r w:rsidRPr="00FA3EC0">
        <w:rPr>
          <w:color w:val="000000" w:themeColor="text1"/>
          <w:spacing w:val="-13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14"/>
        </w:rPr>
        <w:t xml:space="preserve"> </w:t>
      </w:r>
      <w:r w:rsidRPr="00FA3EC0">
        <w:rPr>
          <w:color w:val="000000" w:themeColor="text1"/>
        </w:rPr>
        <w:t>3) or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ECE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(n</w:t>
      </w:r>
      <w:r w:rsidRPr="00FA3EC0">
        <w:rPr>
          <w:color w:val="000000" w:themeColor="text1"/>
          <w:spacing w:val="-13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14"/>
        </w:rPr>
        <w:t xml:space="preserve"> </w:t>
      </w:r>
      <w:r w:rsidRPr="00FA3EC0">
        <w:rPr>
          <w:color w:val="000000" w:themeColor="text1"/>
        </w:rPr>
        <w:t>3)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treatment,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or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16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day ECE and 7 day 0.5 μM DBZ (n</w:t>
      </w:r>
      <w:r w:rsidRPr="00FA3EC0">
        <w:rPr>
          <w:color w:val="000000" w:themeColor="text1"/>
          <w:spacing w:val="-5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6"/>
        </w:rPr>
        <w:t xml:space="preserve"> </w:t>
      </w:r>
      <w:r w:rsidRPr="00FA3EC0">
        <w:rPr>
          <w:color w:val="000000" w:themeColor="text1"/>
        </w:rPr>
        <w:t>3).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c</w:t>
      </w:r>
      <w:r w:rsidRPr="00FA3EC0">
        <w:rPr>
          <w:color w:val="000000" w:themeColor="text1"/>
        </w:rPr>
        <w:t>) Quantification of the relative number of acetylated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α-tubulin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19"/>
        </w:rPr>
        <w:t xml:space="preserve"> </w:t>
      </w:r>
      <w:r w:rsidRPr="00FA3EC0">
        <w:rPr>
          <w:color w:val="000000" w:themeColor="text1"/>
        </w:rPr>
        <w:t>cells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and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MUC5AC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19"/>
        </w:rPr>
        <w:t xml:space="preserve"> </w:t>
      </w:r>
      <w:r w:rsidRPr="00FA3EC0">
        <w:rPr>
          <w:color w:val="000000" w:themeColor="text1"/>
        </w:rPr>
        <w:t>cells.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d</w:t>
      </w:r>
      <w:r w:rsidRPr="00FA3EC0">
        <w:rPr>
          <w:color w:val="000000" w:themeColor="text1"/>
        </w:rPr>
        <w:t>)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Immunostaining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for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acetylated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α- tubulin (green), MUC5AC (red) and DAPI staining (blue) in HBE cells from COPD smokers at the ALI after 16 day DMEM/F-12 medium (n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6"/>
        </w:rPr>
        <w:t xml:space="preserve"> </w:t>
      </w:r>
      <w:r w:rsidRPr="00FA3EC0">
        <w:rPr>
          <w:color w:val="000000" w:themeColor="text1"/>
        </w:rPr>
        <w:t>3) or ECE (n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6"/>
        </w:rPr>
        <w:t xml:space="preserve"> </w:t>
      </w:r>
      <w:r w:rsidRPr="00FA3EC0">
        <w:rPr>
          <w:color w:val="000000" w:themeColor="text1"/>
        </w:rPr>
        <w:t>3) treatment, or 16 day ECE and 7 day 0.5 μM DBZ (n</w:t>
      </w:r>
      <w:r w:rsidRPr="00FA3EC0">
        <w:rPr>
          <w:color w:val="000000" w:themeColor="text1"/>
          <w:spacing w:val="-5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7"/>
        </w:rPr>
        <w:t xml:space="preserve"> </w:t>
      </w:r>
      <w:r w:rsidRPr="00FA3EC0">
        <w:rPr>
          <w:color w:val="000000" w:themeColor="text1"/>
        </w:rPr>
        <w:t>3).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e</w:t>
      </w:r>
      <w:r w:rsidRPr="00FA3EC0">
        <w:rPr>
          <w:color w:val="000000" w:themeColor="text1"/>
        </w:rPr>
        <w:t xml:space="preserve">)Quantification of the </w:t>
      </w:r>
      <w:r w:rsidRPr="00FA3EC0">
        <w:rPr>
          <w:color w:val="000000" w:themeColor="text1"/>
        </w:rPr>
        <w:lastRenderedPageBreak/>
        <w:t>relative number of acetylated α-tubulin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11"/>
        </w:rPr>
        <w:t xml:space="preserve"> </w:t>
      </w:r>
      <w:r w:rsidRPr="00FA3EC0">
        <w:rPr>
          <w:color w:val="000000" w:themeColor="text1"/>
        </w:rPr>
        <w:t>cells and MUC5AC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11"/>
        </w:rPr>
        <w:t xml:space="preserve"> </w:t>
      </w:r>
      <w:r w:rsidRPr="00FA3EC0">
        <w:rPr>
          <w:color w:val="000000" w:themeColor="text1"/>
        </w:rPr>
        <w:t>cells.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Scale bars: 100 μm.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one-way ANOVA with Tukey’s multiple comparison test, mean ±s.d.</w:t>
      </w:r>
    </w:p>
    <w:p w:rsidR="00FA3EC0" w:rsidRPr="00FA3EC0" w:rsidRDefault="00FA3EC0" w:rsidP="00FA3EC0">
      <w:pPr>
        <w:pStyle w:val="BodyText"/>
        <w:spacing w:before="5"/>
        <w:ind w:left="0"/>
        <w:rPr>
          <w:color w:val="000000" w:themeColor="text1"/>
        </w:rPr>
      </w:pPr>
    </w:p>
    <w:p w:rsidR="00FA3EC0" w:rsidRPr="00FA3EC0" w:rsidRDefault="00FA3EC0" w:rsidP="00FA3EC0">
      <w:pPr>
        <w:pStyle w:val="BodyText"/>
        <w:spacing w:before="1" w:line="276" w:lineRule="auto"/>
        <w:ind w:right="340"/>
        <w:rPr>
          <w:color w:val="000000" w:themeColor="text1"/>
        </w:rPr>
      </w:pPr>
      <w:r w:rsidRPr="00FA3EC0">
        <w:rPr>
          <w:b/>
          <w:color w:val="000000" w:themeColor="text1"/>
        </w:rPr>
        <w:t xml:space="preserve"> Figure S10: DBZ treatment partially restores CSE treatment-induced remodeling of HBE cells from healthy nonsmokers and COPD smokers.</w:t>
      </w:r>
      <w:r w:rsidRPr="00FA3EC0">
        <w:rPr>
          <w:b/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a</w:t>
      </w:r>
      <w:r w:rsidRPr="00FA3EC0">
        <w:rPr>
          <w:color w:val="000000" w:themeColor="text1"/>
        </w:rPr>
        <w:t>) Timeline for CSE and DAPT administration.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b</w:t>
      </w:r>
      <w:r w:rsidRPr="00FA3EC0">
        <w:rPr>
          <w:color w:val="000000" w:themeColor="text1"/>
        </w:rPr>
        <w:t>) Immunostaining for acetylatedα- tubulin(green), MUC5AC (red) and DAPI staining (blue) in HBE cells from healthy nonsmokers at the ALI after 16 day DMEM/F-12 medium (n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5"/>
        </w:rPr>
        <w:t xml:space="preserve"> </w:t>
      </w:r>
      <w:r w:rsidRPr="00FA3EC0">
        <w:rPr>
          <w:color w:val="000000" w:themeColor="text1"/>
        </w:rPr>
        <w:t>3), or CSE(n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5"/>
        </w:rPr>
        <w:t xml:space="preserve"> </w:t>
      </w:r>
      <w:r w:rsidRPr="00FA3EC0">
        <w:rPr>
          <w:color w:val="000000" w:themeColor="text1"/>
        </w:rPr>
        <w:t>3) treatment,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or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16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day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CSE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and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7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day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0.5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μM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DBZ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(n</w:t>
      </w:r>
      <w:r w:rsidRPr="00FA3EC0">
        <w:rPr>
          <w:color w:val="000000" w:themeColor="text1"/>
          <w:spacing w:val="-14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15"/>
        </w:rPr>
        <w:t xml:space="preserve"> </w:t>
      </w:r>
      <w:r w:rsidRPr="00FA3EC0">
        <w:rPr>
          <w:color w:val="000000" w:themeColor="text1"/>
        </w:rPr>
        <w:t>3)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treatment.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c</w:t>
      </w:r>
      <w:r w:rsidRPr="00FA3EC0">
        <w:rPr>
          <w:color w:val="000000" w:themeColor="text1"/>
        </w:rPr>
        <w:t>)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Quantification of the relative number of acetylated α-tubulin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11"/>
        </w:rPr>
        <w:t xml:space="preserve"> </w:t>
      </w:r>
      <w:r w:rsidRPr="00FA3EC0">
        <w:rPr>
          <w:color w:val="000000" w:themeColor="text1"/>
        </w:rPr>
        <w:t>cells and MUC5AC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11"/>
        </w:rPr>
        <w:t xml:space="preserve"> </w:t>
      </w:r>
      <w:r w:rsidRPr="00FA3EC0">
        <w:rPr>
          <w:color w:val="000000" w:themeColor="text1"/>
        </w:rPr>
        <w:t>cells.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d</w:t>
      </w:r>
      <w:r w:rsidRPr="00FA3EC0">
        <w:rPr>
          <w:color w:val="000000" w:themeColor="text1"/>
        </w:rPr>
        <w:t>) Immunostaining for acetylated α-tubulin (green), MUC5AC (red) and DAPI staining (blue) in HBE cells from COPD smokers at the ALI after 16 day DMEM/F-12 medium (n</w:t>
      </w:r>
      <w:r w:rsidRPr="00FA3EC0">
        <w:rPr>
          <w:color w:val="000000" w:themeColor="text1"/>
          <w:spacing w:val="-6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7"/>
        </w:rPr>
        <w:t xml:space="preserve"> </w:t>
      </w:r>
      <w:r w:rsidRPr="00FA3EC0">
        <w:rPr>
          <w:color w:val="000000" w:themeColor="text1"/>
        </w:rPr>
        <w:t>3) or CSE (n</w:t>
      </w:r>
      <w:r w:rsidRPr="00FA3EC0">
        <w:rPr>
          <w:color w:val="000000" w:themeColor="text1"/>
          <w:spacing w:val="-6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7"/>
        </w:rPr>
        <w:t xml:space="preserve"> </w:t>
      </w:r>
      <w:r w:rsidRPr="00FA3EC0">
        <w:rPr>
          <w:color w:val="000000" w:themeColor="text1"/>
        </w:rPr>
        <w:t>3) treatment, or 16 day CSE and 7 day 0.5 μM DBZ</w:t>
      </w:r>
    </w:p>
    <w:p w:rsidR="00FA3EC0" w:rsidRPr="00FA3EC0" w:rsidRDefault="00FA3EC0" w:rsidP="00FA3EC0">
      <w:pPr>
        <w:pStyle w:val="BodyText"/>
        <w:spacing w:line="276" w:lineRule="auto"/>
        <w:ind w:right="352"/>
        <w:rPr>
          <w:color w:val="000000" w:themeColor="text1"/>
        </w:rPr>
      </w:pPr>
      <w:r w:rsidRPr="00FA3EC0">
        <w:rPr>
          <w:color w:val="000000" w:themeColor="text1"/>
        </w:rPr>
        <w:t>(n</w:t>
      </w:r>
      <w:r w:rsidRPr="00FA3EC0">
        <w:rPr>
          <w:color w:val="000000" w:themeColor="text1"/>
          <w:spacing w:val="-15"/>
        </w:rPr>
        <w:t xml:space="preserve"> </w:t>
      </w:r>
      <w:r w:rsidRPr="00FA3EC0">
        <w:rPr>
          <w:color w:val="000000" w:themeColor="text1"/>
        </w:rPr>
        <w:t>=</w:t>
      </w:r>
      <w:r w:rsidRPr="00FA3EC0">
        <w:rPr>
          <w:color w:val="000000" w:themeColor="text1"/>
          <w:spacing w:val="-15"/>
        </w:rPr>
        <w:t xml:space="preserve"> </w:t>
      </w:r>
      <w:r w:rsidRPr="00FA3EC0">
        <w:rPr>
          <w:color w:val="000000" w:themeColor="text1"/>
        </w:rPr>
        <w:t>3)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treatment.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(</w:t>
      </w:r>
      <w:r w:rsidRPr="00FA3EC0">
        <w:rPr>
          <w:b/>
          <w:color w:val="000000" w:themeColor="text1"/>
        </w:rPr>
        <w:t>e</w:t>
      </w:r>
      <w:r w:rsidRPr="00FA3EC0">
        <w:rPr>
          <w:color w:val="000000" w:themeColor="text1"/>
        </w:rPr>
        <w:t>)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Quantification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of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the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relative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number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of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acetylated</w:t>
      </w:r>
      <w:r w:rsidRPr="00FA3EC0">
        <w:rPr>
          <w:color w:val="000000" w:themeColor="text1"/>
          <w:spacing w:val="-1"/>
        </w:rPr>
        <w:t xml:space="preserve"> </w:t>
      </w:r>
      <w:r w:rsidRPr="00FA3EC0">
        <w:rPr>
          <w:color w:val="000000" w:themeColor="text1"/>
        </w:rPr>
        <w:t>α-tubulin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</w:rPr>
        <w:t xml:space="preserve"> cells and MUC5AC</w:t>
      </w:r>
      <w:r w:rsidRPr="00FA3EC0">
        <w:rPr>
          <w:color w:val="000000" w:themeColor="text1"/>
          <w:vertAlign w:val="superscript"/>
        </w:rPr>
        <w:t>+</w:t>
      </w:r>
      <w:r w:rsidRPr="00FA3EC0">
        <w:rPr>
          <w:color w:val="000000" w:themeColor="text1"/>
          <w:spacing w:val="-12"/>
        </w:rPr>
        <w:t xml:space="preserve"> </w:t>
      </w:r>
      <w:r w:rsidRPr="00FA3EC0">
        <w:rPr>
          <w:color w:val="000000" w:themeColor="text1"/>
        </w:rPr>
        <w:t>cells.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Scale bars: 100 μm.</w:t>
      </w:r>
      <w:r w:rsidRPr="00FA3EC0">
        <w:rPr>
          <w:color w:val="000000" w:themeColor="text1"/>
          <w:spacing w:val="40"/>
        </w:rPr>
        <w:t xml:space="preserve"> </w:t>
      </w:r>
      <w:r w:rsidRPr="00FA3EC0">
        <w:rPr>
          <w:color w:val="000000" w:themeColor="text1"/>
        </w:rPr>
        <w:t>one-way ANOVA with Tukey’s multiple comparison test.</w:t>
      </w:r>
    </w:p>
    <w:p w:rsidR="00FA3EC0" w:rsidRPr="00FA3EC0" w:rsidRDefault="00FA3EC0" w:rsidP="00FA3EC0">
      <w:pPr>
        <w:spacing w:line="276" w:lineRule="auto"/>
        <w:rPr>
          <w:color w:val="000000" w:themeColor="text1"/>
        </w:rPr>
        <w:sectPr w:rsidR="00FA3EC0" w:rsidRPr="00FA3EC0" w:rsidSect="00FA3EC0">
          <w:type w:val="continuous"/>
          <w:pgSz w:w="11910" w:h="16840"/>
          <w:pgMar w:top="1360" w:right="1500" w:bottom="280" w:left="1420" w:header="720" w:footer="720" w:gutter="0"/>
          <w:cols w:space="720"/>
        </w:sectPr>
      </w:pPr>
    </w:p>
    <w:p w:rsidR="00FA3EC0" w:rsidRPr="00FA3EC0" w:rsidRDefault="00FA3EC0" w:rsidP="00FA3EC0">
      <w:pPr>
        <w:pStyle w:val="Heading1"/>
        <w:spacing w:before="61" w:line="276" w:lineRule="auto"/>
        <w:ind w:right="352"/>
        <w:rPr>
          <w:color w:val="000000" w:themeColor="text1"/>
        </w:rPr>
      </w:pPr>
      <w:r w:rsidRPr="00FA3EC0">
        <w:rPr>
          <w:color w:val="000000" w:themeColor="text1"/>
        </w:rPr>
        <w:t>Table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S1</w:t>
      </w:r>
      <w:r w:rsidRPr="00FA3EC0">
        <w:rPr>
          <w:rFonts w:eastAsiaTheme="minorEastAsia" w:hint="eastAsia"/>
          <w:color w:val="000000" w:themeColor="text1"/>
          <w:lang w:eastAsia="zh-CN"/>
        </w:rPr>
        <w:t>: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Healthy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nonsmoker</w:t>
      </w:r>
      <w:r w:rsidRPr="00FA3EC0">
        <w:rPr>
          <w:color w:val="000000" w:themeColor="text1"/>
          <w:spacing w:val="-5"/>
        </w:rPr>
        <w:t xml:space="preserve"> </w:t>
      </w:r>
      <w:r w:rsidRPr="00FA3EC0">
        <w:rPr>
          <w:color w:val="000000" w:themeColor="text1"/>
        </w:rPr>
        <w:t>and</w:t>
      </w:r>
      <w:r w:rsidRPr="00FA3EC0">
        <w:rPr>
          <w:color w:val="000000" w:themeColor="text1"/>
          <w:spacing w:val="-2"/>
        </w:rPr>
        <w:t xml:space="preserve"> </w:t>
      </w:r>
      <w:r w:rsidRPr="00FA3EC0">
        <w:rPr>
          <w:color w:val="000000" w:themeColor="text1"/>
        </w:rPr>
        <w:t>COPD</w:t>
      </w:r>
      <w:r w:rsidRPr="00FA3EC0">
        <w:rPr>
          <w:color w:val="000000" w:themeColor="text1"/>
          <w:spacing w:val="-5"/>
        </w:rPr>
        <w:t xml:space="preserve"> </w:t>
      </w:r>
      <w:r w:rsidRPr="00FA3EC0">
        <w:rPr>
          <w:color w:val="000000" w:themeColor="text1"/>
        </w:rPr>
        <w:t>patient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information</w:t>
      </w:r>
      <w:r w:rsidRPr="00FA3EC0">
        <w:rPr>
          <w:color w:val="000000" w:themeColor="text1"/>
          <w:spacing w:val="-3"/>
        </w:rPr>
        <w:t xml:space="preserve"> </w:t>
      </w:r>
      <w:r w:rsidRPr="00FA3EC0">
        <w:rPr>
          <w:color w:val="000000" w:themeColor="text1"/>
        </w:rPr>
        <w:t>for</w:t>
      </w:r>
      <w:r w:rsidRPr="00FA3EC0">
        <w:rPr>
          <w:color w:val="000000" w:themeColor="text1"/>
          <w:spacing w:val="-6"/>
        </w:rPr>
        <w:t xml:space="preserve"> </w:t>
      </w:r>
      <w:r w:rsidRPr="00FA3EC0">
        <w:rPr>
          <w:color w:val="000000" w:themeColor="text1"/>
        </w:rPr>
        <w:t>Figure</w:t>
      </w:r>
      <w:r w:rsidRPr="00FA3EC0">
        <w:rPr>
          <w:color w:val="000000" w:themeColor="text1"/>
          <w:spacing w:val="-5"/>
        </w:rPr>
        <w:t xml:space="preserve"> </w:t>
      </w:r>
      <w:r w:rsidRPr="00FA3EC0">
        <w:rPr>
          <w:color w:val="000000" w:themeColor="text1"/>
        </w:rPr>
        <w:t>1</w:t>
      </w:r>
      <w:r w:rsidRPr="00FA3EC0">
        <w:rPr>
          <w:color w:val="000000" w:themeColor="text1"/>
          <w:spacing w:val="-4"/>
        </w:rPr>
        <w:t xml:space="preserve"> </w:t>
      </w:r>
      <w:r w:rsidRPr="00FA3EC0">
        <w:rPr>
          <w:color w:val="000000" w:themeColor="text1"/>
        </w:rPr>
        <w:t>to Figure 7</w:t>
      </w:r>
    </w:p>
    <w:p w:rsidR="00FA3EC0" w:rsidRPr="00FA3EC0" w:rsidRDefault="00FA3EC0" w:rsidP="00FA3EC0">
      <w:pPr>
        <w:pStyle w:val="BodyText"/>
        <w:spacing w:before="50"/>
        <w:ind w:left="0"/>
        <w:rPr>
          <w:b/>
          <w:color w:val="000000" w:themeColor="text1"/>
          <w:sz w:val="20"/>
        </w:rPr>
      </w:pPr>
    </w:p>
    <w:tbl>
      <w:tblPr>
        <w:tblStyle w:val="TableNormal1"/>
        <w:tblW w:w="0" w:type="auto"/>
        <w:tblInd w:w="265" w:type="dxa"/>
        <w:tblLayout w:type="fixed"/>
        <w:tblLook w:val="01E0" w:firstRow="1" w:lastRow="1" w:firstColumn="1" w:lastColumn="1" w:noHBand="0" w:noVBand="0"/>
      </w:tblPr>
      <w:tblGrid>
        <w:gridCol w:w="2154"/>
        <w:gridCol w:w="1076"/>
        <w:gridCol w:w="1196"/>
        <w:gridCol w:w="1106"/>
        <w:gridCol w:w="1577"/>
      </w:tblGrid>
      <w:tr w:rsidR="00FA3EC0" w:rsidRPr="00FA3EC0" w:rsidTr="004C76CD">
        <w:trPr>
          <w:trHeight w:val="299"/>
        </w:trPr>
        <w:tc>
          <w:tcPr>
            <w:tcW w:w="2154" w:type="dxa"/>
            <w:tcBorders>
              <w:top w:val="single" w:sz="4" w:space="0" w:color="000000"/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 w:line="210" w:lineRule="exact"/>
              <w:ind w:left="30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Sex</w:t>
            </w:r>
          </w:p>
        </w:tc>
        <w:tc>
          <w:tcPr>
            <w:tcW w:w="1196" w:type="dxa"/>
            <w:tcBorders>
              <w:top w:val="single" w:sz="4" w:space="0" w:color="000000"/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 w:line="210" w:lineRule="exact"/>
              <w:ind w:left="224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Age</w:t>
            </w:r>
            <w:r w:rsidRPr="00FA3EC0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4"/>
                <w:sz w:val="20"/>
              </w:rPr>
              <w:t>(yr)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 w:line="210" w:lineRule="exact"/>
              <w:ind w:left="28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Smoke</w:t>
            </w:r>
          </w:p>
        </w:tc>
        <w:tc>
          <w:tcPr>
            <w:tcW w:w="1577" w:type="dxa"/>
            <w:tcBorders>
              <w:top w:val="single" w:sz="4" w:space="0" w:color="000000"/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 w:line="210" w:lineRule="exact"/>
              <w:ind w:left="262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COPD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2"/>
                <w:sz w:val="20"/>
              </w:rPr>
              <w:t>stage</w:t>
            </w:r>
          </w:p>
        </w:tc>
      </w:tr>
      <w:tr w:rsidR="00FA3EC0" w:rsidRPr="00FA3EC0" w:rsidTr="004C76CD">
        <w:trPr>
          <w:trHeight w:val="339"/>
        </w:trPr>
        <w:tc>
          <w:tcPr>
            <w:tcW w:w="2154" w:type="dxa"/>
            <w:tcBorders>
              <w:top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Patient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076" w:type="dxa"/>
            <w:tcBorders>
              <w:top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/>
              <w:ind w:left="30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196" w:type="dxa"/>
            <w:tcBorders>
              <w:top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/>
              <w:ind w:left="224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76</w:t>
            </w:r>
          </w:p>
        </w:tc>
        <w:tc>
          <w:tcPr>
            <w:tcW w:w="1106" w:type="dxa"/>
            <w:tcBorders>
              <w:top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/>
              <w:ind w:left="28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  <w:tcBorders>
              <w:top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/>
              <w:ind w:left="262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III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Patient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1076" w:type="dxa"/>
          </w:tcPr>
          <w:p w:rsidR="00FA3EC0" w:rsidRPr="00FA3EC0" w:rsidRDefault="00FA3EC0" w:rsidP="004C76CD">
            <w:pPr>
              <w:pStyle w:val="TableParagraph"/>
              <w:ind w:left="30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196" w:type="dxa"/>
          </w:tcPr>
          <w:p w:rsidR="00FA3EC0" w:rsidRPr="00FA3EC0" w:rsidRDefault="00FA3EC0" w:rsidP="004C76CD">
            <w:pPr>
              <w:pStyle w:val="TableParagraph"/>
              <w:ind w:left="224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68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2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IV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Patient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1076" w:type="dxa"/>
          </w:tcPr>
          <w:p w:rsidR="00FA3EC0" w:rsidRPr="00FA3EC0" w:rsidRDefault="00FA3EC0" w:rsidP="004C76CD">
            <w:pPr>
              <w:pStyle w:val="TableParagraph"/>
              <w:ind w:left="30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196" w:type="dxa"/>
          </w:tcPr>
          <w:p w:rsidR="00FA3EC0" w:rsidRPr="00FA3EC0" w:rsidRDefault="00FA3EC0" w:rsidP="004C76CD">
            <w:pPr>
              <w:pStyle w:val="TableParagraph"/>
              <w:ind w:left="224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77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2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III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Patient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1076" w:type="dxa"/>
          </w:tcPr>
          <w:p w:rsidR="00FA3EC0" w:rsidRPr="00FA3EC0" w:rsidRDefault="00FA3EC0" w:rsidP="004C76CD">
            <w:pPr>
              <w:pStyle w:val="TableParagraph"/>
              <w:ind w:left="30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196" w:type="dxa"/>
          </w:tcPr>
          <w:p w:rsidR="00FA3EC0" w:rsidRPr="00FA3EC0" w:rsidRDefault="00FA3EC0" w:rsidP="004C76CD">
            <w:pPr>
              <w:pStyle w:val="TableParagraph"/>
              <w:ind w:left="224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72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2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III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Patient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1076" w:type="dxa"/>
          </w:tcPr>
          <w:p w:rsidR="00FA3EC0" w:rsidRPr="00FA3EC0" w:rsidRDefault="00FA3EC0" w:rsidP="004C76CD">
            <w:pPr>
              <w:pStyle w:val="TableParagraph"/>
              <w:ind w:left="30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196" w:type="dxa"/>
          </w:tcPr>
          <w:p w:rsidR="00FA3EC0" w:rsidRPr="00FA3EC0" w:rsidRDefault="00FA3EC0" w:rsidP="004C76CD">
            <w:pPr>
              <w:pStyle w:val="TableParagraph"/>
              <w:ind w:left="224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80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2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II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Healthy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nonsmoker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1076" w:type="dxa"/>
          </w:tcPr>
          <w:p w:rsidR="00FA3EC0" w:rsidRPr="00FA3EC0" w:rsidRDefault="00FA3EC0" w:rsidP="004C76CD">
            <w:pPr>
              <w:pStyle w:val="TableParagraph"/>
              <w:ind w:left="30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196" w:type="dxa"/>
          </w:tcPr>
          <w:p w:rsidR="00FA3EC0" w:rsidRPr="00FA3EC0" w:rsidRDefault="00FA3EC0" w:rsidP="004C76CD">
            <w:pPr>
              <w:pStyle w:val="TableParagraph"/>
              <w:ind w:left="224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68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No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2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Healthy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nonsmoker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1076" w:type="dxa"/>
          </w:tcPr>
          <w:p w:rsidR="00FA3EC0" w:rsidRPr="00FA3EC0" w:rsidRDefault="00FA3EC0" w:rsidP="004C76CD">
            <w:pPr>
              <w:pStyle w:val="TableParagraph"/>
              <w:ind w:left="30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female</w:t>
            </w:r>
          </w:p>
        </w:tc>
        <w:tc>
          <w:tcPr>
            <w:tcW w:w="1196" w:type="dxa"/>
          </w:tcPr>
          <w:p w:rsidR="00FA3EC0" w:rsidRPr="00FA3EC0" w:rsidRDefault="00FA3EC0" w:rsidP="004C76CD">
            <w:pPr>
              <w:pStyle w:val="TableParagraph"/>
              <w:ind w:left="224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63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No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2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Healthy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nonsmoker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1076" w:type="dxa"/>
          </w:tcPr>
          <w:p w:rsidR="00FA3EC0" w:rsidRPr="00FA3EC0" w:rsidRDefault="00FA3EC0" w:rsidP="004C76CD">
            <w:pPr>
              <w:pStyle w:val="TableParagraph"/>
              <w:ind w:left="30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196" w:type="dxa"/>
          </w:tcPr>
          <w:p w:rsidR="00FA3EC0" w:rsidRPr="00FA3EC0" w:rsidRDefault="00FA3EC0" w:rsidP="004C76CD">
            <w:pPr>
              <w:pStyle w:val="TableParagraph"/>
              <w:ind w:left="224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63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No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2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Healthy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nonsmoker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1076" w:type="dxa"/>
          </w:tcPr>
          <w:p w:rsidR="00FA3EC0" w:rsidRPr="00FA3EC0" w:rsidRDefault="00FA3EC0" w:rsidP="004C76CD">
            <w:pPr>
              <w:pStyle w:val="TableParagraph"/>
              <w:ind w:left="30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196" w:type="dxa"/>
          </w:tcPr>
          <w:p w:rsidR="00FA3EC0" w:rsidRPr="00FA3EC0" w:rsidRDefault="00FA3EC0" w:rsidP="004C76CD">
            <w:pPr>
              <w:pStyle w:val="TableParagraph"/>
              <w:ind w:left="224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62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No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2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262"/>
        </w:trPr>
        <w:tc>
          <w:tcPr>
            <w:tcW w:w="2154" w:type="dxa"/>
            <w:tcBorders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line="212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Healthy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nonsmoker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1076" w:type="dxa"/>
            <w:tcBorders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line="212" w:lineRule="exact"/>
              <w:ind w:left="30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female</w:t>
            </w:r>
          </w:p>
        </w:tc>
        <w:tc>
          <w:tcPr>
            <w:tcW w:w="1196" w:type="dxa"/>
            <w:tcBorders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line="212" w:lineRule="exact"/>
              <w:ind w:left="224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75</w:t>
            </w: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line="212" w:lineRule="exact"/>
              <w:ind w:left="288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No</w:t>
            </w:r>
          </w:p>
        </w:tc>
        <w:tc>
          <w:tcPr>
            <w:tcW w:w="1577" w:type="dxa"/>
            <w:tcBorders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line="212" w:lineRule="exact"/>
              <w:ind w:left="262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</w:tbl>
    <w:p w:rsidR="00FA3EC0" w:rsidRPr="00FA3EC0" w:rsidRDefault="00FA3EC0" w:rsidP="00FA3EC0">
      <w:pPr>
        <w:pStyle w:val="BodyText"/>
        <w:spacing w:before="228"/>
        <w:ind w:left="0"/>
        <w:rPr>
          <w:b/>
          <w:color w:val="000000" w:themeColor="text1"/>
        </w:rPr>
      </w:pPr>
    </w:p>
    <w:p w:rsidR="00FA3EC0" w:rsidRPr="00FA3EC0" w:rsidRDefault="00FA3EC0" w:rsidP="00FA3EC0">
      <w:pPr>
        <w:spacing w:before="1"/>
        <w:ind w:left="380"/>
        <w:rPr>
          <w:b/>
          <w:color w:val="000000" w:themeColor="text1"/>
          <w:sz w:val="24"/>
        </w:rPr>
      </w:pPr>
      <w:r w:rsidRPr="00FA3EC0">
        <w:rPr>
          <w:b/>
          <w:color w:val="000000" w:themeColor="text1"/>
          <w:sz w:val="24"/>
        </w:rPr>
        <w:t>Table</w:t>
      </w:r>
      <w:r w:rsidRPr="00FA3EC0">
        <w:rPr>
          <w:b/>
          <w:color w:val="000000" w:themeColor="text1"/>
          <w:spacing w:val="-3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S2</w:t>
      </w:r>
      <w:r w:rsidRPr="00FA3EC0">
        <w:rPr>
          <w:rFonts w:eastAsiaTheme="minorEastAsia" w:hint="eastAsia"/>
          <w:b/>
          <w:color w:val="000000" w:themeColor="text1"/>
          <w:sz w:val="24"/>
          <w:lang w:eastAsia="zh-CN"/>
        </w:rPr>
        <w:t>:</w:t>
      </w:r>
      <w:r w:rsidRPr="00FA3EC0">
        <w:rPr>
          <w:b/>
          <w:color w:val="000000" w:themeColor="text1"/>
          <w:spacing w:val="-1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The</w:t>
      </w:r>
      <w:r w:rsidRPr="00FA3EC0">
        <w:rPr>
          <w:b/>
          <w:color w:val="000000" w:themeColor="text1"/>
          <w:spacing w:val="-2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analysis</w:t>
      </w:r>
      <w:r w:rsidRPr="00FA3EC0">
        <w:rPr>
          <w:b/>
          <w:color w:val="000000" w:themeColor="text1"/>
          <w:spacing w:val="-1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of</w:t>
      </w:r>
      <w:r w:rsidRPr="00FA3EC0">
        <w:rPr>
          <w:b/>
          <w:color w:val="000000" w:themeColor="text1"/>
          <w:spacing w:val="-1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the</w:t>
      </w:r>
      <w:r w:rsidRPr="00FA3EC0">
        <w:rPr>
          <w:b/>
          <w:color w:val="000000" w:themeColor="text1"/>
          <w:spacing w:val="-2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main</w:t>
      </w:r>
      <w:r w:rsidRPr="00FA3EC0">
        <w:rPr>
          <w:b/>
          <w:color w:val="000000" w:themeColor="text1"/>
          <w:spacing w:val="1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components</w:t>
      </w:r>
      <w:r w:rsidRPr="00FA3EC0">
        <w:rPr>
          <w:b/>
          <w:color w:val="000000" w:themeColor="text1"/>
          <w:spacing w:val="-1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in</w:t>
      </w:r>
      <w:r w:rsidRPr="00FA3EC0">
        <w:rPr>
          <w:b/>
          <w:color w:val="000000" w:themeColor="text1"/>
          <w:spacing w:val="-1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ECE</w:t>
      </w:r>
      <w:r w:rsidRPr="00FA3EC0">
        <w:rPr>
          <w:b/>
          <w:color w:val="000000" w:themeColor="text1"/>
          <w:spacing w:val="-1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and</w:t>
      </w:r>
      <w:r w:rsidRPr="00FA3EC0">
        <w:rPr>
          <w:b/>
          <w:color w:val="000000" w:themeColor="text1"/>
          <w:spacing w:val="-1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CSE</w:t>
      </w:r>
      <w:r w:rsidRPr="00FA3EC0">
        <w:rPr>
          <w:b/>
          <w:color w:val="000000" w:themeColor="text1"/>
          <w:spacing w:val="-1"/>
          <w:sz w:val="24"/>
        </w:rPr>
        <w:t xml:space="preserve"> </w:t>
      </w:r>
      <w:r w:rsidRPr="00FA3EC0">
        <w:rPr>
          <w:b/>
          <w:color w:val="000000" w:themeColor="text1"/>
          <w:spacing w:val="-5"/>
          <w:sz w:val="24"/>
        </w:rPr>
        <w:t xml:space="preserve">used for HBE cells treatment in this study </w:t>
      </w:r>
      <w:r w:rsidRPr="00FA3EC0">
        <w:rPr>
          <w:b/>
          <w:color w:val="000000" w:themeColor="text1"/>
          <w:sz w:val="24"/>
        </w:rPr>
        <w:t>by</w:t>
      </w:r>
      <w:r w:rsidRPr="00FA3EC0">
        <w:rPr>
          <w:b/>
          <w:color w:val="000000" w:themeColor="text1"/>
          <w:spacing w:val="-3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GC-</w:t>
      </w:r>
      <w:r w:rsidRPr="00FA3EC0">
        <w:rPr>
          <w:b/>
          <w:color w:val="000000" w:themeColor="text1"/>
          <w:spacing w:val="-5"/>
          <w:sz w:val="24"/>
        </w:rPr>
        <w:t xml:space="preserve">MS </w:t>
      </w:r>
    </w:p>
    <w:p w:rsidR="00FA3EC0" w:rsidRPr="00FA3EC0" w:rsidRDefault="00FA3EC0" w:rsidP="00FA3EC0">
      <w:pPr>
        <w:pStyle w:val="BodyText"/>
        <w:spacing w:before="46" w:after="1"/>
        <w:ind w:left="0"/>
        <w:rPr>
          <w:b/>
          <w:color w:val="000000" w:themeColor="text1"/>
          <w:sz w:val="20"/>
        </w:rPr>
      </w:pPr>
    </w:p>
    <w:tbl>
      <w:tblPr>
        <w:tblStyle w:val="TableNormal1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1621"/>
        <w:gridCol w:w="1317"/>
        <w:gridCol w:w="1169"/>
        <w:gridCol w:w="1107"/>
        <w:gridCol w:w="1172"/>
        <w:gridCol w:w="1373"/>
        <w:gridCol w:w="923"/>
      </w:tblGrid>
      <w:tr w:rsidR="00FA3EC0" w:rsidRPr="00FA3EC0" w:rsidTr="004C76CD">
        <w:trPr>
          <w:trHeight w:val="481"/>
        </w:trPr>
        <w:tc>
          <w:tcPr>
            <w:tcW w:w="1621" w:type="dxa"/>
            <w:tcBorders>
              <w:top w:val="single" w:sz="8" w:space="0" w:color="000000"/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0" w:line="240" w:lineRule="exact"/>
              <w:ind w:left="176" w:firstLine="62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 xml:space="preserve">Propylene </w:t>
            </w:r>
            <w:r w:rsidRPr="00FA3EC0">
              <w:rPr>
                <w:color w:val="000000" w:themeColor="text1"/>
                <w:sz w:val="20"/>
              </w:rPr>
              <w:t>glycol</w:t>
            </w:r>
            <w:r w:rsidRPr="00FA3EC0">
              <w:rPr>
                <w:color w:val="000000" w:themeColor="text1"/>
                <w:spacing w:val="-4"/>
                <w:sz w:val="20"/>
              </w:rPr>
              <w:t xml:space="preserve"> (PG)</w:t>
            </w:r>
          </w:p>
        </w:tc>
        <w:tc>
          <w:tcPr>
            <w:tcW w:w="1169" w:type="dxa"/>
            <w:tcBorders>
              <w:top w:val="single" w:sz="8" w:space="0" w:color="000000"/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0" w:line="240" w:lineRule="exact"/>
              <w:ind w:left="350" w:hanging="135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Glycerol (Gly)</w:t>
            </w:r>
          </w:p>
        </w:tc>
        <w:tc>
          <w:tcPr>
            <w:tcW w:w="1107" w:type="dxa"/>
            <w:tcBorders>
              <w:top w:val="single" w:sz="8" w:space="0" w:color="000000"/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0" w:line="240" w:lineRule="exact"/>
              <w:ind w:left="398" w:right="208" w:hanging="1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 xml:space="preserve">Benzoic </w:t>
            </w:r>
            <w:r w:rsidRPr="00FA3EC0">
              <w:rPr>
                <w:color w:val="000000" w:themeColor="text1"/>
                <w:spacing w:val="-4"/>
                <w:sz w:val="20"/>
              </w:rPr>
              <w:t>acid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7"/>
              <w:ind w:left="73" w:right="2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Menthone</w:t>
            </w:r>
          </w:p>
        </w:tc>
        <w:tc>
          <w:tcPr>
            <w:tcW w:w="1373" w:type="dxa"/>
            <w:tcBorders>
              <w:top w:val="single" w:sz="8" w:space="0" w:color="000000"/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0" w:line="240" w:lineRule="exact"/>
              <w:ind w:left="363" w:right="348" w:hanging="22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Menthol racemic</w:t>
            </w:r>
          </w:p>
        </w:tc>
        <w:tc>
          <w:tcPr>
            <w:tcW w:w="923" w:type="dxa"/>
            <w:tcBorders>
              <w:top w:val="single" w:sz="8" w:space="0" w:color="000000"/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7"/>
              <w:ind w:left="0" w:right="43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WS-</w:t>
            </w:r>
            <w:r w:rsidRPr="00FA3EC0">
              <w:rPr>
                <w:color w:val="000000" w:themeColor="text1"/>
                <w:spacing w:val="-5"/>
                <w:sz w:val="20"/>
              </w:rPr>
              <w:t>23</w:t>
            </w:r>
          </w:p>
        </w:tc>
      </w:tr>
      <w:tr w:rsidR="00FA3EC0" w:rsidRPr="00FA3EC0" w:rsidTr="004C76CD">
        <w:trPr>
          <w:trHeight w:val="244"/>
        </w:trPr>
        <w:tc>
          <w:tcPr>
            <w:tcW w:w="1621" w:type="dxa"/>
            <w:tcBorders>
              <w:top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5" w:line="220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E-cig</w:t>
            </w:r>
            <w:r w:rsidRPr="00FA3EC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2"/>
                <w:sz w:val="20"/>
              </w:rPr>
              <w:t>(mg/kg)</w:t>
            </w:r>
          </w:p>
        </w:tc>
        <w:tc>
          <w:tcPr>
            <w:tcW w:w="1317" w:type="dxa"/>
            <w:tcBorders>
              <w:top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5" w:line="220" w:lineRule="exact"/>
              <w:ind w:left="1" w:right="24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7621.5</w:t>
            </w:r>
          </w:p>
        </w:tc>
        <w:tc>
          <w:tcPr>
            <w:tcW w:w="1169" w:type="dxa"/>
            <w:tcBorders>
              <w:top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5" w:line="220" w:lineRule="exact"/>
              <w:ind w:left="0" w:right="33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11605.1</w:t>
            </w:r>
          </w:p>
        </w:tc>
        <w:tc>
          <w:tcPr>
            <w:tcW w:w="1107" w:type="dxa"/>
            <w:tcBorders>
              <w:top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5" w:line="220" w:lineRule="exact"/>
              <w:ind w:left="24" w:right="4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ND</w:t>
            </w:r>
          </w:p>
        </w:tc>
        <w:tc>
          <w:tcPr>
            <w:tcW w:w="1172" w:type="dxa"/>
            <w:tcBorders>
              <w:top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5" w:line="220" w:lineRule="exact"/>
              <w:ind w:left="73" w:right="3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ND</w:t>
            </w:r>
          </w:p>
        </w:tc>
        <w:tc>
          <w:tcPr>
            <w:tcW w:w="1373" w:type="dxa"/>
            <w:tcBorders>
              <w:top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5" w:line="220" w:lineRule="exact"/>
              <w:ind w:left="0" w:right="9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406.4</w:t>
            </w:r>
          </w:p>
        </w:tc>
        <w:tc>
          <w:tcPr>
            <w:tcW w:w="923" w:type="dxa"/>
            <w:tcBorders>
              <w:top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5" w:line="220" w:lineRule="exact"/>
              <w:ind w:left="0" w:right="43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ND</w:t>
            </w:r>
          </w:p>
        </w:tc>
      </w:tr>
      <w:tr w:rsidR="00FA3EC0" w:rsidRPr="00FA3EC0" w:rsidTr="004C76CD">
        <w:trPr>
          <w:trHeight w:val="240"/>
        </w:trPr>
        <w:tc>
          <w:tcPr>
            <w:tcW w:w="1621" w:type="dxa"/>
          </w:tcPr>
          <w:p w:rsidR="00FA3EC0" w:rsidRPr="00FA3EC0" w:rsidRDefault="00FA3EC0" w:rsidP="004C76CD">
            <w:pPr>
              <w:pStyle w:val="TableParagraph"/>
              <w:spacing w:before="0" w:line="220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T-cig</w:t>
            </w:r>
            <w:r w:rsidRPr="00FA3EC0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4"/>
                <w:sz w:val="20"/>
              </w:rPr>
              <w:t>(mg/kg)</w:t>
            </w:r>
          </w:p>
        </w:tc>
        <w:tc>
          <w:tcPr>
            <w:tcW w:w="1317" w:type="dxa"/>
          </w:tcPr>
          <w:p w:rsidR="00FA3EC0" w:rsidRPr="00FA3EC0" w:rsidRDefault="00FA3EC0" w:rsidP="004C76CD">
            <w:pPr>
              <w:pStyle w:val="TableParagraph"/>
              <w:spacing w:before="0" w:line="220" w:lineRule="exact"/>
              <w:ind w:left="3" w:right="24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ND</w:t>
            </w:r>
          </w:p>
        </w:tc>
        <w:tc>
          <w:tcPr>
            <w:tcW w:w="1169" w:type="dxa"/>
          </w:tcPr>
          <w:p w:rsidR="00FA3EC0" w:rsidRPr="00FA3EC0" w:rsidRDefault="00FA3EC0" w:rsidP="004C76CD">
            <w:pPr>
              <w:pStyle w:val="TableParagraph"/>
              <w:spacing w:before="0" w:line="220" w:lineRule="exact"/>
              <w:ind w:left="0" w:right="33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ND</w:t>
            </w:r>
          </w:p>
        </w:tc>
        <w:tc>
          <w:tcPr>
            <w:tcW w:w="1107" w:type="dxa"/>
          </w:tcPr>
          <w:p w:rsidR="00FA3EC0" w:rsidRPr="00FA3EC0" w:rsidRDefault="00FA3EC0" w:rsidP="004C76CD">
            <w:pPr>
              <w:pStyle w:val="TableParagraph"/>
              <w:spacing w:before="0" w:line="220" w:lineRule="exact"/>
              <w:ind w:left="24" w:right="4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ND</w:t>
            </w:r>
          </w:p>
        </w:tc>
        <w:tc>
          <w:tcPr>
            <w:tcW w:w="1172" w:type="dxa"/>
          </w:tcPr>
          <w:p w:rsidR="00FA3EC0" w:rsidRPr="00FA3EC0" w:rsidRDefault="00FA3EC0" w:rsidP="004C76CD">
            <w:pPr>
              <w:pStyle w:val="TableParagraph"/>
              <w:spacing w:before="0" w:line="220" w:lineRule="exact"/>
              <w:ind w:left="73" w:right="3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ND</w:t>
            </w:r>
          </w:p>
        </w:tc>
        <w:tc>
          <w:tcPr>
            <w:tcW w:w="1373" w:type="dxa"/>
          </w:tcPr>
          <w:p w:rsidR="00FA3EC0" w:rsidRPr="00FA3EC0" w:rsidRDefault="00FA3EC0" w:rsidP="004C76CD">
            <w:pPr>
              <w:pStyle w:val="TableParagraph"/>
              <w:spacing w:before="0" w:line="220" w:lineRule="exact"/>
              <w:ind w:left="0" w:right="9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ND</w:t>
            </w:r>
          </w:p>
        </w:tc>
        <w:tc>
          <w:tcPr>
            <w:tcW w:w="923" w:type="dxa"/>
          </w:tcPr>
          <w:p w:rsidR="00FA3EC0" w:rsidRPr="00FA3EC0" w:rsidRDefault="00FA3EC0" w:rsidP="004C76CD">
            <w:pPr>
              <w:pStyle w:val="TableParagraph"/>
              <w:spacing w:before="0" w:line="220" w:lineRule="exact"/>
              <w:ind w:left="0" w:right="43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ND</w:t>
            </w:r>
          </w:p>
        </w:tc>
      </w:tr>
      <w:tr w:rsidR="00FA3EC0" w:rsidRPr="00FA3EC0" w:rsidTr="004C76CD">
        <w:trPr>
          <w:trHeight w:val="475"/>
        </w:trPr>
        <w:tc>
          <w:tcPr>
            <w:tcW w:w="1621" w:type="dxa"/>
            <w:tcBorders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0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The</w:t>
            </w:r>
            <w:r w:rsidRPr="00FA3EC0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2"/>
                <w:sz w:val="20"/>
              </w:rPr>
              <w:t>detection</w:t>
            </w:r>
          </w:p>
          <w:p w:rsidR="00FA3EC0" w:rsidRPr="00FA3EC0" w:rsidRDefault="00FA3EC0" w:rsidP="004C76CD">
            <w:pPr>
              <w:pStyle w:val="TableParagraph"/>
              <w:spacing w:before="11" w:line="214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limit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2"/>
                <w:sz w:val="20"/>
              </w:rPr>
              <w:t>(mg/kg)</w:t>
            </w:r>
          </w:p>
        </w:tc>
        <w:tc>
          <w:tcPr>
            <w:tcW w:w="1317" w:type="dxa"/>
            <w:tcBorders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0"/>
              <w:ind w:left="4" w:right="24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119.8</w:t>
            </w:r>
          </w:p>
        </w:tc>
        <w:tc>
          <w:tcPr>
            <w:tcW w:w="1169" w:type="dxa"/>
            <w:tcBorders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0"/>
              <w:ind w:left="0" w:right="33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121.4</w:t>
            </w:r>
          </w:p>
        </w:tc>
        <w:tc>
          <w:tcPr>
            <w:tcW w:w="1107" w:type="dxa"/>
            <w:tcBorders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0"/>
              <w:ind w:left="24" w:right="3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12.9</w:t>
            </w:r>
          </w:p>
        </w:tc>
        <w:tc>
          <w:tcPr>
            <w:tcW w:w="1172" w:type="dxa"/>
            <w:tcBorders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0"/>
              <w:ind w:left="73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11.7</w:t>
            </w:r>
          </w:p>
        </w:tc>
        <w:tc>
          <w:tcPr>
            <w:tcW w:w="1373" w:type="dxa"/>
            <w:tcBorders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0"/>
              <w:ind w:left="0" w:right="9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12.5</w:t>
            </w:r>
          </w:p>
        </w:tc>
        <w:tc>
          <w:tcPr>
            <w:tcW w:w="923" w:type="dxa"/>
            <w:tcBorders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0"/>
              <w:ind w:left="0" w:right="43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12.0</w:t>
            </w:r>
          </w:p>
        </w:tc>
      </w:tr>
      <w:tr w:rsidR="00FA3EC0" w:rsidRPr="00FA3EC0" w:rsidTr="004C76CD">
        <w:trPr>
          <w:trHeight w:val="479"/>
        </w:trPr>
        <w:tc>
          <w:tcPr>
            <w:tcW w:w="1621" w:type="dxa"/>
            <w:tcBorders>
              <w:top w:val="single" w:sz="8" w:space="0" w:color="000000"/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1317" w:type="dxa"/>
            <w:tcBorders>
              <w:top w:val="single" w:sz="8" w:space="0" w:color="000000"/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5"/>
              <w:ind w:left="0" w:right="24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Nicotine</w:t>
            </w:r>
          </w:p>
        </w:tc>
        <w:tc>
          <w:tcPr>
            <w:tcW w:w="1169" w:type="dxa"/>
            <w:tcBorders>
              <w:top w:val="single" w:sz="8" w:space="0" w:color="000000"/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5"/>
              <w:ind w:left="216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Glycerol</w:t>
            </w:r>
          </w:p>
          <w:p w:rsidR="00FA3EC0" w:rsidRPr="00FA3EC0" w:rsidRDefault="00FA3EC0" w:rsidP="004C76CD">
            <w:pPr>
              <w:pStyle w:val="TableParagraph"/>
              <w:spacing w:before="10" w:line="214" w:lineRule="exact"/>
              <w:ind w:left="2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triacetate</w:t>
            </w:r>
          </w:p>
        </w:tc>
        <w:tc>
          <w:tcPr>
            <w:tcW w:w="1107" w:type="dxa"/>
            <w:tcBorders>
              <w:top w:val="single" w:sz="8" w:space="0" w:color="000000"/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5"/>
              <w:ind w:left="24" w:right="4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WS-</w:t>
            </w:r>
            <w:r w:rsidRPr="00FA3EC0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1172" w:type="dxa"/>
            <w:tcBorders>
              <w:top w:val="single" w:sz="8" w:space="0" w:color="000000"/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5"/>
              <w:ind w:left="73" w:right="4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WS-</w:t>
            </w:r>
            <w:r w:rsidRPr="00FA3EC0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sz="8" w:space="0" w:color="000000"/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5"/>
              <w:ind w:left="3" w:right="9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Ethyl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2"/>
                <w:sz w:val="20"/>
              </w:rPr>
              <w:t>alcohol</w:t>
            </w:r>
          </w:p>
        </w:tc>
        <w:tc>
          <w:tcPr>
            <w:tcW w:w="923" w:type="dxa"/>
            <w:tcBorders>
              <w:top w:val="single" w:sz="8" w:space="0" w:color="000000"/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</w:tr>
      <w:tr w:rsidR="00FA3EC0" w:rsidRPr="00FA3EC0" w:rsidTr="004C76CD">
        <w:trPr>
          <w:trHeight w:val="246"/>
        </w:trPr>
        <w:tc>
          <w:tcPr>
            <w:tcW w:w="1621" w:type="dxa"/>
            <w:tcBorders>
              <w:top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" w:line="220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E-cig</w:t>
            </w:r>
            <w:r w:rsidRPr="00FA3EC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2"/>
                <w:sz w:val="20"/>
              </w:rPr>
              <w:t>(mg/kg)</w:t>
            </w:r>
          </w:p>
        </w:tc>
        <w:tc>
          <w:tcPr>
            <w:tcW w:w="1317" w:type="dxa"/>
            <w:tcBorders>
              <w:top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" w:line="220" w:lineRule="exact"/>
              <w:ind w:left="1" w:right="24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1304.9</w:t>
            </w:r>
          </w:p>
        </w:tc>
        <w:tc>
          <w:tcPr>
            <w:tcW w:w="1169" w:type="dxa"/>
            <w:tcBorders>
              <w:top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" w:line="220" w:lineRule="exact"/>
              <w:ind w:left="0" w:right="33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ND</w:t>
            </w:r>
          </w:p>
        </w:tc>
        <w:tc>
          <w:tcPr>
            <w:tcW w:w="1107" w:type="dxa"/>
            <w:tcBorders>
              <w:top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" w:line="220" w:lineRule="exact"/>
              <w:ind w:left="24" w:right="4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ND</w:t>
            </w:r>
          </w:p>
        </w:tc>
        <w:tc>
          <w:tcPr>
            <w:tcW w:w="1172" w:type="dxa"/>
            <w:tcBorders>
              <w:top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" w:line="220" w:lineRule="exact"/>
              <w:ind w:left="73" w:right="3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ND</w:t>
            </w:r>
          </w:p>
        </w:tc>
        <w:tc>
          <w:tcPr>
            <w:tcW w:w="1373" w:type="dxa"/>
            <w:tcBorders>
              <w:top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" w:line="220" w:lineRule="exact"/>
              <w:ind w:left="0" w:right="9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865.9</w:t>
            </w:r>
          </w:p>
        </w:tc>
        <w:tc>
          <w:tcPr>
            <w:tcW w:w="923" w:type="dxa"/>
            <w:tcBorders>
              <w:top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0"/>
              <w:ind w:left="0"/>
              <w:rPr>
                <w:color w:val="000000" w:themeColor="text1"/>
                <w:sz w:val="16"/>
              </w:rPr>
            </w:pPr>
          </w:p>
        </w:tc>
      </w:tr>
      <w:tr w:rsidR="00FA3EC0" w:rsidRPr="00FA3EC0" w:rsidTr="004C76CD">
        <w:trPr>
          <w:trHeight w:val="240"/>
        </w:trPr>
        <w:tc>
          <w:tcPr>
            <w:tcW w:w="1621" w:type="dxa"/>
          </w:tcPr>
          <w:p w:rsidR="00FA3EC0" w:rsidRPr="00FA3EC0" w:rsidRDefault="00FA3EC0" w:rsidP="004C76CD">
            <w:pPr>
              <w:pStyle w:val="TableParagraph"/>
              <w:spacing w:before="0" w:line="220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T-cig</w:t>
            </w:r>
            <w:r w:rsidRPr="00FA3EC0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4"/>
                <w:sz w:val="20"/>
              </w:rPr>
              <w:t>(mg/kg)</w:t>
            </w:r>
          </w:p>
        </w:tc>
        <w:tc>
          <w:tcPr>
            <w:tcW w:w="1317" w:type="dxa"/>
          </w:tcPr>
          <w:p w:rsidR="00FA3EC0" w:rsidRPr="00FA3EC0" w:rsidRDefault="00FA3EC0" w:rsidP="004C76CD">
            <w:pPr>
              <w:pStyle w:val="TableParagraph"/>
              <w:spacing w:before="0" w:line="220" w:lineRule="exact"/>
              <w:ind w:left="1" w:right="24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1022.7</w:t>
            </w:r>
          </w:p>
        </w:tc>
        <w:tc>
          <w:tcPr>
            <w:tcW w:w="1169" w:type="dxa"/>
          </w:tcPr>
          <w:p w:rsidR="00FA3EC0" w:rsidRPr="00FA3EC0" w:rsidRDefault="00FA3EC0" w:rsidP="004C76CD">
            <w:pPr>
              <w:pStyle w:val="TableParagraph"/>
              <w:spacing w:before="0" w:line="220" w:lineRule="exact"/>
              <w:ind w:left="0" w:right="33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294.3</w:t>
            </w:r>
          </w:p>
        </w:tc>
        <w:tc>
          <w:tcPr>
            <w:tcW w:w="1107" w:type="dxa"/>
          </w:tcPr>
          <w:p w:rsidR="00FA3EC0" w:rsidRPr="00FA3EC0" w:rsidRDefault="00FA3EC0" w:rsidP="004C76CD">
            <w:pPr>
              <w:pStyle w:val="TableParagraph"/>
              <w:spacing w:before="0" w:line="220" w:lineRule="exact"/>
              <w:ind w:left="24" w:right="4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ND</w:t>
            </w:r>
          </w:p>
        </w:tc>
        <w:tc>
          <w:tcPr>
            <w:tcW w:w="1172" w:type="dxa"/>
          </w:tcPr>
          <w:p w:rsidR="00FA3EC0" w:rsidRPr="00FA3EC0" w:rsidRDefault="00FA3EC0" w:rsidP="004C76CD">
            <w:pPr>
              <w:pStyle w:val="TableParagraph"/>
              <w:spacing w:before="0" w:line="220" w:lineRule="exact"/>
              <w:ind w:left="73" w:right="3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ND</w:t>
            </w:r>
          </w:p>
        </w:tc>
        <w:tc>
          <w:tcPr>
            <w:tcW w:w="1373" w:type="dxa"/>
          </w:tcPr>
          <w:p w:rsidR="00FA3EC0" w:rsidRPr="00FA3EC0" w:rsidRDefault="00FA3EC0" w:rsidP="004C76CD">
            <w:pPr>
              <w:pStyle w:val="TableParagraph"/>
              <w:spacing w:before="0" w:line="220" w:lineRule="exact"/>
              <w:ind w:left="0" w:right="9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ND</w:t>
            </w:r>
          </w:p>
        </w:tc>
        <w:tc>
          <w:tcPr>
            <w:tcW w:w="923" w:type="dxa"/>
          </w:tcPr>
          <w:p w:rsidR="00FA3EC0" w:rsidRPr="00FA3EC0" w:rsidRDefault="00FA3EC0" w:rsidP="004C76CD">
            <w:pPr>
              <w:pStyle w:val="TableParagraph"/>
              <w:spacing w:before="0"/>
              <w:ind w:left="0"/>
              <w:rPr>
                <w:color w:val="000000" w:themeColor="text1"/>
                <w:sz w:val="16"/>
              </w:rPr>
            </w:pPr>
          </w:p>
        </w:tc>
      </w:tr>
      <w:tr w:rsidR="00FA3EC0" w:rsidRPr="00FA3EC0" w:rsidTr="004C76CD">
        <w:trPr>
          <w:trHeight w:val="474"/>
        </w:trPr>
        <w:tc>
          <w:tcPr>
            <w:tcW w:w="1621" w:type="dxa"/>
            <w:tcBorders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0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The</w:t>
            </w:r>
            <w:r w:rsidRPr="00FA3EC0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2"/>
                <w:sz w:val="20"/>
              </w:rPr>
              <w:t>detection</w:t>
            </w:r>
          </w:p>
          <w:p w:rsidR="00FA3EC0" w:rsidRPr="00FA3EC0" w:rsidRDefault="00FA3EC0" w:rsidP="004C76CD">
            <w:pPr>
              <w:pStyle w:val="TableParagraph"/>
              <w:spacing w:before="10" w:line="214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limit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2"/>
                <w:sz w:val="20"/>
              </w:rPr>
              <w:t>(mg/kg)</w:t>
            </w:r>
          </w:p>
        </w:tc>
        <w:tc>
          <w:tcPr>
            <w:tcW w:w="1317" w:type="dxa"/>
            <w:tcBorders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0"/>
              <w:ind w:left="4" w:right="24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36.5</w:t>
            </w:r>
          </w:p>
        </w:tc>
        <w:tc>
          <w:tcPr>
            <w:tcW w:w="1169" w:type="dxa"/>
            <w:tcBorders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0"/>
              <w:ind w:left="3" w:right="33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11.9</w:t>
            </w:r>
          </w:p>
        </w:tc>
        <w:tc>
          <w:tcPr>
            <w:tcW w:w="1107" w:type="dxa"/>
            <w:tcBorders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0"/>
              <w:ind w:left="24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11.8</w:t>
            </w:r>
          </w:p>
        </w:tc>
        <w:tc>
          <w:tcPr>
            <w:tcW w:w="1172" w:type="dxa"/>
            <w:tcBorders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0"/>
              <w:ind w:left="73" w:right="2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16.6</w:t>
            </w:r>
          </w:p>
        </w:tc>
        <w:tc>
          <w:tcPr>
            <w:tcW w:w="1373" w:type="dxa"/>
            <w:tcBorders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120"/>
              <w:ind w:left="0" w:right="9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50.0</w:t>
            </w:r>
          </w:p>
        </w:tc>
        <w:tc>
          <w:tcPr>
            <w:tcW w:w="923" w:type="dxa"/>
            <w:tcBorders>
              <w:bottom w:val="single" w:sz="8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</w:tr>
    </w:tbl>
    <w:p w:rsidR="00FA3EC0" w:rsidRPr="00FA3EC0" w:rsidRDefault="00FA3EC0" w:rsidP="00FA3EC0">
      <w:pPr>
        <w:pStyle w:val="BodyText"/>
        <w:spacing w:before="72"/>
        <w:ind w:left="0"/>
        <w:rPr>
          <w:b/>
          <w:color w:val="000000" w:themeColor="text1"/>
        </w:rPr>
      </w:pPr>
    </w:p>
    <w:p w:rsidR="00FA3EC0" w:rsidRPr="00FA3EC0" w:rsidRDefault="00FA3EC0" w:rsidP="00FA3EC0">
      <w:pPr>
        <w:spacing w:line="360" w:lineRule="auto"/>
        <w:ind w:left="380" w:right="1273"/>
        <w:rPr>
          <w:color w:val="000000" w:themeColor="text1"/>
          <w:sz w:val="20"/>
        </w:rPr>
      </w:pPr>
      <w:r w:rsidRPr="00FA3EC0">
        <w:rPr>
          <w:color w:val="000000" w:themeColor="text1"/>
          <w:sz w:val="20"/>
        </w:rPr>
        <w:t>ND means the content was less than the detection limit.WS-23, N,2,3-trimethyl-2isopropl butanamide.WS-3,</w:t>
      </w:r>
      <w:r w:rsidRPr="00FA3EC0">
        <w:rPr>
          <w:color w:val="000000" w:themeColor="text1"/>
          <w:spacing w:val="-13"/>
          <w:sz w:val="20"/>
        </w:rPr>
        <w:t xml:space="preserve"> </w:t>
      </w:r>
      <w:r w:rsidRPr="00FA3EC0">
        <w:rPr>
          <w:color w:val="000000" w:themeColor="text1"/>
          <w:sz w:val="20"/>
        </w:rPr>
        <w:t>N-Ethyl-5-methyl-2-(1-methylethyl)cyclohexanecarboxamide.WS-5,</w:t>
      </w:r>
      <w:r w:rsidRPr="00FA3EC0">
        <w:rPr>
          <w:color w:val="000000" w:themeColor="text1"/>
          <w:spacing w:val="-12"/>
          <w:sz w:val="20"/>
        </w:rPr>
        <w:t xml:space="preserve"> </w:t>
      </w:r>
      <w:r w:rsidRPr="00FA3EC0">
        <w:rPr>
          <w:color w:val="000000" w:themeColor="text1"/>
          <w:sz w:val="20"/>
        </w:rPr>
        <w:t xml:space="preserve">N- </w:t>
      </w:r>
      <w:r w:rsidRPr="00FA3EC0">
        <w:rPr>
          <w:color w:val="000000" w:themeColor="text1"/>
          <w:spacing w:val="-2"/>
          <w:sz w:val="20"/>
        </w:rPr>
        <w:t>[(ethoxycarbonyl)methyl)-p-menthane-3-carboxamide.</w:t>
      </w:r>
    </w:p>
    <w:p w:rsidR="00FA3EC0" w:rsidRPr="00FA3EC0" w:rsidRDefault="00FA3EC0" w:rsidP="00FA3EC0">
      <w:pPr>
        <w:spacing w:line="360" w:lineRule="auto"/>
        <w:rPr>
          <w:color w:val="000000" w:themeColor="text1"/>
          <w:sz w:val="20"/>
        </w:rPr>
        <w:sectPr w:rsidR="00FA3EC0" w:rsidRPr="00FA3EC0" w:rsidSect="00FA3EC0">
          <w:type w:val="continuous"/>
          <w:pgSz w:w="11910" w:h="16840"/>
          <w:pgMar w:top="1360" w:right="1500" w:bottom="280" w:left="1420" w:header="720" w:footer="720" w:gutter="0"/>
          <w:cols w:space="720"/>
        </w:sectPr>
      </w:pPr>
    </w:p>
    <w:p w:rsidR="00FA3EC0" w:rsidRPr="00FA3EC0" w:rsidRDefault="00FA3EC0" w:rsidP="00FA3EC0">
      <w:pPr>
        <w:spacing w:before="61" w:line="276" w:lineRule="auto"/>
        <w:ind w:left="380" w:right="352"/>
        <w:rPr>
          <w:b/>
          <w:color w:val="000000" w:themeColor="text1"/>
          <w:sz w:val="24"/>
        </w:rPr>
      </w:pPr>
      <w:r w:rsidRPr="00FA3EC0">
        <w:rPr>
          <w:b/>
          <w:color w:val="000000" w:themeColor="text1"/>
          <w:sz w:val="24"/>
        </w:rPr>
        <w:lastRenderedPageBreak/>
        <w:t>Table</w:t>
      </w:r>
      <w:r w:rsidRPr="00FA3EC0">
        <w:rPr>
          <w:b/>
          <w:color w:val="000000" w:themeColor="text1"/>
          <w:spacing w:val="-4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S3</w:t>
      </w:r>
      <w:r w:rsidRPr="00FA3EC0">
        <w:rPr>
          <w:rFonts w:eastAsiaTheme="minorEastAsia" w:hint="eastAsia"/>
          <w:b/>
          <w:color w:val="000000" w:themeColor="text1"/>
          <w:sz w:val="24"/>
          <w:lang w:eastAsia="zh-CN"/>
        </w:rPr>
        <w:t>:</w:t>
      </w:r>
      <w:r w:rsidRPr="00FA3EC0">
        <w:rPr>
          <w:rFonts w:eastAsiaTheme="minorEastAsia" w:hint="eastAsia"/>
          <w:b/>
          <w:color w:val="000000" w:themeColor="text1"/>
          <w:spacing w:val="-4"/>
          <w:sz w:val="24"/>
          <w:lang w:eastAsia="zh-CN"/>
        </w:rPr>
        <w:t xml:space="preserve"> </w:t>
      </w:r>
      <w:r w:rsidRPr="00FA3EC0">
        <w:rPr>
          <w:b/>
          <w:color w:val="000000" w:themeColor="text1"/>
          <w:sz w:val="24"/>
        </w:rPr>
        <w:t>Healthy</w:t>
      </w:r>
      <w:r w:rsidRPr="00FA3EC0">
        <w:rPr>
          <w:b/>
          <w:color w:val="000000" w:themeColor="text1"/>
          <w:spacing w:val="-4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nonsmoker,</w:t>
      </w:r>
      <w:r w:rsidRPr="00FA3EC0">
        <w:rPr>
          <w:b/>
          <w:color w:val="000000" w:themeColor="text1"/>
          <w:spacing w:val="-4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E-cigarette</w:t>
      </w:r>
      <w:r w:rsidRPr="00FA3EC0">
        <w:rPr>
          <w:b/>
          <w:color w:val="000000" w:themeColor="text1"/>
          <w:spacing w:val="-5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user,</w:t>
      </w:r>
      <w:r w:rsidRPr="00FA3EC0">
        <w:rPr>
          <w:b/>
          <w:color w:val="000000" w:themeColor="text1"/>
          <w:spacing w:val="-4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cigarette</w:t>
      </w:r>
      <w:r w:rsidRPr="00FA3EC0">
        <w:rPr>
          <w:b/>
          <w:color w:val="000000" w:themeColor="text1"/>
          <w:spacing w:val="-6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smoker</w:t>
      </w:r>
      <w:r w:rsidRPr="00FA3EC0">
        <w:rPr>
          <w:b/>
          <w:color w:val="000000" w:themeColor="text1"/>
          <w:spacing w:val="-5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and</w:t>
      </w:r>
      <w:r w:rsidRPr="00FA3EC0">
        <w:rPr>
          <w:b/>
          <w:color w:val="000000" w:themeColor="text1"/>
          <w:spacing w:val="-3"/>
          <w:sz w:val="24"/>
        </w:rPr>
        <w:t xml:space="preserve"> </w:t>
      </w:r>
      <w:r w:rsidRPr="00FA3EC0">
        <w:rPr>
          <w:b/>
          <w:color w:val="000000" w:themeColor="text1"/>
          <w:sz w:val="24"/>
        </w:rPr>
        <w:t>COPD patient information for Figure 8</w:t>
      </w:r>
    </w:p>
    <w:p w:rsidR="00FA3EC0" w:rsidRPr="00FA3EC0" w:rsidRDefault="00FA3EC0" w:rsidP="00FA3EC0">
      <w:pPr>
        <w:pStyle w:val="BodyText"/>
        <w:ind w:left="0"/>
        <w:rPr>
          <w:b/>
          <w:color w:val="000000" w:themeColor="text1"/>
          <w:sz w:val="20"/>
        </w:rPr>
      </w:pPr>
    </w:p>
    <w:p w:rsidR="00FA3EC0" w:rsidRPr="00FA3EC0" w:rsidRDefault="00FA3EC0" w:rsidP="00FA3EC0">
      <w:pPr>
        <w:pStyle w:val="BodyText"/>
        <w:spacing w:before="166"/>
        <w:ind w:left="0"/>
        <w:rPr>
          <w:b/>
          <w:color w:val="000000" w:themeColor="text1"/>
          <w:sz w:val="20"/>
        </w:rPr>
      </w:pPr>
    </w:p>
    <w:tbl>
      <w:tblPr>
        <w:tblStyle w:val="TableNormal1"/>
        <w:tblW w:w="0" w:type="auto"/>
        <w:tblInd w:w="265" w:type="dxa"/>
        <w:tblLayout w:type="fixed"/>
        <w:tblLook w:val="01E0" w:firstRow="1" w:lastRow="1" w:firstColumn="1" w:lastColumn="1" w:noHBand="0" w:noVBand="0"/>
      </w:tblPr>
      <w:tblGrid>
        <w:gridCol w:w="2154"/>
        <w:gridCol w:w="999"/>
        <w:gridCol w:w="1274"/>
        <w:gridCol w:w="1106"/>
        <w:gridCol w:w="1577"/>
      </w:tblGrid>
      <w:tr w:rsidR="00FA3EC0" w:rsidRPr="00FA3EC0" w:rsidTr="004C76CD">
        <w:trPr>
          <w:trHeight w:val="299"/>
        </w:trPr>
        <w:tc>
          <w:tcPr>
            <w:tcW w:w="2154" w:type="dxa"/>
            <w:tcBorders>
              <w:top w:val="single" w:sz="4" w:space="0" w:color="000000"/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0"/>
              <w:ind w:left="0"/>
              <w:rPr>
                <w:color w:val="000000" w:themeColor="text1"/>
                <w:sz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 w:line="210" w:lineRule="exact"/>
              <w:ind w:left="6" w:right="86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Sex</w:t>
            </w:r>
          </w:p>
        </w:tc>
        <w:tc>
          <w:tcPr>
            <w:tcW w:w="1274" w:type="dxa"/>
            <w:tcBorders>
              <w:top w:val="single" w:sz="4" w:space="0" w:color="000000"/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 w:line="210" w:lineRule="exact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Age</w:t>
            </w:r>
            <w:r w:rsidRPr="00FA3EC0">
              <w:rPr>
                <w:color w:val="000000" w:themeColor="text1"/>
                <w:spacing w:val="-3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4"/>
                <w:sz w:val="20"/>
              </w:rPr>
              <w:t>(yr)</w:t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 w:line="210" w:lineRule="exact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2"/>
                <w:sz w:val="20"/>
              </w:rPr>
              <w:t>Smoke</w:t>
            </w:r>
          </w:p>
        </w:tc>
        <w:tc>
          <w:tcPr>
            <w:tcW w:w="1577" w:type="dxa"/>
            <w:tcBorders>
              <w:top w:val="single" w:sz="4" w:space="0" w:color="000000"/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 w:line="210" w:lineRule="exact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COPD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2"/>
                <w:sz w:val="20"/>
              </w:rPr>
              <w:t>stage</w:t>
            </w:r>
          </w:p>
        </w:tc>
      </w:tr>
      <w:tr w:rsidR="00FA3EC0" w:rsidRPr="00FA3EC0" w:rsidTr="004C76CD">
        <w:trPr>
          <w:trHeight w:val="304"/>
        </w:trPr>
        <w:tc>
          <w:tcPr>
            <w:tcW w:w="2154" w:type="dxa"/>
            <w:tcBorders>
              <w:top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 w:line="215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Healthy</w:t>
            </w:r>
            <w:r w:rsidRPr="00FA3EC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nonsmoker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 w:line="215" w:lineRule="exact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  <w:tcBorders>
              <w:top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36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40</w:t>
            </w:r>
          </w:p>
        </w:tc>
        <w:tc>
          <w:tcPr>
            <w:tcW w:w="1106" w:type="dxa"/>
            <w:tcBorders>
              <w:top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 w:line="215" w:lineRule="exact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No</w:t>
            </w:r>
          </w:p>
        </w:tc>
        <w:tc>
          <w:tcPr>
            <w:tcW w:w="1577" w:type="dxa"/>
            <w:tcBorders>
              <w:top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before="70" w:line="215" w:lineRule="exact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Healthy</w:t>
            </w:r>
            <w:r w:rsidRPr="00FA3EC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nonsmoker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spacing w:before="0" w:line="226" w:lineRule="exact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spacing w:before="31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40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No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Healthy</w:t>
            </w:r>
            <w:r w:rsidRPr="00FA3EC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nonsmoker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spacing w:before="0" w:line="226" w:lineRule="exact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41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No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Healthy</w:t>
            </w:r>
            <w:r w:rsidRPr="00FA3EC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nonsmoker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spacing w:before="0" w:line="226" w:lineRule="exact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41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No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Healthy</w:t>
            </w:r>
            <w:r w:rsidRPr="00FA3EC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nonsmoker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spacing w:before="0" w:line="226" w:lineRule="exact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46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No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Healthy</w:t>
            </w:r>
            <w:r w:rsidRPr="00FA3EC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nonsmoker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6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spacing w:before="0" w:line="226" w:lineRule="exact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31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No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Healthy</w:t>
            </w:r>
            <w:r w:rsidRPr="00FA3EC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nonsmoker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7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spacing w:before="0" w:line="226" w:lineRule="exact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47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No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E-cigarette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user</w:t>
            </w:r>
            <w:r w:rsidRPr="00FA3EC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spacing w:before="0" w:line="226" w:lineRule="exact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35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spacing w:before="0" w:line="226" w:lineRule="exact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E-cigarette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user</w:t>
            </w:r>
            <w:r w:rsidRPr="00FA3EC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spacing w:before="0" w:line="226" w:lineRule="exact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34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spacing w:before="0" w:line="226" w:lineRule="exact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E-cigarette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user</w:t>
            </w:r>
            <w:r w:rsidRPr="00FA3EC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38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spacing w:before="65" w:line="215" w:lineRule="exact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spacing w:before="0" w:line="226" w:lineRule="exact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34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spacing w:before="65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E-cigarette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user</w:t>
            </w:r>
            <w:r w:rsidRPr="00FA3EC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spacing w:before="65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spacing w:before="65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25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spacing w:before="65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spacing w:before="0" w:line="226" w:lineRule="exact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E-cigarette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user</w:t>
            </w:r>
            <w:r w:rsidRPr="00FA3EC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42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E-cigarette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user</w:t>
            </w:r>
            <w:r w:rsidRPr="00FA3EC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6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46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E-cigarette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user</w:t>
            </w:r>
            <w:r w:rsidRPr="00FA3EC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7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41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Cigarette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smoker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31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Cigarette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smoker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41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Cigarette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smoker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45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Cigarette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smoke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4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41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Cigarette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smoker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39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Cigarette</w:t>
            </w:r>
            <w:r w:rsidRPr="00FA3EC0">
              <w:rPr>
                <w:color w:val="000000" w:themeColor="text1"/>
                <w:spacing w:val="-7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2"/>
                <w:sz w:val="20"/>
              </w:rPr>
              <w:t>smoker6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47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Cigarette</w:t>
            </w:r>
            <w:r w:rsidRPr="00FA3EC0">
              <w:rPr>
                <w:color w:val="000000" w:themeColor="text1"/>
                <w:spacing w:val="-6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smoker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7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46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10"/>
                <w:sz w:val="20"/>
              </w:rPr>
              <w:t>-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COPD</w:t>
            </w:r>
            <w:r w:rsidRPr="00FA3EC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smoker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1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43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II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COPD</w:t>
            </w:r>
            <w:r w:rsidRPr="00FA3EC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smoker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2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48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II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COPD</w:t>
            </w:r>
            <w:r w:rsidRPr="00FA3EC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smoker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3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51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II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COPD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2"/>
                <w:sz w:val="20"/>
              </w:rPr>
              <w:t>smoker4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52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II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COPD</w:t>
            </w:r>
            <w:r w:rsidRPr="00FA3EC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smoker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5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53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II</w:t>
            </w:r>
          </w:p>
        </w:tc>
      </w:tr>
      <w:tr w:rsidR="00FA3EC0" w:rsidRPr="00FA3EC0" w:rsidTr="004C76CD">
        <w:trPr>
          <w:trHeight w:val="300"/>
        </w:trPr>
        <w:tc>
          <w:tcPr>
            <w:tcW w:w="2154" w:type="dxa"/>
          </w:tcPr>
          <w:p w:rsidR="00FA3EC0" w:rsidRPr="00FA3EC0" w:rsidRDefault="00FA3EC0" w:rsidP="004C76CD">
            <w:pPr>
              <w:pStyle w:val="TableParagraph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COPD</w:t>
            </w:r>
            <w:r w:rsidRPr="00FA3EC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smoker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6</w:t>
            </w:r>
          </w:p>
        </w:tc>
        <w:tc>
          <w:tcPr>
            <w:tcW w:w="999" w:type="dxa"/>
          </w:tcPr>
          <w:p w:rsidR="00FA3EC0" w:rsidRPr="00FA3EC0" w:rsidRDefault="00FA3EC0" w:rsidP="004C76CD">
            <w:pPr>
              <w:pStyle w:val="TableParagraph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</w:tcPr>
          <w:p w:rsidR="00FA3EC0" w:rsidRPr="00FA3EC0" w:rsidRDefault="00FA3EC0" w:rsidP="004C76CD">
            <w:pPr>
              <w:pStyle w:val="TableParagraph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53</w:t>
            </w:r>
          </w:p>
        </w:tc>
        <w:tc>
          <w:tcPr>
            <w:tcW w:w="1106" w:type="dxa"/>
          </w:tcPr>
          <w:p w:rsidR="00FA3EC0" w:rsidRPr="00FA3EC0" w:rsidRDefault="00FA3EC0" w:rsidP="004C76CD">
            <w:pPr>
              <w:pStyle w:val="TableParagraph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</w:tcPr>
          <w:p w:rsidR="00FA3EC0" w:rsidRPr="00FA3EC0" w:rsidRDefault="00FA3EC0" w:rsidP="004C76CD">
            <w:pPr>
              <w:pStyle w:val="TableParagraph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II</w:t>
            </w:r>
          </w:p>
        </w:tc>
      </w:tr>
      <w:tr w:rsidR="00FA3EC0" w:rsidRPr="00FA3EC0" w:rsidTr="004C76CD">
        <w:trPr>
          <w:trHeight w:val="260"/>
        </w:trPr>
        <w:tc>
          <w:tcPr>
            <w:tcW w:w="2154" w:type="dxa"/>
            <w:tcBorders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line="210" w:lineRule="exact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z w:val="20"/>
              </w:rPr>
              <w:t>COPD</w:t>
            </w:r>
            <w:r w:rsidRPr="00FA3EC0">
              <w:rPr>
                <w:color w:val="000000" w:themeColor="text1"/>
                <w:spacing w:val="-4"/>
                <w:sz w:val="20"/>
              </w:rPr>
              <w:t xml:space="preserve"> </w:t>
            </w:r>
            <w:r w:rsidRPr="00FA3EC0">
              <w:rPr>
                <w:color w:val="000000" w:themeColor="text1"/>
                <w:sz w:val="20"/>
              </w:rPr>
              <w:t>smoker</w:t>
            </w:r>
            <w:r w:rsidRPr="00FA3EC0">
              <w:rPr>
                <w:color w:val="000000" w:themeColor="text1"/>
                <w:spacing w:val="-5"/>
                <w:sz w:val="20"/>
              </w:rPr>
              <w:t xml:space="preserve"> </w:t>
            </w:r>
            <w:r w:rsidRPr="00FA3EC0">
              <w:rPr>
                <w:color w:val="000000" w:themeColor="text1"/>
                <w:spacing w:val="-10"/>
                <w:sz w:val="20"/>
              </w:rPr>
              <w:t>7</w:t>
            </w:r>
          </w:p>
        </w:tc>
        <w:tc>
          <w:tcPr>
            <w:tcW w:w="999" w:type="dxa"/>
            <w:tcBorders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line="210" w:lineRule="exact"/>
              <w:ind w:left="86" w:right="80"/>
              <w:jc w:val="center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4"/>
                <w:sz w:val="20"/>
              </w:rPr>
              <w:t>male</w:t>
            </w:r>
          </w:p>
        </w:tc>
        <w:tc>
          <w:tcPr>
            <w:tcW w:w="1274" w:type="dxa"/>
            <w:tcBorders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line="210" w:lineRule="exact"/>
              <w:ind w:left="30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54</w:t>
            </w:r>
          </w:p>
        </w:tc>
        <w:tc>
          <w:tcPr>
            <w:tcW w:w="1106" w:type="dxa"/>
            <w:tcBorders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line="210" w:lineRule="exact"/>
              <w:ind w:left="287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Yes</w:t>
            </w:r>
          </w:p>
        </w:tc>
        <w:tc>
          <w:tcPr>
            <w:tcW w:w="1577" w:type="dxa"/>
            <w:tcBorders>
              <w:bottom w:val="single" w:sz="4" w:space="0" w:color="000000"/>
            </w:tcBorders>
          </w:tcPr>
          <w:p w:rsidR="00FA3EC0" w:rsidRPr="00FA3EC0" w:rsidRDefault="00FA3EC0" w:rsidP="004C76CD">
            <w:pPr>
              <w:pStyle w:val="TableParagraph"/>
              <w:spacing w:line="210" w:lineRule="exact"/>
              <w:ind w:left="261"/>
              <w:rPr>
                <w:color w:val="000000" w:themeColor="text1"/>
                <w:sz w:val="20"/>
              </w:rPr>
            </w:pPr>
            <w:r w:rsidRPr="00FA3EC0">
              <w:rPr>
                <w:color w:val="000000" w:themeColor="text1"/>
                <w:spacing w:val="-5"/>
                <w:sz w:val="20"/>
              </w:rPr>
              <w:t>II</w:t>
            </w:r>
          </w:p>
        </w:tc>
      </w:tr>
    </w:tbl>
    <w:p w:rsidR="00FA3EC0" w:rsidRPr="00FA3EC0" w:rsidRDefault="00FA3EC0" w:rsidP="00FA3EC0">
      <w:pPr>
        <w:rPr>
          <w:color w:val="000000" w:themeColor="text1"/>
        </w:rPr>
        <w:sectPr w:rsidR="00FA3EC0" w:rsidRPr="00FA3EC0" w:rsidSect="00FA3EC0">
          <w:type w:val="continuous"/>
          <w:pgSz w:w="11910" w:h="16840"/>
          <w:pgMar w:top="1360" w:right="1500" w:bottom="280" w:left="1420" w:header="720" w:footer="720" w:gutter="0"/>
          <w:cols w:space="720"/>
        </w:sectPr>
      </w:pPr>
    </w:p>
    <w:p w:rsidR="00B84581" w:rsidRPr="00FA3EC0" w:rsidRDefault="00B84581">
      <w:pPr>
        <w:rPr>
          <w:color w:val="000000" w:themeColor="text1"/>
        </w:rPr>
      </w:pPr>
    </w:p>
    <w:sectPr w:rsidR="00B84581" w:rsidRPr="00FA3EC0" w:rsidSect="00FA3EC0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D5D7A"/>
    <w:multiLevelType w:val="hybridMultilevel"/>
    <w:tmpl w:val="B9CC3D32"/>
    <w:lvl w:ilvl="0" w:tplc="2AA45622">
      <w:start w:val="22"/>
      <w:numFmt w:val="decimal"/>
      <w:lvlText w:val="%1."/>
      <w:lvlJc w:val="left"/>
      <w:pPr>
        <w:ind w:left="3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0964A12">
      <w:numFmt w:val="bullet"/>
      <w:lvlText w:val="•"/>
      <w:lvlJc w:val="left"/>
      <w:pPr>
        <w:ind w:left="1240" w:hanging="360"/>
      </w:pPr>
      <w:rPr>
        <w:rFonts w:hint="default"/>
        <w:lang w:val="en-US" w:eastAsia="en-US" w:bidi="ar-SA"/>
      </w:rPr>
    </w:lvl>
    <w:lvl w:ilvl="2" w:tplc="F38853EA">
      <w:numFmt w:val="bullet"/>
      <w:lvlText w:val="•"/>
      <w:lvlJc w:val="left"/>
      <w:pPr>
        <w:ind w:left="2101" w:hanging="360"/>
      </w:pPr>
      <w:rPr>
        <w:rFonts w:hint="default"/>
        <w:lang w:val="en-US" w:eastAsia="en-US" w:bidi="ar-SA"/>
      </w:rPr>
    </w:lvl>
    <w:lvl w:ilvl="3" w:tplc="C36EDA7C">
      <w:numFmt w:val="bullet"/>
      <w:lvlText w:val="•"/>
      <w:lvlJc w:val="left"/>
      <w:pPr>
        <w:ind w:left="2961" w:hanging="360"/>
      </w:pPr>
      <w:rPr>
        <w:rFonts w:hint="default"/>
        <w:lang w:val="en-US" w:eastAsia="en-US" w:bidi="ar-SA"/>
      </w:rPr>
    </w:lvl>
    <w:lvl w:ilvl="4" w:tplc="7E84EAC0">
      <w:numFmt w:val="bullet"/>
      <w:lvlText w:val="•"/>
      <w:lvlJc w:val="left"/>
      <w:pPr>
        <w:ind w:left="3822" w:hanging="360"/>
      </w:pPr>
      <w:rPr>
        <w:rFonts w:hint="default"/>
        <w:lang w:val="en-US" w:eastAsia="en-US" w:bidi="ar-SA"/>
      </w:rPr>
    </w:lvl>
    <w:lvl w:ilvl="5" w:tplc="5CB01EC8">
      <w:numFmt w:val="bullet"/>
      <w:lvlText w:val="•"/>
      <w:lvlJc w:val="left"/>
      <w:pPr>
        <w:ind w:left="4683" w:hanging="360"/>
      </w:pPr>
      <w:rPr>
        <w:rFonts w:hint="default"/>
        <w:lang w:val="en-US" w:eastAsia="en-US" w:bidi="ar-SA"/>
      </w:rPr>
    </w:lvl>
    <w:lvl w:ilvl="6" w:tplc="39E67CC8">
      <w:numFmt w:val="bullet"/>
      <w:lvlText w:val="•"/>
      <w:lvlJc w:val="left"/>
      <w:pPr>
        <w:ind w:left="5543" w:hanging="360"/>
      </w:pPr>
      <w:rPr>
        <w:rFonts w:hint="default"/>
        <w:lang w:val="en-US" w:eastAsia="en-US" w:bidi="ar-SA"/>
      </w:rPr>
    </w:lvl>
    <w:lvl w:ilvl="7" w:tplc="75B4EE82">
      <w:numFmt w:val="bullet"/>
      <w:lvlText w:val="•"/>
      <w:lvlJc w:val="left"/>
      <w:pPr>
        <w:ind w:left="6404" w:hanging="360"/>
      </w:pPr>
      <w:rPr>
        <w:rFonts w:hint="default"/>
        <w:lang w:val="en-US" w:eastAsia="en-US" w:bidi="ar-SA"/>
      </w:rPr>
    </w:lvl>
    <w:lvl w:ilvl="8" w:tplc="972E4DB6">
      <w:numFmt w:val="bullet"/>
      <w:lvlText w:val="•"/>
      <w:lvlJc w:val="left"/>
      <w:pPr>
        <w:ind w:left="726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B762FE7"/>
    <w:multiLevelType w:val="hybridMultilevel"/>
    <w:tmpl w:val="015A3502"/>
    <w:lvl w:ilvl="0" w:tplc="EDB4BBF4">
      <w:start w:val="1"/>
      <w:numFmt w:val="decimal"/>
      <w:lvlText w:val="%1."/>
      <w:lvlJc w:val="left"/>
      <w:pPr>
        <w:ind w:left="380" w:hanging="240"/>
      </w:pPr>
      <w:rPr>
        <w:rFonts w:hint="default"/>
        <w:spacing w:val="0"/>
        <w:w w:val="100"/>
        <w:lang w:val="en-US" w:eastAsia="en-US" w:bidi="ar-SA"/>
      </w:rPr>
    </w:lvl>
    <w:lvl w:ilvl="1" w:tplc="0A2C7348">
      <w:numFmt w:val="bullet"/>
      <w:lvlText w:val="•"/>
      <w:lvlJc w:val="left"/>
      <w:pPr>
        <w:ind w:left="1240" w:hanging="240"/>
      </w:pPr>
      <w:rPr>
        <w:rFonts w:hint="default"/>
        <w:lang w:val="en-US" w:eastAsia="en-US" w:bidi="ar-SA"/>
      </w:rPr>
    </w:lvl>
    <w:lvl w:ilvl="2" w:tplc="240C4D92">
      <w:numFmt w:val="bullet"/>
      <w:lvlText w:val="•"/>
      <w:lvlJc w:val="left"/>
      <w:pPr>
        <w:ind w:left="2101" w:hanging="240"/>
      </w:pPr>
      <w:rPr>
        <w:rFonts w:hint="default"/>
        <w:lang w:val="en-US" w:eastAsia="en-US" w:bidi="ar-SA"/>
      </w:rPr>
    </w:lvl>
    <w:lvl w:ilvl="3" w:tplc="5B122812">
      <w:numFmt w:val="bullet"/>
      <w:lvlText w:val="•"/>
      <w:lvlJc w:val="left"/>
      <w:pPr>
        <w:ind w:left="2961" w:hanging="240"/>
      </w:pPr>
      <w:rPr>
        <w:rFonts w:hint="default"/>
        <w:lang w:val="en-US" w:eastAsia="en-US" w:bidi="ar-SA"/>
      </w:rPr>
    </w:lvl>
    <w:lvl w:ilvl="4" w:tplc="972CF020">
      <w:numFmt w:val="bullet"/>
      <w:lvlText w:val="•"/>
      <w:lvlJc w:val="left"/>
      <w:pPr>
        <w:ind w:left="3822" w:hanging="240"/>
      </w:pPr>
      <w:rPr>
        <w:rFonts w:hint="default"/>
        <w:lang w:val="en-US" w:eastAsia="en-US" w:bidi="ar-SA"/>
      </w:rPr>
    </w:lvl>
    <w:lvl w:ilvl="5" w:tplc="8A64C8DE">
      <w:numFmt w:val="bullet"/>
      <w:lvlText w:val="•"/>
      <w:lvlJc w:val="left"/>
      <w:pPr>
        <w:ind w:left="4683" w:hanging="240"/>
      </w:pPr>
      <w:rPr>
        <w:rFonts w:hint="default"/>
        <w:lang w:val="en-US" w:eastAsia="en-US" w:bidi="ar-SA"/>
      </w:rPr>
    </w:lvl>
    <w:lvl w:ilvl="6" w:tplc="7CBA8996">
      <w:numFmt w:val="bullet"/>
      <w:lvlText w:val="•"/>
      <w:lvlJc w:val="left"/>
      <w:pPr>
        <w:ind w:left="5543" w:hanging="240"/>
      </w:pPr>
      <w:rPr>
        <w:rFonts w:hint="default"/>
        <w:lang w:val="en-US" w:eastAsia="en-US" w:bidi="ar-SA"/>
      </w:rPr>
    </w:lvl>
    <w:lvl w:ilvl="7" w:tplc="A48E5256">
      <w:numFmt w:val="bullet"/>
      <w:lvlText w:val="•"/>
      <w:lvlJc w:val="left"/>
      <w:pPr>
        <w:ind w:left="6404" w:hanging="240"/>
      </w:pPr>
      <w:rPr>
        <w:rFonts w:hint="default"/>
        <w:lang w:val="en-US" w:eastAsia="en-US" w:bidi="ar-SA"/>
      </w:rPr>
    </w:lvl>
    <w:lvl w:ilvl="8" w:tplc="0F824B4E">
      <w:numFmt w:val="bullet"/>
      <w:lvlText w:val="•"/>
      <w:lvlJc w:val="left"/>
      <w:pPr>
        <w:ind w:left="7265" w:hanging="24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EC0"/>
    <w:rsid w:val="0000157F"/>
    <w:rsid w:val="00012CE7"/>
    <w:rsid w:val="0001506A"/>
    <w:rsid w:val="0002475E"/>
    <w:rsid w:val="00031BA2"/>
    <w:rsid w:val="000369BC"/>
    <w:rsid w:val="0004073E"/>
    <w:rsid w:val="00047144"/>
    <w:rsid w:val="00050A5A"/>
    <w:rsid w:val="000525BC"/>
    <w:rsid w:val="00070E37"/>
    <w:rsid w:val="00081101"/>
    <w:rsid w:val="00081C61"/>
    <w:rsid w:val="00082E9F"/>
    <w:rsid w:val="00087102"/>
    <w:rsid w:val="0008769A"/>
    <w:rsid w:val="00090C0E"/>
    <w:rsid w:val="000930A5"/>
    <w:rsid w:val="000A08B3"/>
    <w:rsid w:val="000A6B60"/>
    <w:rsid w:val="000B0828"/>
    <w:rsid w:val="000C0AB2"/>
    <w:rsid w:val="000C609E"/>
    <w:rsid w:val="000C61E0"/>
    <w:rsid w:val="000D528A"/>
    <w:rsid w:val="000D5B75"/>
    <w:rsid w:val="000D5FB5"/>
    <w:rsid w:val="000E650B"/>
    <w:rsid w:val="000E73E8"/>
    <w:rsid w:val="00102A1D"/>
    <w:rsid w:val="00113CD3"/>
    <w:rsid w:val="001208C7"/>
    <w:rsid w:val="00134D62"/>
    <w:rsid w:val="00140552"/>
    <w:rsid w:val="00143593"/>
    <w:rsid w:val="00147CAE"/>
    <w:rsid w:val="00151B40"/>
    <w:rsid w:val="001538E3"/>
    <w:rsid w:val="00166E40"/>
    <w:rsid w:val="00170F5C"/>
    <w:rsid w:val="00177516"/>
    <w:rsid w:val="00190CB0"/>
    <w:rsid w:val="00196A24"/>
    <w:rsid w:val="00197845"/>
    <w:rsid w:val="001A4DB9"/>
    <w:rsid w:val="001C2AD4"/>
    <w:rsid w:val="001D4C0D"/>
    <w:rsid w:val="001F551C"/>
    <w:rsid w:val="00200292"/>
    <w:rsid w:val="00203BD4"/>
    <w:rsid w:val="00206D7D"/>
    <w:rsid w:val="002112F0"/>
    <w:rsid w:val="00213243"/>
    <w:rsid w:val="002137B7"/>
    <w:rsid w:val="0021523C"/>
    <w:rsid w:val="00217D00"/>
    <w:rsid w:val="00223F8D"/>
    <w:rsid w:val="00225D4A"/>
    <w:rsid w:val="0023011F"/>
    <w:rsid w:val="00232867"/>
    <w:rsid w:val="002509ED"/>
    <w:rsid w:val="0025424F"/>
    <w:rsid w:val="002574AD"/>
    <w:rsid w:val="00260320"/>
    <w:rsid w:val="002661C9"/>
    <w:rsid w:val="002669CA"/>
    <w:rsid w:val="002811A9"/>
    <w:rsid w:val="00284B00"/>
    <w:rsid w:val="00286742"/>
    <w:rsid w:val="002934B4"/>
    <w:rsid w:val="0029429F"/>
    <w:rsid w:val="00295CB3"/>
    <w:rsid w:val="002C0F14"/>
    <w:rsid w:val="002C4110"/>
    <w:rsid w:val="002C6F5B"/>
    <w:rsid w:val="002D65B9"/>
    <w:rsid w:val="002E0957"/>
    <w:rsid w:val="002F5294"/>
    <w:rsid w:val="002F7CB7"/>
    <w:rsid w:val="003105B0"/>
    <w:rsid w:val="003259F7"/>
    <w:rsid w:val="0033653F"/>
    <w:rsid w:val="00342961"/>
    <w:rsid w:val="003533BE"/>
    <w:rsid w:val="00361807"/>
    <w:rsid w:val="003621C2"/>
    <w:rsid w:val="0036525C"/>
    <w:rsid w:val="0037262C"/>
    <w:rsid w:val="00372BD0"/>
    <w:rsid w:val="003744F7"/>
    <w:rsid w:val="00374928"/>
    <w:rsid w:val="00380A39"/>
    <w:rsid w:val="00382D9F"/>
    <w:rsid w:val="00390D3B"/>
    <w:rsid w:val="0039698E"/>
    <w:rsid w:val="003A6B4A"/>
    <w:rsid w:val="003C2B44"/>
    <w:rsid w:val="003F0250"/>
    <w:rsid w:val="003F793E"/>
    <w:rsid w:val="00412D8C"/>
    <w:rsid w:val="004161AD"/>
    <w:rsid w:val="00437ACD"/>
    <w:rsid w:val="004402EB"/>
    <w:rsid w:val="00443583"/>
    <w:rsid w:val="00455A0D"/>
    <w:rsid w:val="00461678"/>
    <w:rsid w:val="004819BE"/>
    <w:rsid w:val="004B2B1C"/>
    <w:rsid w:val="004B70F8"/>
    <w:rsid w:val="004C149F"/>
    <w:rsid w:val="004E4F4E"/>
    <w:rsid w:val="004F0E44"/>
    <w:rsid w:val="00506961"/>
    <w:rsid w:val="00514BD4"/>
    <w:rsid w:val="00515527"/>
    <w:rsid w:val="00522C1D"/>
    <w:rsid w:val="005426FB"/>
    <w:rsid w:val="00542F14"/>
    <w:rsid w:val="00543857"/>
    <w:rsid w:val="00554302"/>
    <w:rsid w:val="00564C9A"/>
    <w:rsid w:val="005718F4"/>
    <w:rsid w:val="005720CE"/>
    <w:rsid w:val="0057262B"/>
    <w:rsid w:val="00585177"/>
    <w:rsid w:val="005A5E51"/>
    <w:rsid w:val="005C0424"/>
    <w:rsid w:val="005D0C9D"/>
    <w:rsid w:val="005E03ED"/>
    <w:rsid w:val="005E7E89"/>
    <w:rsid w:val="005F3088"/>
    <w:rsid w:val="006007A0"/>
    <w:rsid w:val="006024A2"/>
    <w:rsid w:val="00604E28"/>
    <w:rsid w:val="0061588E"/>
    <w:rsid w:val="0061651D"/>
    <w:rsid w:val="0061710C"/>
    <w:rsid w:val="006239F2"/>
    <w:rsid w:val="0063775C"/>
    <w:rsid w:val="00643E6B"/>
    <w:rsid w:val="00657CD2"/>
    <w:rsid w:val="006819AB"/>
    <w:rsid w:val="00681D89"/>
    <w:rsid w:val="00685F21"/>
    <w:rsid w:val="00692ED7"/>
    <w:rsid w:val="006A01AE"/>
    <w:rsid w:val="006A0895"/>
    <w:rsid w:val="006B1623"/>
    <w:rsid w:val="006C034F"/>
    <w:rsid w:val="006C08A1"/>
    <w:rsid w:val="006D7D80"/>
    <w:rsid w:val="006F31FE"/>
    <w:rsid w:val="006F3DE6"/>
    <w:rsid w:val="006F54EB"/>
    <w:rsid w:val="00710F27"/>
    <w:rsid w:val="00715D82"/>
    <w:rsid w:val="007162BA"/>
    <w:rsid w:val="00721A3D"/>
    <w:rsid w:val="00726D41"/>
    <w:rsid w:val="00730DC3"/>
    <w:rsid w:val="007343AF"/>
    <w:rsid w:val="00771B13"/>
    <w:rsid w:val="00772F97"/>
    <w:rsid w:val="00780775"/>
    <w:rsid w:val="00781B64"/>
    <w:rsid w:val="00793EC6"/>
    <w:rsid w:val="007B463B"/>
    <w:rsid w:val="007C1D58"/>
    <w:rsid w:val="007C2827"/>
    <w:rsid w:val="007D6206"/>
    <w:rsid w:val="007E2E19"/>
    <w:rsid w:val="007E413A"/>
    <w:rsid w:val="007F66C6"/>
    <w:rsid w:val="00801D9A"/>
    <w:rsid w:val="00807467"/>
    <w:rsid w:val="00813A44"/>
    <w:rsid w:val="00837F69"/>
    <w:rsid w:val="00842C5D"/>
    <w:rsid w:val="008524D0"/>
    <w:rsid w:val="00853226"/>
    <w:rsid w:val="00855208"/>
    <w:rsid w:val="0086392B"/>
    <w:rsid w:val="0086483E"/>
    <w:rsid w:val="008649CB"/>
    <w:rsid w:val="00865672"/>
    <w:rsid w:val="008818C8"/>
    <w:rsid w:val="00884ABD"/>
    <w:rsid w:val="008A58B7"/>
    <w:rsid w:val="008A6A63"/>
    <w:rsid w:val="008C043E"/>
    <w:rsid w:val="008C4B39"/>
    <w:rsid w:val="008D23E4"/>
    <w:rsid w:val="008E4B82"/>
    <w:rsid w:val="008F1906"/>
    <w:rsid w:val="008F3874"/>
    <w:rsid w:val="008F4208"/>
    <w:rsid w:val="00904DF4"/>
    <w:rsid w:val="009050D9"/>
    <w:rsid w:val="00913E5A"/>
    <w:rsid w:val="00922272"/>
    <w:rsid w:val="009258D6"/>
    <w:rsid w:val="00932C08"/>
    <w:rsid w:val="00935F85"/>
    <w:rsid w:val="00937B4D"/>
    <w:rsid w:val="00941157"/>
    <w:rsid w:val="009411AD"/>
    <w:rsid w:val="00943F46"/>
    <w:rsid w:val="009477AB"/>
    <w:rsid w:val="00953DAF"/>
    <w:rsid w:val="0096428F"/>
    <w:rsid w:val="00966844"/>
    <w:rsid w:val="0097370F"/>
    <w:rsid w:val="00974AA0"/>
    <w:rsid w:val="00981F93"/>
    <w:rsid w:val="00995BA4"/>
    <w:rsid w:val="009A3579"/>
    <w:rsid w:val="009A6721"/>
    <w:rsid w:val="009A6ED5"/>
    <w:rsid w:val="009C00BB"/>
    <w:rsid w:val="009C7E5A"/>
    <w:rsid w:val="009D4E10"/>
    <w:rsid w:val="009E3620"/>
    <w:rsid w:val="009E617D"/>
    <w:rsid w:val="009F48A3"/>
    <w:rsid w:val="009F6AC6"/>
    <w:rsid w:val="00A05A1C"/>
    <w:rsid w:val="00A066CE"/>
    <w:rsid w:val="00A13F06"/>
    <w:rsid w:val="00A15FBE"/>
    <w:rsid w:val="00A2180A"/>
    <w:rsid w:val="00A47089"/>
    <w:rsid w:val="00A50E53"/>
    <w:rsid w:val="00A70058"/>
    <w:rsid w:val="00A737BF"/>
    <w:rsid w:val="00A92CDB"/>
    <w:rsid w:val="00AA299A"/>
    <w:rsid w:val="00AA6E71"/>
    <w:rsid w:val="00AB3F66"/>
    <w:rsid w:val="00AC7332"/>
    <w:rsid w:val="00AD4172"/>
    <w:rsid w:val="00AD7DD7"/>
    <w:rsid w:val="00AE6321"/>
    <w:rsid w:val="00B0119F"/>
    <w:rsid w:val="00B04174"/>
    <w:rsid w:val="00B26415"/>
    <w:rsid w:val="00B3175B"/>
    <w:rsid w:val="00B67909"/>
    <w:rsid w:val="00B83678"/>
    <w:rsid w:val="00B84581"/>
    <w:rsid w:val="00B87CEF"/>
    <w:rsid w:val="00B933DF"/>
    <w:rsid w:val="00BA112D"/>
    <w:rsid w:val="00BA4939"/>
    <w:rsid w:val="00BA7937"/>
    <w:rsid w:val="00BB08CE"/>
    <w:rsid w:val="00BC00E7"/>
    <w:rsid w:val="00BE226F"/>
    <w:rsid w:val="00BE469E"/>
    <w:rsid w:val="00BF2E1B"/>
    <w:rsid w:val="00BF609C"/>
    <w:rsid w:val="00C21D39"/>
    <w:rsid w:val="00C26AAF"/>
    <w:rsid w:val="00C34942"/>
    <w:rsid w:val="00C41C81"/>
    <w:rsid w:val="00C42DAE"/>
    <w:rsid w:val="00C64C4A"/>
    <w:rsid w:val="00C6605F"/>
    <w:rsid w:val="00C701E5"/>
    <w:rsid w:val="00C775DA"/>
    <w:rsid w:val="00C93FD6"/>
    <w:rsid w:val="00CA4E90"/>
    <w:rsid w:val="00CA58DC"/>
    <w:rsid w:val="00CB7EFD"/>
    <w:rsid w:val="00CC2CB4"/>
    <w:rsid w:val="00CD2047"/>
    <w:rsid w:val="00CD4E97"/>
    <w:rsid w:val="00CD5390"/>
    <w:rsid w:val="00CF4BAE"/>
    <w:rsid w:val="00CF7ED1"/>
    <w:rsid w:val="00D01152"/>
    <w:rsid w:val="00D1042B"/>
    <w:rsid w:val="00D140E5"/>
    <w:rsid w:val="00D27670"/>
    <w:rsid w:val="00D348BD"/>
    <w:rsid w:val="00D353EE"/>
    <w:rsid w:val="00D37640"/>
    <w:rsid w:val="00D418F3"/>
    <w:rsid w:val="00D43436"/>
    <w:rsid w:val="00D44436"/>
    <w:rsid w:val="00D477CF"/>
    <w:rsid w:val="00D549B2"/>
    <w:rsid w:val="00D62361"/>
    <w:rsid w:val="00D634DD"/>
    <w:rsid w:val="00D64A6F"/>
    <w:rsid w:val="00D715DE"/>
    <w:rsid w:val="00D77DCC"/>
    <w:rsid w:val="00D84123"/>
    <w:rsid w:val="00DA12CF"/>
    <w:rsid w:val="00DC3043"/>
    <w:rsid w:val="00DC7CC5"/>
    <w:rsid w:val="00DC7E0D"/>
    <w:rsid w:val="00DD3E45"/>
    <w:rsid w:val="00DE0EEA"/>
    <w:rsid w:val="00DF183F"/>
    <w:rsid w:val="00E10AA8"/>
    <w:rsid w:val="00E24970"/>
    <w:rsid w:val="00E465CC"/>
    <w:rsid w:val="00E478AF"/>
    <w:rsid w:val="00E47C19"/>
    <w:rsid w:val="00E5745F"/>
    <w:rsid w:val="00E617D6"/>
    <w:rsid w:val="00E65F63"/>
    <w:rsid w:val="00E70003"/>
    <w:rsid w:val="00E76EB0"/>
    <w:rsid w:val="00E876CF"/>
    <w:rsid w:val="00E87A52"/>
    <w:rsid w:val="00E940CF"/>
    <w:rsid w:val="00EA64EC"/>
    <w:rsid w:val="00EF4217"/>
    <w:rsid w:val="00EF5C9B"/>
    <w:rsid w:val="00F10B4F"/>
    <w:rsid w:val="00F116FE"/>
    <w:rsid w:val="00F20F6E"/>
    <w:rsid w:val="00F22960"/>
    <w:rsid w:val="00F26356"/>
    <w:rsid w:val="00F424C1"/>
    <w:rsid w:val="00F431B1"/>
    <w:rsid w:val="00F45EE7"/>
    <w:rsid w:val="00F52370"/>
    <w:rsid w:val="00F6606D"/>
    <w:rsid w:val="00F843F9"/>
    <w:rsid w:val="00F877BD"/>
    <w:rsid w:val="00F92451"/>
    <w:rsid w:val="00FA1644"/>
    <w:rsid w:val="00FA23D2"/>
    <w:rsid w:val="00FA3EC0"/>
    <w:rsid w:val="00FA539D"/>
    <w:rsid w:val="00FB24C8"/>
    <w:rsid w:val="00FB3F5E"/>
    <w:rsid w:val="00FB4C98"/>
    <w:rsid w:val="00FC0258"/>
    <w:rsid w:val="00FD08BC"/>
    <w:rsid w:val="00FE34E7"/>
    <w:rsid w:val="00FE3742"/>
    <w:rsid w:val="00FE6E89"/>
    <w:rsid w:val="00FE7E14"/>
    <w:rsid w:val="00FF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F4E455-CC0F-4B9A-B693-A20CB9076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E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9"/>
    <w:qFormat/>
    <w:rsid w:val="00FA3EC0"/>
    <w:pPr>
      <w:ind w:left="3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3EC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leNormal1">
    <w:name w:val="Table Normal1"/>
    <w:uiPriority w:val="2"/>
    <w:semiHidden/>
    <w:unhideWhenUsed/>
    <w:qFormat/>
    <w:rsid w:val="00FA3EC0"/>
    <w:pPr>
      <w:widowControl w:val="0"/>
      <w:autoSpaceDE w:val="0"/>
      <w:autoSpaceDN w:val="0"/>
      <w:spacing w:after="0" w:line="240" w:lineRule="auto"/>
    </w:pPr>
    <w:rPr>
      <w:rFonts w:eastAsiaTheme="minorEastAsia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FA3EC0"/>
    <w:pPr>
      <w:ind w:left="38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A3EC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FA3EC0"/>
    <w:pPr>
      <w:ind w:left="380"/>
    </w:pPr>
  </w:style>
  <w:style w:type="paragraph" w:customStyle="1" w:styleId="TableParagraph">
    <w:name w:val="Table Paragraph"/>
    <w:basedOn w:val="Normal"/>
    <w:uiPriority w:val="1"/>
    <w:qFormat/>
    <w:rsid w:val="00FA3EC0"/>
    <w:pPr>
      <w:spacing w:before="30"/>
      <w:ind w:left="122"/>
    </w:pPr>
  </w:style>
  <w:style w:type="paragraph" w:styleId="Header">
    <w:name w:val="header"/>
    <w:basedOn w:val="Normal"/>
    <w:link w:val="HeaderChar"/>
    <w:uiPriority w:val="99"/>
    <w:unhideWhenUsed/>
    <w:rsid w:val="00FA3E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A3EC0"/>
    <w:rPr>
      <w:rFonts w:ascii="Times New Roman" w:eastAsia="Times New Roman" w:hAnsi="Times New Roman" w:cs="Times New Roman"/>
      <w:sz w:val="18"/>
      <w:szCs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A3EC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A3EC0"/>
    <w:rPr>
      <w:rFonts w:ascii="Times New Roman" w:eastAsia="Times New Roman" w:hAnsi="Times New Roman" w:cs="Times New Roman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FA3EC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1463</Words>
  <Characters>8345</Characters>
  <Application>Microsoft Office Word</Application>
  <DocSecurity>0</DocSecurity>
  <Lines>69</Lines>
  <Paragraphs>19</Paragraphs>
  <ScaleCrop>false</ScaleCrop>
  <Company>HP Inc.</Company>
  <LinksUpToDate>false</LinksUpToDate>
  <CharactersWithSpaces>9789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Chandravadhana Ramesh</dc:creator>
  <cp:keywords/>
  <dc:description/>
  <cp:lastModifiedBy>Chandravadhana Ramesh</cp:lastModifiedBy>
  <cp:revision>1</cp:revision>
  <dcterms:created xsi:type="dcterms:W3CDTF">2024-08-29T08:26:00Z</dcterms:created>
  <dcterms:modified xsi:type="dcterms:W3CDTF">2024-08-29T08:26:00Z</dcterms:modified>
</cp:coreProperties>
</file>