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387197">
      <w:pPr>
        <w:keepNext w:val="0"/>
        <w:keepLines w:val="0"/>
        <w:widowControl/>
        <w:suppressLineNumbers w:val="0"/>
        <w:spacing w:line="360" w:lineRule="auto"/>
        <w:jc w:val="center"/>
        <w:rPr>
          <w:rFonts w:hint="default" w:ascii="Times New Roman" w:hAnsi="Times New Roman" w:eastAsia="宋体" w:cs="Times New Roman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Supplementary Material</w:t>
      </w:r>
    </w:p>
    <w:p w14:paraId="51893F18">
      <w:pPr>
        <w:keepNext w:val="0"/>
        <w:keepLines w:val="0"/>
        <w:widowControl/>
        <w:suppressLineNumbers w:val="0"/>
        <w:spacing w:line="360" w:lineRule="auto"/>
        <w:jc w:val="center"/>
        <w:rPr>
          <w:rFonts w:hint="default" w:ascii="Times New Roman" w:hAnsi="Times New Roman" w:eastAsia="宋体" w:cs="Times New Roman"/>
          <w:b/>
          <w:bCs/>
          <w:color w:val="000000"/>
          <w:kern w:val="0"/>
          <w:sz w:val="32"/>
          <w:szCs w:val="32"/>
          <w:lang w:val="en-US" w:eastAsia="zh-CN" w:bidi="ar"/>
        </w:rPr>
      </w:pPr>
    </w:p>
    <w:p w14:paraId="2D7CBEE5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" w:hAnsi="Times New Roman" w:eastAsia="宋体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1. Supplementary Figures </w:t>
      </w:r>
    </w:p>
    <w:p w14:paraId="613E26AA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" w:hAnsi="Times New Roman" w:eastAsia="宋体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4785" cy="4385945"/>
            <wp:effectExtent l="0" t="0" r="8255" b="3175"/>
            <wp:docPr id="5" name="图片 5" descr="Figure S1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ure S1_0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438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4456F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Supplementary Figure 1</w:t>
      </w:r>
      <w:r>
        <w:rPr>
          <w:rFonts w:hint="default" w:ascii="Times New Roman" w:hAnsi="Times New Roman" w:cs="Times New Roman"/>
          <w:sz w:val="24"/>
          <w:szCs w:val="24"/>
        </w:rPr>
        <w:t xml:space="preserve">: Identification of </w:t>
      </w:r>
      <w:r>
        <w:rPr>
          <w:rFonts w:hint="eastAsia" w:ascii="Times New Roman" w:hAnsi="Times New Roman" w:cs="Times New Roman"/>
          <w:sz w:val="24"/>
          <w:szCs w:val="24"/>
          <w:lang w:eastAsia="zh-CN"/>
        </w:rPr>
        <w:t>disulfidptosis</w:t>
      </w:r>
      <w:r>
        <w:rPr>
          <w:rFonts w:hint="default" w:ascii="Times New Roman" w:hAnsi="Times New Roman" w:cs="Times New Roman"/>
          <w:sz w:val="24"/>
          <w:szCs w:val="24"/>
        </w:rPr>
        <w:t xml:space="preserve">-related molecular clusters in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PH</w:t>
      </w:r>
      <w:r>
        <w:rPr>
          <w:rFonts w:hint="default" w:ascii="Times New Roman" w:hAnsi="Times New Roman" w:cs="Times New Roman"/>
          <w:sz w:val="24"/>
          <w:szCs w:val="24"/>
        </w:rPr>
        <w:t>. (A-I) Consensus clustering matrix when k = 2. (J) Uniform clustering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cumulative distribution function (CDF) with k from 2 to 9. (K) The change of area under CDF curve with k from 2 to 9. (L) The tracking plot showed the relationship between samples and clusters.</w:t>
      </w:r>
    </w:p>
    <w:p w14:paraId="6DBB53AF">
      <w:pPr>
        <w:spacing w:line="360" w:lineRule="auto"/>
        <w:jc w:val="both"/>
        <w:rPr>
          <w:rFonts w:hint="eastAsia" w:ascii="Times New Roman" w:hAnsi="Times New Roman" w:cs="Times New Roman" w:eastAsiaTheme="minorEastAsia"/>
          <w:color w:val="FF0000"/>
          <w:lang w:eastAsia="zh-CN"/>
        </w:rPr>
      </w:pPr>
      <w:r>
        <w:rPr>
          <w:rFonts w:hint="eastAsia" w:ascii="Times New Roman" w:hAnsi="Times New Roman" w:cs="Times New Roman" w:eastAsiaTheme="minorEastAsia"/>
          <w:color w:val="FF0000"/>
          <w:lang w:eastAsia="zh-CN"/>
        </w:rPr>
        <w:drawing>
          <wp:inline distT="0" distB="0" distL="114300" distR="114300">
            <wp:extent cx="5263515" cy="2903855"/>
            <wp:effectExtent l="0" t="0" r="9525" b="6985"/>
            <wp:docPr id="1" name="图片 1" descr="stacked_barplot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tacked_barplot_0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90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A7C3E"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Supplementary Figure 2: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 The relative abundances of 22 infiltrated immune cells </w:t>
      </w:r>
    </w:p>
    <w:p w14:paraId="748A715E"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between two disulfidptosis clusters.</w:t>
      </w:r>
    </w:p>
    <w:p w14:paraId="38D0ED48">
      <w:pPr>
        <w:spacing w:line="360" w:lineRule="auto"/>
        <w:jc w:val="both"/>
        <w:rPr>
          <w:rFonts w:hint="eastAsia" w:ascii="Times New Roman" w:hAnsi="Times New Roman" w:cs="Times New Roman" w:eastAsiaTheme="minorEastAsia"/>
          <w:lang w:eastAsia="zh-CN"/>
        </w:rPr>
      </w:pPr>
      <w:r>
        <w:rPr>
          <w:rFonts w:hint="eastAsia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5274310" cy="3955415"/>
            <wp:effectExtent l="0" t="0" r="13970" b="6985"/>
            <wp:docPr id="2" name="图片 2" descr="immune.diff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mune.diff_0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AFEC7"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Supplementary Figure 3: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Boxplots showed the differences in immune infiltrating </w:t>
      </w:r>
    </w:p>
    <w:p w14:paraId="4B1563FE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between two disulfidptosis clusters. *p &lt; 0.05, **p &lt; 0.01. </w:t>
      </w:r>
    </w:p>
    <w:p w14:paraId="1993A1ED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506C7EA3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32C9B622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55782B9C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2BB43A83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2FD6B2FD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266690" cy="2809240"/>
            <wp:effectExtent l="0" t="0" r="6350" b="10160"/>
            <wp:docPr id="3" name="图片 3" descr="go-barplot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go-barplot_0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0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02048"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Supplementary Figure 4: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 Differences in hallmark pathway activities between clu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ter1 and cluster2 samples ranked by t-value of GSVA method. </w:t>
      </w:r>
    </w:p>
    <w:p w14:paraId="33C1B808">
      <w:pPr>
        <w:spacing w:line="360" w:lineRule="auto"/>
        <w:jc w:val="both"/>
        <w:rPr>
          <w:rFonts w:hint="eastAsia" w:ascii="Times New Roman" w:hAnsi="Times New Roman" w:cs="Times New Roman" w:eastAsiaTheme="minorEastAsia"/>
          <w:lang w:eastAsia="zh-CN"/>
        </w:rPr>
      </w:pPr>
      <w:r>
        <w:rPr>
          <w:rFonts w:hint="eastAsia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5266690" cy="2809240"/>
            <wp:effectExtent l="0" t="0" r="6350" b="10160"/>
            <wp:docPr id="4" name="图片 4" descr="kegg-barplot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kegg-barplot_0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0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58632"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Supplementary Figure 5: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Differences in biological functions between clu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ter1 and </w:t>
      </w:r>
    </w:p>
    <w:p w14:paraId="0E0C663A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cluster2 samples ranked by t-value of GSVA method.</w:t>
      </w:r>
    </w:p>
    <w:p w14:paraId="15BD0966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6C57D05E">
      <w:pPr>
        <w:spacing w:line="360" w:lineRule="auto"/>
        <w:jc w:val="both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5DFEA307">
      <w:pPr>
        <w:spacing w:line="360" w:lineRule="auto"/>
        <w:jc w:val="both"/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</w:pPr>
    </w:p>
    <w:p w14:paraId="79F1D625">
      <w:pPr>
        <w:spacing w:line="360" w:lineRule="auto"/>
        <w:jc w:val="both"/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</w:pPr>
      <w:bookmarkStart w:id="0" w:name="_GoBack"/>
      <w:bookmarkEnd w:id="0"/>
    </w:p>
    <w:p w14:paraId="60BE5887">
      <w:pPr>
        <w:spacing w:line="360" w:lineRule="auto"/>
        <w:jc w:val="both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69E412FE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2. Supplementary Tables </w:t>
      </w:r>
    </w:p>
    <w:p w14:paraId="309C94D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Supplementary Table 1.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Detailed GSE data for each group</w:t>
      </w:r>
    </w:p>
    <w:p w14:paraId="6FA90ED9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Supplementary Table 2. 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Chemical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 sensitivity </w:t>
      </w:r>
    </w:p>
    <w:p w14:paraId="0CDEE08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Supplementary Table 3. Molecular docking of binding energy </w:t>
      </w:r>
    </w:p>
    <w:p w14:paraId="01D2AFB4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2ZmEwM2UzMmVlMmYwNzFiZWRkY2Q3NjAzZTg2Y2EifQ=="/>
  </w:docVars>
  <w:rsids>
    <w:rsidRoot w:val="00000000"/>
    <w:rsid w:val="016E1BBC"/>
    <w:rsid w:val="035852DB"/>
    <w:rsid w:val="05C228EF"/>
    <w:rsid w:val="08065580"/>
    <w:rsid w:val="0ABC248E"/>
    <w:rsid w:val="1BB2339E"/>
    <w:rsid w:val="1C4B58BE"/>
    <w:rsid w:val="21B53A77"/>
    <w:rsid w:val="33CE420F"/>
    <w:rsid w:val="33F12522"/>
    <w:rsid w:val="357800C8"/>
    <w:rsid w:val="35DF52F8"/>
    <w:rsid w:val="45C9555E"/>
    <w:rsid w:val="4B0E4540"/>
    <w:rsid w:val="4C9257FD"/>
    <w:rsid w:val="56D136E7"/>
    <w:rsid w:val="58E56F7A"/>
    <w:rsid w:val="6697399E"/>
    <w:rsid w:val="67340960"/>
    <w:rsid w:val="67C54006"/>
    <w:rsid w:val="686D2352"/>
    <w:rsid w:val="6CAD6955"/>
    <w:rsid w:val="6DF44786"/>
    <w:rsid w:val="6EE3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195</Words>
  <Characters>1162</Characters>
  <Lines>0</Lines>
  <Paragraphs>0</Paragraphs>
  <TotalTime>19</TotalTime>
  <ScaleCrop>false</ScaleCrop>
  <LinksUpToDate>false</LinksUpToDate>
  <CharactersWithSpaces>1349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2024-01-03T09:58:00Z</dcterms:created>
  <dc:creator>34538</dc:creator>
  <cp:lastModifiedBy>tx</cp:lastModifiedBy>
  <dcterms:modified xsi:type="dcterms:W3CDTF">2024-09-06T10:15:41Z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594F43402E2F408D84668315257CA7BD_12</vt:lpwstr>
  </property>
</Properties>
</file>