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87391" w14:textId="376CF479" w:rsidR="006E0B1F" w:rsidRPr="001B0071" w:rsidRDefault="006E0B1F" w:rsidP="006E0B1F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Additional </w:t>
      </w:r>
      <w:r w:rsidR="00B25219" w:rsidRPr="001B0071">
        <w:rPr>
          <w:rFonts w:ascii="Calibri" w:hAnsi="Calibri" w:cs="Calibri"/>
          <w:color w:val="000000" w:themeColor="text1"/>
          <w:sz w:val="24"/>
          <w:szCs w:val="24"/>
        </w:rPr>
        <w:t>F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>ile</w:t>
      </w:r>
    </w:p>
    <w:p w14:paraId="403C90C6" w14:textId="77777777" w:rsidR="006E0B1F" w:rsidRPr="001B0071" w:rsidRDefault="006E0B1F" w:rsidP="00C963D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4A716CA8" w14:textId="60604A87" w:rsidR="00C963DE" w:rsidRPr="001B0071" w:rsidRDefault="00C963DE" w:rsidP="00C963DE">
      <w:pPr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Table S1. Univariate linear regression models for the </w:t>
      </w:r>
      <w:bookmarkStart w:id="0" w:name="_Hlk177400199"/>
      <w:r w:rsidRPr="001B0071">
        <w:rPr>
          <w:rFonts w:ascii="Calibri" w:hAnsi="Calibri" w:cs="Calibri"/>
          <w:color w:val="000000" w:themeColor="text1"/>
          <w:sz w:val="24"/>
          <w:szCs w:val="24"/>
        </w:rPr>
        <w:t>associations of AIQCT variables (%) with pulmonary function tests and CPIs.</w:t>
      </w:r>
      <w:bookmarkEnd w:id="0"/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919"/>
        <w:gridCol w:w="1789"/>
        <w:gridCol w:w="919"/>
        <w:gridCol w:w="1789"/>
        <w:gridCol w:w="919"/>
        <w:gridCol w:w="1789"/>
      </w:tblGrid>
      <w:tr w:rsidR="001B0071" w:rsidRPr="001B0071" w14:paraId="62F16A2B" w14:textId="77777777" w:rsidTr="00D12D97">
        <w:trPr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623455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AIQCT variables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7E8FC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%FVC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5E722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%FEV</w:t>
            </w:r>
            <w:r w:rsidRPr="001B0071">
              <w:rPr>
                <w:rFonts w:ascii="Calibri" w:hAnsi="Calibri" w:cs="Calibri"/>
                <w:color w:val="000000" w:themeColor="text1"/>
                <w:sz w:val="24"/>
                <w:vertAlign w:val="subscript"/>
              </w:rPr>
              <w:t>1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4EFA9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%DLCO</w:t>
            </w:r>
          </w:p>
        </w:tc>
      </w:tr>
      <w:tr w:rsidR="001B0071" w:rsidRPr="001B0071" w14:paraId="36573A19" w14:textId="77777777" w:rsidTr="00D12D97">
        <w:trPr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82ED9A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E2220F" w14:textId="77777777" w:rsidR="00C963DE" w:rsidRPr="001B0071" w:rsidRDefault="00C963DE" w:rsidP="00D12D97">
            <w:pPr>
              <w:jc w:val="center"/>
              <w:rPr>
                <w:rFonts w:ascii="Calibri" w:eastAsia="ＭＳ Ｐゴシック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β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16F9E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63D5E4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β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116F5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E8F21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β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9CFB09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r</w:t>
            </w:r>
          </w:p>
        </w:tc>
      </w:tr>
      <w:tr w:rsidR="001B0071" w:rsidRPr="001B0071" w14:paraId="07081033" w14:textId="77777777" w:rsidTr="00D12D97">
        <w:trPr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5CA2E7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25F3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-0.17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B9DE" w14:textId="2482A3A5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0.48*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36C83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-0.16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C8F7" w14:textId="36E5ABC1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0.40*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86A60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-0.26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92A8" w14:textId="16402A58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0.63*</w:t>
            </w:r>
          </w:p>
        </w:tc>
      </w:tr>
      <w:tr w:rsidR="001B0071" w:rsidRPr="001B0071" w14:paraId="2B9C747E" w14:textId="77777777" w:rsidTr="00C963DE">
        <w:trPr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622DD9" w14:textId="47F2ACB5" w:rsidR="00C963DE" w:rsidRPr="001B0071" w:rsidRDefault="00C963DE" w:rsidP="00C963DE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Bronchi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B5F2" w14:textId="64E17A55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F622" w14:textId="42CCB101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0.62*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3B6F" w14:textId="29E437F9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FD4B" w14:textId="23FAED0C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0.44*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1CA3" w14:textId="2049BB44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-0.08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4C63" w14:textId="36A521B3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0.59*</w:t>
            </w:r>
          </w:p>
        </w:tc>
      </w:tr>
      <w:tr w:rsidR="001B0071" w:rsidRPr="001B0071" w14:paraId="66FC7936" w14:textId="77777777" w:rsidTr="00C963DE">
        <w:trPr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6A4A99" w14:textId="4C21CCB5" w:rsidR="00C963DE" w:rsidRPr="001B0071" w:rsidRDefault="00C963DE" w:rsidP="00C963DE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Hyperlucenc</w:t>
            </w:r>
            <w:r w:rsidR="005423BF" w:rsidRPr="001B0071">
              <w:rPr>
                <w:rFonts w:ascii="Calibri" w:hAnsi="Calibri" w:cs="Calibri" w:hint="eastAsia"/>
                <w:color w:val="000000" w:themeColor="text1"/>
                <w:sz w:val="24"/>
              </w:rPr>
              <w:t>ies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BCD7CD" w14:textId="021B16EE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AFB601" w14:textId="644B653A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0.28*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E618BC" w14:textId="3B7747D3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0.06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4FAC01" w14:textId="6A0B4DC1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8675AF" w14:textId="4EB2D8BA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5D93CF" w14:textId="7E80BE07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0.19*</w:t>
            </w:r>
          </w:p>
        </w:tc>
      </w:tr>
      <w:tr w:rsidR="001B0071" w:rsidRPr="001B0071" w14:paraId="4D602A3B" w14:textId="77777777" w:rsidTr="00C963DE">
        <w:trPr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68D6CE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 and bronchi (sum)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5FF9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-0.24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A3B6" w14:textId="41AF58D1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0.56*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1ED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-0.22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C78B" w14:textId="6C64A858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0.44*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E434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-0.34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8E63" w14:textId="4DC3C399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0.67*</w:t>
            </w:r>
          </w:p>
        </w:tc>
      </w:tr>
      <w:tr w:rsidR="001B0071" w:rsidRPr="001B0071" w14:paraId="0A6764B9" w14:textId="77777777" w:rsidTr="00D12D97">
        <w:trPr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40F119" w14:textId="08FEF295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ILD, bronchi and hyperlucenc</w:t>
            </w:r>
            <w:r w:rsidR="005423BF" w:rsidRPr="001B0071">
              <w:rPr>
                <w:rFonts w:ascii="Calibri" w:hAnsi="Calibri" w:cs="Calibri" w:hint="eastAsia"/>
                <w:color w:val="000000" w:themeColor="text1"/>
                <w:sz w:val="24"/>
              </w:rPr>
              <w:t>ies</w:t>
            </w: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(sum)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E39D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-0.15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E3E16" w14:textId="7EEF2183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0.27*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075F4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-0.17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A190A" w14:textId="6C9B20A4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0.26*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F67B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-0.42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B3544" w14:textId="2926D014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0.65*</w:t>
            </w:r>
          </w:p>
        </w:tc>
      </w:tr>
      <w:tr w:rsidR="001B0071" w:rsidRPr="001B0071" w14:paraId="2354E45E" w14:textId="77777777" w:rsidTr="00D12D97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8FB9CA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7572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Original CPI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36FB5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CALIPER-CPI</w:t>
            </w:r>
          </w:p>
        </w:tc>
      </w:tr>
      <w:tr w:rsidR="001B0071" w:rsidRPr="001B0071" w14:paraId="6AC54047" w14:textId="77777777" w:rsidTr="00D12D97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C9A0A0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23CF9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β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E0FB21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0ED7E8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β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7DE4F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r</w:t>
            </w:r>
          </w:p>
        </w:tc>
      </w:tr>
      <w:tr w:rsidR="001B0071" w:rsidRPr="001B0071" w14:paraId="6CF4C4B3" w14:textId="77777777" w:rsidTr="00C963DE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FC341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257F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0.33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5D09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0.68*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0D2C1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0.33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2070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0.66*</w:t>
            </w:r>
          </w:p>
        </w:tc>
      </w:tr>
      <w:tr w:rsidR="001B0071" w:rsidRPr="001B0071" w14:paraId="38EB0ACC" w14:textId="77777777" w:rsidTr="00C963DE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2B05E07" w14:textId="48CC421D" w:rsidR="00C963DE" w:rsidRPr="001B0071" w:rsidRDefault="00C963DE" w:rsidP="00C963DE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Bronchi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425C8" w14:textId="5F113211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FA516F" w14:textId="7B118E30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0.62*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12D8C2" w14:textId="609AB3F0" w:rsidR="00C963DE" w:rsidRPr="001B0071" w:rsidRDefault="00C963DE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123E40" w14:textId="6B88B043" w:rsidR="00C963DE" w:rsidRPr="001B0071" w:rsidRDefault="001B0071" w:rsidP="00C963DE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0.44*</w:t>
            </w:r>
          </w:p>
        </w:tc>
      </w:tr>
      <w:tr w:rsidR="001B0071" w:rsidRPr="001B0071" w14:paraId="1B201550" w14:textId="77777777" w:rsidTr="00C963DE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2AFE78" w14:textId="43BE295D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Hyperlucenc</w:t>
            </w:r>
            <w:r w:rsidR="005423BF" w:rsidRPr="001B0071">
              <w:rPr>
                <w:rFonts w:ascii="Calibri" w:hAnsi="Calibri" w:cs="Calibri" w:hint="eastAsia"/>
                <w:color w:val="000000" w:themeColor="text1"/>
                <w:sz w:val="24"/>
              </w:rPr>
              <w:t>ies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0E363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023BB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&lt; 0.01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7A3D0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-0.05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4251A" w14:textId="75DED8AC" w:rsidR="00C963DE" w:rsidRPr="001B0071" w:rsidRDefault="001B0071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 w:hint="eastAsia"/>
                <w:color w:val="FF0000"/>
                <w:sz w:val="24"/>
              </w:rPr>
              <w:t>-</w:t>
            </w:r>
            <w:r w:rsidR="00C963DE" w:rsidRPr="001B0071">
              <w:rPr>
                <w:rFonts w:ascii="Calibri" w:hAnsi="Calibri" w:cs="Calibri"/>
                <w:color w:val="000000" w:themeColor="text1"/>
                <w:sz w:val="24"/>
              </w:rPr>
              <w:t>0.10</w:t>
            </w:r>
          </w:p>
        </w:tc>
      </w:tr>
      <w:tr w:rsidR="001B0071" w:rsidRPr="001B0071" w14:paraId="1A60F603" w14:textId="77777777" w:rsidTr="00C963DE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F53DD1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 and bronchi (sum)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66E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0.45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5594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0.75*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E84E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0.45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D47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0.74*</w:t>
            </w:r>
          </w:p>
        </w:tc>
      </w:tr>
      <w:tr w:rsidR="001B0071" w:rsidRPr="001B0071" w14:paraId="58C5989F" w14:textId="77777777" w:rsidTr="00D12D97">
        <w:trPr>
          <w:gridAfter w:val="2"/>
          <w:wAfter w:w="1031" w:type="pct"/>
          <w:trHeight w:val="320"/>
        </w:trPr>
        <w:tc>
          <w:tcPr>
            <w:tcW w:w="19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A9DE5" w14:textId="1B11C7D3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ILD, bronchi and hyperlucenc</w:t>
            </w:r>
            <w:r w:rsidR="005423BF" w:rsidRPr="001B0071">
              <w:rPr>
                <w:rFonts w:ascii="Calibri" w:hAnsi="Calibri" w:cs="Calibri" w:hint="eastAsia"/>
                <w:color w:val="000000" w:themeColor="text1"/>
                <w:sz w:val="24"/>
              </w:rPr>
              <w:t>ies</w:t>
            </w: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 xml:space="preserve"> (sum)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814A3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0.45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C7EC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0.60*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7FEF7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D3AC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0.53*</w:t>
            </w:r>
          </w:p>
        </w:tc>
      </w:tr>
    </w:tbl>
    <w:p w14:paraId="2F7CF6E9" w14:textId="77777777" w:rsidR="00C963DE" w:rsidRPr="001B0071" w:rsidRDefault="00C963DE" w:rsidP="00C963DE">
      <w:pPr>
        <w:jc w:val="left"/>
        <w:rPr>
          <w:rFonts w:ascii="Calibri" w:eastAsia="ＭＳ Ｐゴシック" w:hAnsi="Calibri" w:cs="Calibri"/>
          <w:color w:val="000000" w:themeColor="text1"/>
          <w:kern w:val="0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>AIQCT, artificial intelligence-based quantitative computed tomographic image analysis software; CPI, composite physiologic index; %FVC, the percentage of predicted forced vital capacity; %FEV</w:t>
      </w:r>
      <w:r w:rsidRPr="001B0071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1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>, the percentage of predicted forced expiratory volume in one second; %DLCO, the percentage of predicted diffusing capacity for carbon monoxide; CALIPER, Computer-Aided Lung Informatics for Pathology Evaluation and Rating; ILD, interstitial lung disease</w:t>
      </w:r>
    </w:p>
    <w:p w14:paraId="7CFCABAC" w14:textId="0321B6D8" w:rsidR="006E0B1F" w:rsidRPr="001B0071" w:rsidRDefault="00C963DE" w:rsidP="00C963DE">
      <w:pPr>
        <w:rPr>
          <w:rFonts w:ascii="Calibri" w:hAnsi="Calibri" w:cs="Calibri"/>
          <w:color w:val="000000" w:themeColor="text1"/>
          <w:sz w:val="24"/>
          <w:szCs w:val="24"/>
        </w:rPr>
        <w:sectPr w:rsidR="006E0B1F" w:rsidRPr="001B0071" w:rsidSect="00C963DE">
          <w:pgSz w:w="16820" w:h="11900" w:orient="landscape"/>
          <w:pgMar w:top="1701" w:right="1701" w:bottom="1701" w:left="1985" w:header="851" w:footer="992" w:gutter="0"/>
          <w:cols w:space="720"/>
          <w:docGrid w:type="lines" w:linePitch="360"/>
        </w:sect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>*</w:t>
      </w:r>
      <w:r w:rsidRPr="001B0071">
        <w:rPr>
          <w:rFonts w:ascii="Calibri" w:hAnsi="Calibri" w:cs="Calibri"/>
          <w:i/>
          <w:iCs/>
          <w:color w:val="000000" w:themeColor="text1"/>
          <w:sz w:val="24"/>
          <w:szCs w:val="24"/>
        </w:rPr>
        <w:t>P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 &lt; 0.05; β, regression coefficient; r, </w:t>
      </w:r>
      <w:bookmarkStart w:id="1" w:name="_Hlk156997067"/>
      <w:r w:rsidRPr="001B0071">
        <w:rPr>
          <w:rFonts w:ascii="Calibri" w:hAnsi="Calibri" w:cs="Calibri"/>
          <w:color w:val="000000" w:themeColor="text1"/>
          <w:sz w:val="24"/>
          <w:szCs w:val="24"/>
        </w:rPr>
        <w:t>Pearson’s correlation coefficien</w:t>
      </w:r>
      <w:bookmarkEnd w:id="1"/>
    </w:p>
    <w:p w14:paraId="0452E132" w14:textId="512D1CD2" w:rsidR="00C963DE" w:rsidRPr="001B0071" w:rsidRDefault="00C963DE" w:rsidP="00C963DE">
      <w:pPr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lastRenderedPageBreak/>
        <w:t>Table S</w:t>
      </w:r>
      <w:r w:rsidR="008D1EA8" w:rsidRPr="008D1EA8">
        <w:rPr>
          <w:rFonts w:ascii="Calibri" w:hAnsi="Calibri" w:cs="Calibri" w:hint="eastAsia"/>
          <w:color w:val="FF0000"/>
          <w:sz w:val="24"/>
          <w:szCs w:val="24"/>
        </w:rPr>
        <w:t>2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. Time-dependent ROC </w:t>
      </w:r>
      <w:r w:rsidR="009F5DBB" w:rsidRPr="001B0071">
        <w:rPr>
          <w:rFonts w:ascii="Calibri" w:hAnsi="Calibri" w:cs="Calibri" w:hint="eastAsia"/>
          <w:color w:val="000000" w:themeColor="text1"/>
          <w:sz w:val="24"/>
          <w:szCs w:val="24"/>
        </w:rPr>
        <w:t xml:space="preserve">curve 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>analysis for 24-month and 36-month survival in the first cohort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1408"/>
        <w:gridCol w:w="1423"/>
        <w:gridCol w:w="1405"/>
        <w:gridCol w:w="1405"/>
        <w:gridCol w:w="1408"/>
        <w:gridCol w:w="1423"/>
        <w:gridCol w:w="1406"/>
        <w:gridCol w:w="1406"/>
      </w:tblGrid>
      <w:tr w:rsidR="001B0071" w:rsidRPr="001B0071" w14:paraId="060B3932" w14:textId="77777777" w:rsidTr="00D12D97"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5EA71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56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4FE27E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24-month survival</w:t>
            </w:r>
          </w:p>
        </w:tc>
        <w:tc>
          <w:tcPr>
            <w:tcW w:w="5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B0D5E9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hAnsi="Calibri" w:cs="Calibri"/>
                <w:color w:val="000000" w:themeColor="text1"/>
                <w:sz w:val="24"/>
              </w:rPr>
              <w:t>36-month survival</w:t>
            </w:r>
          </w:p>
        </w:tc>
      </w:tr>
      <w:tr w:rsidR="001B0071" w:rsidRPr="001B0071" w14:paraId="03D24990" w14:textId="77777777" w:rsidTr="00D12D97"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DD5B4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Variable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1C5079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AUC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83C5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Cutoff value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00F0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Sensitivity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E5510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Specificity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243D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AUC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27BA3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Cutoff value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DC38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Sensitivity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3DFE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Specificity</w:t>
            </w:r>
          </w:p>
        </w:tc>
      </w:tr>
      <w:tr w:rsidR="001B0071" w:rsidRPr="001B0071" w14:paraId="7B28CA8F" w14:textId="77777777" w:rsidTr="00D12D97"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5CD136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Original CPI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D2CB6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0.836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D2E10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46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0F8782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CE6861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0.66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874F7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0.845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01712A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5F0A4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1B5F6D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0.75</w:t>
            </w:r>
          </w:p>
        </w:tc>
      </w:tr>
      <w:tr w:rsidR="001B0071" w:rsidRPr="001B0071" w14:paraId="5769B3EE" w14:textId="77777777" w:rsidTr="00D12D97">
        <w:tc>
          <w:tcPr>
            <w:tcW w:w="1840" w:type="dxa"/>
            <w:vAlign w:val="center"/>
            <w:hideMark/>
          </w:tcPr>
          <w:p w14:paraId="66EFDACA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CALIPER-CPI</w:t>
            </w:r>
          </w:p>
        </w:tc>
        <w:tc>
          <w:tcPr>
            <w:tcW w:w="1408" w:type="dxa"/>
            <w:vAlign w:val="center"/>
            <w:hideMark/>
          </w:tcPr>
          <w:p w14:paraId="1AA9678E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0.829</w:t>
            </w:r>
          </w:p>
        </w:tc>
        <w:tc>
          <w:tcPr>
            <w:tcW w:w="1423" w:type="dxa"/>
            <w:vAlign w:val="center"/>
            <w:hideMark/>
          </w:tcPr>
          <w:p w14:paraId="6FF662D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17</w:t>
            </w:r>
          </w:p>
        </w:tc>
        <w:tc>
          <w:tcPr>
            <w:tcW w:w="1405" w:type="dxa"/>
            <w:vAlign w:val="center"/>
            <w:hideMark/>
          </w:tcPr>
          <w:p w14:paraId="5A3AAB0B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0.91</w:t>
            </w:r>
          </w:p>
        </w:tc>
        <w:tc>
          <w:tcPr>
            <w:tcW w:w="1405" w:type="dxa"/>
            <w:vAlign w:val="center"/>
            <w:hideMark/>
          </w:tcPr>
          <w:p w14:paraId="17C0B637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0.67</w:t>
            </w:r>
          </w:p>
        </w:tc>
        <w:tc>
          <w:tcPr>
            <w:tcW w:w="1408" w:type="dxa"/>
            <w:vAlign w:val="center"/>
            <w:hideMark/>
          </w:tcPr>
          <w:p w14:paraId="571B2110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0.841</w:t>
            </w:r>
          </w:p>
        </w:tc>
        <w:tc>
          <w:tcPr>
            <w:tcW w:w="1423" w:type="dxa"/>
            <w:vAlign w:val="center"/>
            <w:hideMark/>
          </w:tcPr>
          <w:p w14:paraId="46D04EC9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17</w:t>
            </w:r>
          </w:p>
        </w:tc>
        <w:tc>
          <w:tcPr>
            <w:tcW w:w="1406" w:type="dxa"/>
            <w:vAlign w:val="center"/>
            <w:hideMark/>
          </w:tcPr>
          <w:p w14:paraId="406B450B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0.83</w:t>
            </w:r>
          </w:p>
        </w:tc>
        <w:tc>
          <w:tcPr>
            <w:tcW w:w="1406" w:type="dxa"/>
            <w:vAlign w:val="center"/>
            <w:hideMark/>
          </w:tcPr>
          <w:p w14:paraId="6E449088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0.77</w:t>
            </w:r>
          </w:p>
        </w:tc>
      </w:tr>
      <w:tr w:rsidR="001B0071" w:rsidRPr="001B0071" w14:paraId="10C74F34" w14:textId="77777777" w:rsidTr="00D12D97">
        <w:tc>
          <w:tcPr>
            <w:tcW w:w="1840" w:type="dxa"/>
            <w:vAlign w:val="center"/>
            <w:hideMark/>
          </w:tcPr>
          <w:p w14:paraId="0D289B7D" w14:textId="77777777" w:rsidR="00C963DE" w:rsidRPr="001B0071" w:rsidRDefault="00C963DE" w:rsidP="00D12D97">
            <w:pPr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kern w:val="24"/>
                <w:sz w:val="24"/>
              </w:rPr>
              <w:t>ILDB-CPI</w:t>
            </w:r>
          </w:p>
        </w:tc>
        <w:tc>
          <w:tcPr>
            <w:tcW w:w="1408" w:type="dxa"/>
            <w:vAlign w:val="center"/>
            <w:hideMark/>
          </w:tcPr>
          <w:p w14:paraId="69E1BEB5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0.834</w:t>
            </w:r>
          </w:p>
        </w:tc>
        <w:tc>
          <w:tcPr>
            <w:tcW w:w="1423" w:type="dxa"/>
            <w:vAlign w:val="center"/>
            <w:hideMark/>
          </w:tcPr>
          <w:p w14:paraId="145E1DB8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15</w:t>
            </w:r>
          </w:p>
        </w:tc>
        <w:tc>
          <w:tcPr>
            <w:tcW w:w="1405" w:type="dxa"/>
            <w:vAlign w:val="center"/>
            <w:hideMark/>
          </w:tcPr>
          <w:p w14:paraId="79A6C7E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0.88</w:t>
            </w:r>
          </w:p>
        </w:tc>
        <w:tc>
          <w:tcPr>
            <w:tcW w:w="1405" w:type="dxa"/>
            <w:vAlign w:val="center"/>
            <w:hideMark/>
          </w:tcPr>
          <w:p w14:paraId="0E4FBB44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0.62</w:t>
            </w:r>
          </w:p>
        </w:tc>
        <w:tc>
          <w:tcPr>
            <w:tcW w:w="1408" w:type="dxa"/>
            <w:vAlign w:val="center"/>
            <w:hideMark/>
          </w:tcPr>
          <w:p w14:paraId="23CFEB28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0.842</w:t>
            </w:r>
          </w:p>
        </w:tc>
        <w:tc>
          <w:tcPr>
            <w:tcW w:w="1423" w:type="dxa"/>
            <w:vAlign w:val="center"/>
            <w:hideMark/>
          </w:tcPr>
          <w:p w14:paraId="7A7D33FF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15</w:t>
            </w:r>
          </w:p>
        </w:tc>
        <w:tc>
          <w:tcPr>
            <w:tcW w:w="1406" w:type="dxa"/>
            <w:vAlign w:val="center"/>
            <w:hideMark/>
          </w:tcPr>
          <w:p w14:paraId="3040AF01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0.87</w:t>
            </w:r>
          </w:p>
        </w:tc>
        <w:tc>
          <w:tcPr>
            <w:tcW w:w="1406" w:type="dxa"/>
            <w:vAlign w:val="center"/>
            <w:hideMark/>
          </w:tcPr>
          <w:p w14:paraId="3C868C76" w14:textId="77777777" w:rsidR="00C963DE" w:rsidRPr="001B0071" w:rsidRDefault="00C963DE" w:rsidP="00D12D97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1B0071">
              <w:rPr>
                <w:rFonts w:ascii="Calibri" w:eastAsia="游ゴシック" w:hAnsi="Calibri" w:cs="Calibri"/>
                <w:color w:val="000000" w:themeColor="text1"/>
                <w:sz w:val="24"/>
              </w:rPr>
              <w:t>0.74</w:t>
            </w:r>
          </w:p>
        </w:tc>
      </w:tr>
    </w:tbl>
    <w:p w14:paraId="114A1A6D" w14:textId="4254FFD5" w:rsidR="00C963DE" w:rsidRPr="001B0071" w:rsidRDefault="00C963DE" w:rsidP="00B25219">
      <w:pPr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>ROC, receiver operating characteristic; AUC, area under the curve; CPI, composite physiological index; CALIPER, Computer-Aided Lung Informatics for Pathology Evaluation and Rating; ILDB, interstitial lung disease and bronchial volumes</w:t>
      </w:r>
    </w:p>
    <w:p w14:paraId="5B052297" w14:textId="77777777" w:rsidR="00C963DE" w:rsidRPr="001B0071" w:rsidRDefault="00C963DE">
      <w:pPr>
        <w:rPr>
          <w:rFonts w:ascii="Calibri" w:hAnsi="Calibri" w:cs="Calibri"/>
          <w:color w:val="000000" w:themeColor="text1"/>
          <w:sz w:val="24"/>
          <w:szCs w:val="24"/>
        </w:rPr>
        <w:sectPr w:rsidR="00C963DE" w:rsidRPr="001B0071" w:rsidSect="00C963DE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3C50C3C9" w14:textId="049D5D92" w:rsidR="00756F2C" w:rsidRPr="001B0071" w:rsidRDefault="00C963DE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lastRenderedPageBreak/>
        <w:t>Figure S1.</w:t>
      </w:r>
    </w:p>
    <w:p w14:paraId="54D44741" w14:textId="3F67D8CF" w:rsidR="00756F2C" w:rsidRPr="001B0071" w:rsidRDefault="00E9765F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7844A50" wp14:editId="7134A9CC">
            <wp:extent cx="8351520" cy="2634615"/>
            <wp:effectExtent l="0" t="0" r="0" b="0"/>
            <wp:docPr id="4033866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7E7D2" w14:textId="00601074" w:rsidR="00756F2C" w:rsidRPr="001B0071" w:rsidRDefault="00756F2C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>C</w:t>
      </w:r>
      <w:r w:rsidR="004E3F4A" w:rsidRPr="001B0071">
        <w:rPr>
          <w:rFonts w:ascii="Calibri" w:hAnsi="Calibri" w:cs="Calibri" w:hint="eastAsia"/>
          <w:color w:val="000000" w:themeColor="text1"/>
          <w:sz w:val="24"/>
          <w:szCs w:val="24"/>
        </w:rPr>
        <w:t>ONSORT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 diagrams of the first and second cohort</w:t>
      </w:r>
      <w:r w:rsidR="003E3367" w:rsidRPr="001B0071">
        <w:rPr>
          <w:rFonts w:ascii="Calibri" w:hAnsi="Calibri" w:cs="Calibri" w:hint="eastAsia"/>
          <w:color w:val="000000" w:themeColor="text1"/>
          <w:sz w:val="24"/>
          <w:szCs w:val="24"/>
        </w:rPr>
        <w:t>s</w:t>
      </w:r>
      <w:r w:rsidRPr="001B0071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7C51C40" w14:textId="77777777" w:rsidR="00756F2C" w:rsidRPr="001B0071" w:rsidRDefault="00756F2C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59AFBF28" w14:textId="77777777" w:rsidR="00756F2C" w:rsidRPr="001B0071" w:rsidRDefault="00756F2C" w:rsidP="00C963DE">
      <w:pPr>
        <w:spacing w:line="480" w:lineRule="auto"/>
        <w:jc w:val="left"/>
        <w:rPr>
          <w:rFonts w:ascii="Calibri" w:hAnsi="Calibri" w:cs="Calibri"/>
          <w:noProof/>
          <w:color w:val="000000" w:themeColor="text1"/>
          <w:sz w:val="24"/>
          <w:szCs w:val="24"/>
        </w:rPr>
        <w:sectPr w:rsidR="00756F2C" w:rsidRPr="001B0071" w:rsidSect="005D1C1D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7F45A2FD" w14:textId="506D0C7D" w:rsidR="00C963DE" w:rsidRPr="001B0071" w:rsidRDefault="00756F2C" w:rsidP="00C963DE">
      <w:pPr>
        <w:spacing w:line="480" w:lineRule="auto"/>
        <w:jc w:val="left"/>
        <w:rPr>
          <w:rFonts w:ascii="Calibri" w:hAnsi="Calibri" w:cs="Calibri"/>
          <w:noProof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noProof/>
          <w:color w:val="000000" w:themeColor="text1"/>
          <w:sz w:val="24"/>
          <w:szCs w:val="24"/>
        </w:rPr>
        <w:lastRenderedPageBreak/>
        <w:t>Figure S2.</w:t>
      </w:r>
    </w:p>
    <w:p w14:paraId="1B42F376" w14:textId="0C9DDB4E" w:rsidR="0051661A" w:rsidRPr="001B0071" w:rsidRDefault="0051661A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inline distT="0" distB="0" distL="0" distR="0" wp14:anchorId="57635746" wp14:editId="4CFA6CAF">
            <wp:extent cx="5400040" cy="3549015"/>
            <wp:effectExtent l="0" t="0" r="0" b="0"/>
            <wp:docPr id="111237918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5091B" w14:textId="77777777" w:rsidR="00C963DE" w:rsidRPr="001B0071" w:rsidRDefault="00C963DE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Time-dependent ROC curves in the discovery cohort. (A-C) ROC analysis for 24-month survival. (D-F) ROC analysis for 36-month survival. (A, D) ROC curves based on the original CPI. (B, E) ROC curves based on CALIPER-CPI. (C, F) ROC curves based on ILDB-CPI. </w:t>
      </w:r>
      <w:bookmarkStart w:id="2" w:name="_Hlk157002387"/>
      <w:r w:rsidRPr="001B0071">
        <w:rPr>
          <w:rFonts w:ascii="Calibri" w:hAnsi="Calibri" w:cs="Calibri"/>
          <w:color w:val="000000" w:themeColor="text1"/>
          <w:sz w:val="24"/>
          <w:szCs w:val="24"/>
        </w:rPr>
        <w:t>ROC, receiver operating characteristic</w:t>
      </w:r>
      <w:bookmarkEnd w:id="2"/>
      <w:r w:rsidRPr="001B0071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bookmarkStart w:id="3" w:name="_Hlk157002308"/>
      <w:r w:rsidRPr="001B0071">
        <w:rPr>
          <w:rFonts w:ascii="Calibri" w:hAnsi="Calibri" w:cs="Calibri"/>
          <w:color w:val="000000" w:themeColor="text1"/>
          <w:sz w:val="24"/>
          <w:szCs w:val="24"/>
        </w:rPr>
        <w:t>CPI, composite physiological index; CALIPER, Computer-Aided Lung Informatics for Pathology Evaluation and Rating; ILDB, interstitial lung disease and bronchial volumes</w:t>
      </w:r>
      <w:bookmarkEnd w:id="3"/>
      <w:r w:rsidRPr="001B0071">
        <w:rPr>
          <w:rFonts w:ascii="Calibri" w:hAnsi="Calibri" w:cs="Calibri"/>
          <w:color w:val="000000" w:themeColor="text1"/>
          <w:sz w:val="24"/>
          <w:szCs w:val="24"/>
        </w:rPr>
        <w:t>; AUC, area under the curve</w:t>
      </w:r>
    </w:p>
    <w:p w14:paraId="036B4002" w14:textId="77777777" w:rsidR="00C963DE" w:rsidRPr="001B0071" w:rsidRDefault="00C963DE" w:rsidP="00C963DE">
      <w:pPr>
        <w:spacing w:line="48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284C84E" w14:textId="77777777" w:rsidR="00C963DE" w:rsidRPr="001B0071" w:rsidRDefault="00C963DE">
      <w:pPr>
        <w:rPr>
          <w:rFonts w:ascii="Calibri" w:hAnsi="Calibri" w:cs="Calibri"/>
          <w:color w:val="000000" w:themeColor="text1"/>
          <w:sz w:val="24"/>
          <w:szCs w:val="24"/>
        </w:rPr>
      </w:pPr>
    </w:p>
    <w:sectPr w:rsidR="00C963DE" w:rsidRPr="001B0071" w:rsidSect="00C963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75D10" w14:textId="77777777" w:rsidR="00E100F2" w:rsidRDefault="00E100F2" w:rsidP="00C963DE">
      <w:r>
        <w:separator/>
      </w:r>
    </w:p>
  </w:endnote>
  <w:endnote w:type="continuationSeparator" w:id="0">
    <w:p w14:paraId="233AE5B3" w14:textId="77777777" w:rsidR="00E100F2" w:rsidRDefault="00E100F2" w:rsidP="00C9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D367A" w14:textId="77777777" w:rsidR="00E100F2" w:rsidRDefault="00E100F2" w:rsidP="00C963DE">
      <w:r>
        <w:separator/>
      </w:r>
    </w:p>
  </w:footnote>
  <w:footnote w:type="continuationSeparator" w:id="0">
    <w:p w14:paraId="2DA3226B" w14:textId="77777777" w:rsidR="00E100F2" w:rsidRDefault="00E100F2" w:rsidP="00C9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25"/>
    <w:rsid w:val="00002B69"/>
    <w:rsid w:val="00063A88"/>
    <w:rsid w:val="00085A0D"/>
    <w:rsid w:val="000B573D"/>
    <w:rsid w:val="000C160B"/>
    <w:rsid w:val="000F4B0E"/>
    <w:rsid w:val="001668C4"/>
    <w:rsid w:val="001B0071"/>
    <w:rsid w:val="001D14F1"/>
    <w:rsid w:val="001D27B7"/>
    <w:rsid w:val="002C31BD"/>
    <w:rsid w:val="002D09E3"/>
    <w:rsid w:val="003E3367"/>
    <w:rsid w:val="00451033"/>
    <w:rsid w:val="004601C5"/>
    <w:rsid w:val="004B6502"/>
    <w:rsid w:val="004E3F4A"/>
    <w:rsid w:val="0051661A"/>
    <w:rsid w:val="0053715D"/>
    <w:rsid w:val="005423BF"/>
    <w:rsid w:val="00592B8F"/>
    <w:rsid w:val="005C1435"/>
    <w:rsid w:val="005C5E83"/>
    <w:rsid w:val="005D1C1D"/>
    <w:rsid w:val="00615B87"/>
    <w:rsid w:val="00670B34"/>
    <w:rsid w:val="006B2795"/>
    <w:rsid w:val="006C4D96"/>
    <w:rsid w:val="006E0B1F"/>
    <w:rsid w:val="00756F2C"/>
    <w:rsid w:val="00770125"/>
    <w:rsid w:val="00797EA3"/>
    <w:rsid w:val="007A5565"/>
    <w:rsid w:val="007A7D57"/>
    <w:rsid w:val="007F3F1E"/>
    <w:rsid w:val="00837687"/>
    <w:rsid w:val="008D1EA8"/>
    <w:rsid w:val="0090550F"/>
    <w:rsid w:val="00923434"/>
    <w:rsid w:val="009F5DBB"/>
    <w:rsid w:val="00A11797"/>
    <w:rsid w:val="00A75EFF"/>
    <w:rsid w:val="00A944D5"/>
    <w:rsid w:val="00AB52C7"/>
    <w:rsid w:val="00AB64BB"/>
    <w:rsid w:val="00B25219"/>
    <w:rsid w:val="00B768C8"/>
    <w:rsid w:val="00BD6690"/>
    <w:rsid w:val="00C92C09"/>
    <w:rsid w:val="00C963DE"/>
    <w:rsid w:val="00CA6EE6"/>
    <w:rsid w:val="00CC16D3"/>
    <w:rsid w:val="00CE0C33"/>
    <w:rsid w:val="00CF25B2"/>
    <w:rsid w:val="00D4331A"/>
    <w:rsid w:val="00E100F2"/>
    <w:rsid w:val="00E9765F"/>
    <w:rsid w:val="00E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14BC9"/>
  <w15:chartTrackingRefBased/>
  <w15:docId w15:val="{EBE50B88-1B6A-41A3-8E78-5FB73811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3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3DE"/>
  </w:style>
  <w:style w:type="paragraph" w:styleId="a5">
    <w:name w:val="footer"/>
    <w:basedOn w:val="a"/>
    <w:link w:val="a6"/>
    <w:uiPriority w:val="99"/>
    <w:unhideWhenUsed/>
    <w:rsid w:val="00C963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63DE"/>
  </w:style>
  <w:style w:type="paragraph" w:styleId="Web">
    <w:name w:val="Normal (Web)"/>
    <w:basedOn w:val="a"/>
    <w:uiPriority w:val="99"/>
    <w:unhideWhenUsed/>
    <w:rsid w:val="00C963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C963D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963D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963D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9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michihiro uyama</dc:creator>
  <cp:keywords/>
  <dc:description/>
  <cp:lastModifiedBy>michihiro uyama</cp:lastModifiedBy>
  <cp:revision>6</cp:revision>
  <dcterms:created xsi:type="dcterms:W3CDTF">2024-11-13T07:20:00Z</dcterms:created>
  <dcterms:modified xsi:type="dcterms:W3CDTF">2024-11-27T14:38:00Z</dcterms:modified>
</cp:coreProperties>
</file>