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39B104" w14:textId="404343D1" w:rsidR="00B85F86" w:rsidRPr="00E02C5F" w:rsidRDefault="00B85F86" w:rsidP="003E381F">
      <w:pPr>
        <w:spacing w:line="480" w:lineRule="auto"/>
        <w:jc w:val="center"/>
        <w:rPr>
          <w:rFonts w:ascii="Times New Roman" w:hAnsi="Times New Roman" w:cs="Times New Roman"/>
          <w:b/>
          <w:bCs/>
          <w:sz w:val="28"/>
          <w:szCs w:val="32"/>
        </w:rPr>
      </w:pPr>
      <w:r w:rsidRPr="00E02C5F">
        <w:rPr>
          <w:rFonts w:ascii="Times New Roman" w:hAnsi="Times New Roman" w:cs="Times New Roman"/>
          <w:b/>
          <w:bCs/>
          <w:sz w:val="28"/>
          <w:szCs w:val="32"/>
        </w:rPr>
        <w:t>Supplemental Materials</w:t>
      </w:r>
    </w:p>
    <w:p w14:paraId="751FC261" w14:textId="03A5156F" w:rsidR="00E02C5F" w:rsidRDefault="00E02C5F" w:rsidP="003E381F">
      <w:pPr>
        <w:spacing w:line="480" w:lineRule="auto"/>
        <w:rPr>
          <w:rFonts w:ascii="Times New Roman" w:hAnsi="Times New Roman" w:cs="Times New Roman"/>
          <w:b/>
          <w:bCs/>
          <w:sz w:val="28"/>
          <w:szCs w:val="32"/>
        </w:rPr>
      </w:pPr>
      <w:r w:rsidRPr="00E02C5F">
        <w:rPr>
          <w:rFonts w:ascii="Times New Roman" w:hAnsi="Times New Roman" w:cs="Times New Roman" w:hint="eastAsia"/>
          <w:b/>
          <w:bCs/>
          <w:sz w:val="28"/>
          <w:szCs w:val="32"/>
        </w:rPr>
        <w:t>Supplementary Figures.</w:t>
      </w:r>
    </w:p>
    <w:p w14:paraId="18FFC018" w14:textId="49FDD00A" w:rsidR="00B31414" w:rsidRDefault="009D03C2" w:rsidP="003E381F">
      <w:pPr>
        <w:spacing w:line="480" w:lineRule="auto"/>
        <w:rPr>
          <w:rFonts w:ascii="Times New Roman" w:hAnsi="Times New Roman" w:cs="Times New Roman"/>
          <w:b/>
          <w:bCs/>
          <w:sz w:val="28"/>
          <w:szCs w:val="32"/>
        </w:rPr>
      </w:pPr>
      <w:r w:rsidRPr="00E02C5F">
        <w:rPr>
          <w:rFonts w:ascii="Times New Roman" w:hAnsi="Times New Roman" w:cs="Times New Roman" w:hint="eastAsia"/>
          <w:b/>
          <w:bCs/>
          <w:sz w:val="28"/>
          <w:szCs w:val="32"/>
        </w:rPr>
        <w:t>Supplementary</w:t>
      </w:r>
      <w:r>
        <w:rPr>
          <w:rFonts w:ascii="Times New Roman" w:hAnsi="Times New Roman" w:cs="Times New Roman" w:hint="eastAsia"/>
          <w:b/>
          <w:bCs/>
          <w:sz w:val="28"/>
          <w:szCs w:val="32"/>
        </w:rPr>
        <w:t xml:space="preserve"> </w:t>
      </w:r>
      <w:r w:rsidR="00B31414">
        <w:rPr>
          <w:rFonts w:ascii="Times New Roman" w:hAnsi="Times New Roman" w:cs="Times New Roman" w:hint="eastAsia"/>
          <w:b/>
          <w:bCs/>
          <w:sz w:val="28"/>
          <w:szCs w:val="32"/>
        </w:rPr>
        <w:t>Table 1</w:t>
      </w:r>
    </w:p>
    <w:p w14:paraId="4D0836A7" w14:textId="3B2287F0" w:rsidR="00B31414" w:rsidRPr="00B31414" w:rsidRDefault="00B31414" w:rsidP="003E381F">
      <w:pPr>
        <w:spacing w:line="480" w:lineRule="auto"/>
        <w:rPr>
          <w:rFonts w:ascii="Times New Roman" w:hAnsi="Times New Roman" w:cs="Times New Roman"/>
          <w:b/>
          <w:bCs/>
          <w:sz w:val="28"/>
          <w:szCs w:val="32"/>
        </w:rPr>
      </w:pPr>
      <w:r>
        <w:rPr>
          <w:rFonts w:ascii="Times New Roman" w:hAnsi="Times New Roman" w:cs="Times New Roman"/>
          <w:b/>
          <w:bCs/>
          <w:noProof/>
          <w:sz w:val="28"/>
          <w:szCs w:val="32"/>
        </w:rPr>
        <w:drawing>
          <wp:inline distT="0" distB="0" distL="0" distR="0" wp14:anchorId="1519C4B4" wp14:editId="40594115">
            <wp:extent cx="5268595" cy="4396105"/>
            <wp:effectExtent l="0" t="0" r="0" b="0"/>
            <wp:docPr id="90498374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68595" cy="4396105"/>
                    </a:xfrm>
                    <a:prstGeom prst="rect">
                      <a:avLst/>
                    </a:prstGeom>
                    <a:noFill/>
                    <a:ln>
                      <a:noFill/>
                    </a:ln>
                  </pic:spPr>
                </pic:pic>
              </a:graphicData>
            </a:graphic>
          </wp:inline>
        </w:drawing>
      </w:r>
    </w:p>
    <w:p w14:paraId="2057A7FA" w14:textId="3B2FAE4D" w:rsidR="00B85F86" w:rsidRDefault="00B85F86" w:rsidP="003E381F">
      <w:pPr>
        <w:spacing w:line="480" w:lineRule="auto"/>
        <w:rPr>
          <w:rFonts w:ascii="Times New Roman" w:hAnsi="Times New Roman" w:cs="Times New Roman"/>
          <w:b/>
          <w:bCs/>
          <w:sz w:val="24"/>
          <w:szCs w:val="28"/>
        </w:rPr>
      </w:pPr>
      <w:r>
        <w:rPr>
          <w:rFonts w:ascii="Times New Roman" w:hAnsi="Times New Roman" w:cs="Times New Roman" w:hint="eastAsia"/>
          <w:b/>
          <w:bCs/>
          <w:noProof/>
          <w:sz w:val="24"/>
          <w:szCs w:val="28"/>
        </w:rPr>
        <w:lastRenderedPageBreak/>
        <w:drawing>
          <wp:inline distT="0" distB="0" distL="0" distR="0" wp14:anchorId="5569A4A4" wp14:editId="1494A022">
            <wp:extent cx="5266690" cy="8015605"/>
            <wp:effectExtent l="0" t="0" r="0" b="0"/>
            <wp:docPr id="96735932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hqprint">
                      <a:extLst>
                        <a:ext uri="{28A0092B-C50C-407E-A947-70E740481C1C}">
                          <a14:useLocalDpi xmlns:a14="http://schemas.microsoft.com/office/drawing/2010/main" val="0"/>
                        </a:ext>
                      </a:extLst>
                    </a:blip>
                    <a:srcRect/>
                    <a:stretch>
                      <a:fillRect/>
                    </a:stretch>
                  </pic:blipFill>
                  <pic:spPr bwMode="auto">
                    <a:xfrm>
                      <a:off x="0" y="0"/>
                      <a:ext cx="5266690" cy="8015605"/>
                    </a:xfrm>
                    <a:prstGeom prst="rect">
                      <a:avLst/>
                    </a:prstGeom>
                    <a:noFill/>
                    <a:ln>
                      <a:noFill/>
                    </a:ln>
                  </pic:spPr>
                </pic:pic>
              </a:graphicData>
            </a:graphic>
          </wp:inline>
        </w:drawing>
      </w:r>
    </w:p>
    <w:p w14:paraId="4F69C303" w14:textId="5838B52F" w:rsidR="00E02C5F" w:rsidRPr="00E02C5F" w:rsidRDefault="00E02C5F" w:rsidP="003E381F">
      <w:pPr>
        <w:spacing w:line="480" w:lineRule="auto"/>
        <w:rPr>
          <w:rFonts w:ascii="Times New Roman" w:hAnsi="Times New Roman" w:cs="Times New Roman"/>
          <w:b/>
          <w:bCs/>
          <w:sz w:val="28"/>
          <w:szCs w:val="32"/>
        </w:rPr>
      </w:pPr>
      <w:r w:rsidRPr="00E02C5F">
        <w:rPr>
          <w:rFonts w:ascii="Times New Roman" w:hAnsi="Times New Roman" w:cs="Times New Roman" w:hint="eastAsia"/>
          <w:b/>
          <w:bCs/>
          <w:sz w:val="28"/>
          <w:szCs w:val="32"/>
        </w:rPr>
        <w:t xml:space="preserve">Supplementary Figure 1 Overexpression of EGLN3 promotes endothelial cell proliferation and migration. </w:t>
      </w:r>
      <w:r w:rsidRPr="00E02C5F">
        <w:rPr>
          <w:rFonts w:ascii="Times New Roman" w:hAnsi="Times New Roman" w:cs="Times New Roman" w:hint="eastAsia"/>
          <w:sz w:val="28"/>
          <w:szCs w:val="32"/>
        </w:rPr>
        <w:t xml:space="preserve">(A) Verification of the </w:t>
      </w:r>
      <w:r w:rsidRPr="00E02C5F">
        <w:rPr>
          <w:rFonts w:ascii="Times New Roman" w:hAnsi="Times New Roman" w:cs="Times New Roman" w:hint="eastAsia"/>
          <w:sz w:val="28"/>
          <w:szCs w:val="32"/>
        </w:rPr>
        <w:lastRenderedPageBreak/>
        <w:t>efficiency of EGLN3 overexpression. (B) Cell proliferation curves for various treatment groups. (C) Assessment of cell proliferation ability across different treatment groups, with red indicating the number of proliferating cells.</w:t>
      </w:r>
      <w:r w:rsidR="00795CAA">
        <w:rPr>
          <w:rFonts w:ascii="Times New Roman" w:hAnsi="Times New Roman" w:cs="Times New Roman" w:hint="eastAsia"/>
          <w:sz w:val="28"/>
          <w:szCs w:val="32"/>
        </w:rPr>
        <w:t xml:space="preserve"> </w:t>
      </w:r>
      <w:r w:rsidR="00795CAA">
        <w:rPr>
          <w:rFonts w:ascii="Times New Roman" w:hAnsi="Times New Roman" w:cs="Times New Roman"/>
          <w:sz w:val="28"/>
          <w:szCs w:val="32"/>
        </w:rPr>
        <w:t>B</w:t>
      </w:r>
      <w:r w:rsidR="00795CAA">
        <w:rPr>
          <w:rFonts w:ascii="Times New Roman" w:hAnsi="Times New Roman" w:cs="Times New Roman" w:hint="eastAsia"/>
          <w:sz w:val="28"/>
          <w:szCs w:val="32"/>
        </w:rPr>
        <w:t>ar 100</w:t>
      </w:r>
      <w:r w:rsidR="00795CAA">
        <w:rPr>
          <w:rFonts w:ascii="Times New Roman" w:hAnsi="Times New Roman" w:cs="Times New Roman" w:hint="eastAsia"/>
          <w:sz w:val="28"/>
          <w:szCs w:val="32"/>
        </w:rPr>
        <w:t>μ</w:t>
      </w:r>
      <w:r w:rsidR="00795CAA">
        <w:rPr>
          <w:rFonts w:ascii="Times New Roman" w:hAnsi="Times New Roman" w:cs="Times New Roman" w:hint="eastAsia"/>
          <w:sz w:val="28"/>
          <w:szCs w:val="32"/>
        </w:rPr>
        <w:t>m.</w:t>
      </w:r>
      <w:r w:rsidRPr="00E02C5F">
        <w:rPr>
          <w:rFonts w:ascii="Times New Roman" w:hAnsi="Times New Roman" w:cs="Times New Roman" w:hint="eastAsia"/>
          <w:sz w:val="28"/>
          <w:szCs w:val="32"/>
        </w:rPr>
        <w:t xml:space="preserve"> (D) Measurement of cell migration distance among treatment groups at 0 and 12 hours.</w:t>
      </w:r>
      <w:r w:rsidR="00795CAA">
        <w:rPr>
          <w:rFonts w:ascii="Times New Roman" w:hAnsi="Times New Roman" w:cs="Times New Roman" w:hint="eastAsia"/>
          <w:sz w:val="28"/>
          <w:szCs w:val="32"/>
        </w:rPr>
        <w:t xml:space="preserve"> </w:t>
      </w:r>
      <w:r w:rsidR="00795CAA">
        <w:rPr>
          <w:rFonts w:ascii="Times New Roman" w:hAnsi="Times New Roman" w:cs="Times New Roman"/>
          <w:sz w:val="28"/>
          <w:szCs w:val="32"/>
        </w:rPr>
        <w:t>B</w:t>
      </w:r>
      <w:r w:rsidR="00795CAA">
        <w:rPr>
          <w:rFonts w:ascii="Times New Roman" w:hAnsi="Times New Roman" w:cs="Times New Roman" w:hint="eastAsia"/>
          <w:sz w:val="28"/>
          <w:szCs w:val="32"/>
        </w:rPr>
        <w:t>ar 200</w:t>
      </w:r>
      <w:r w:rsidR="00795CAA">
        <w:rPr>
          <w:rFonts w:ascii="Times New Roman" w:hAnsi="Times New Roman" w:cs="Times New Roman" w:hint="eastAsia"/>
          <w:sz w:val="28"/>
          <w:szCs w:val="32"/>
        </w:rPr>
        <w:t>μ</w:t>
      </w:r>
      <w:r w:rsidR="00795CAA">
        <w:rPr>
          <w:rFonts w:ascii="Times New Roman" w:hAnsi="Times New Roman" w:cs="Times New Roman" w:hint="eastAsia"/>
          <w:sz w:val="28"/>
          <w:szCs w:val="32"/>
        </w:rPr>
        <w:t>m.</w:t>
      </w:r>
      <w:r w:rsidRPr="00E02C5F">
        <w:rPr>
          <w:rFonts w:ascii="Times New Roman" w:hAnsi="Times New Roman" w:cs="Times New Roman" w:hint="eastAsia"/>
          <w:sz w:val="28"/>
          <w:szCs w:val="32"/>
        </w:rPr>
        <w:t xml:space="preserve"> (E) Comparison of the number of cell migrations between different treatment groups.</w:t>
      </w:r>
      <w:r w:rsidR="00795CAA">
        <w:rPr>
          <w:rFonts w:ascii="Times New Roman" w:hAnsi="Times New Roman" w:cs="Times New Roman" w:hint="eastAsia"/>
          <w:sz w:val="28"/>
          <w:szCs w:val="32"/>
        </w:rPr>
        <w:t xml:space="preserve"> </w:t>
      </w:r>
      <w:r w:rsidR="00795CAA">
        <w:rPr>
          <w:rFonts w:ascii="Times New Roman" w:hAnsi="Times New Roman" w:cs="Times New Roman"/>
          <w:sz w:val="28"/>
          <w:szCs w:val="32"/>
        </w:rPr>
        <w:t>B</w:t>
      </w:r>
      <w:r w:rsidR="00795CAA">
        <w:rPr>
          <w:rFonts w:ascii="Times New Roman" w:hAnsi="Times New Roman" w:cs="Times New Roman" w:hint="eastAsia"/>
          <w:sz w:val="28"/>
          <w:szCs w:val="32"/>
        </w:rPr>
        <w:t>ar 50</w:t>
      </w:r>
      <w:r w:rsidR="00795CAA">
        <w:rPr>
          <w:rFonts w:ascii="Times New Roman" w:hAnsi="Times New Roman" w:cs="Times New Roman" w:hint="eastAsia"/>
          <w:sz w:val="28"/>
          <w:szCs w:val="32"/>
        </w:rPr>
        <w:t>μ</w:t>
      </w:r>
      <w:r w:rsidR="00795CAA">
        <w:rPr>
          <w:rFonts w:ascii="Times New Roman" w:hAnsi="Times New Roman" w:cs="Times New Roman" w:hint="eastAsia"/>
          <w:sz w:val="28"/>
          <w:szCs w:val="32"/>
        </w:rPr>
        <w:t xml:space="preserve">m. </w:t>
      </w:r>
      <w:r w:rsidRPr="00E02C5F">
        <w:rPr>
          <w:rFonts w:ascii="Times New Roman" w:hAnsi="Times New Roman" w:cs="Times New Roman"/>
          <w:i/>
          <w:iCs/>
          <w:sz w:val="24"/>
          <w:szCs w:val="24"/>
          <w:vertAlign w:val="superscript"/>
        </w:rPr>
        <w:t xml:space="preserve"> </w:t>
      </w:r>
      <w:r w:rsidRPr="00B32DC2">
        <w:rPr>
          <w:rFonts w:ascii="Times New Roman" w:hAnsi="Times New Roman" w:cs="Times New Roman"/>
          <w:i/>
          <w:iCs/>
          <w:sz w:val="24"/>
          <w:szCs w:val="24"/>
          <w:vertAlign w:val="superscript"/>
        </w:rPr>
        <w:t>*</w:t>
      </w:r>
      <w:r w:rsidRPr="00B32DC2">
        <w:rPr>
          <w:rFonts w:ascii="Times New Roman" w:hAnsi="Times New Roman" w:cs="Times New Roman"/>
          <w:i/>
          <w:iCs/>
          <w:sz w:val="24"/>
          <w:szCs w:val="24"/>
        </w:rPr>
        <w:t xml:space="preserve">P &lt; </w:t>
      </w:r>
      <w:r w:rsidRPr="00B32DC2">
        <w:rPr>
          <w:rFonts w:ascii="Times New Roman" w:hAnsi="Times New Roman" w:cs="Times New Roman"/>
          <w:sz w:val="24"/>
          <w:szCs w:val="24"/>
        </w:rPr>
        <w:t>0.0</w:t>
      </w:r>
      <w:r>
        <w:rPr>
          <w:rFonts w:ascii="Times New Roman" w:hAnsi="Times New Roman" w:cs="Times New Roman" w:hint="eastAsia"/>
          <w:sz w:val="24"/>
          <w:szCs w:val="24"/>
        </w:rPr>
        <w:t xml:space="preserve">5, </w:t>
      </w:r>
      <w:r w:rsidRPr="00B32DC2">
        <w:rPr>
          <w:rFonts w:ascii="Times New Roman" w:hAnsi="Times New Roman" w:cs="Times New Roman"/>
          <w:i/>
          <w:iCs/>
          <w:sz w:val="24"/>
          <w:szCs w:val="24"/>
          <w:vertAlign w:val="superscript"/>
        </w:rPr>
        <w:t>**</w:t>
      </w:r>
      <w:r w:rsidRPr="00B32DC2">
        <w:rPr>
          <w:rFonts w:ascii="Times New Roman" w:hAnsi="Times New Roman" w:cs="Times New Roman"/>
          <w:i/>
          <w:iCs/>
          <w:sz w:val="24"/>
          <w:szCs w:val="24"/>
        </w:rPr>
        <w:t xml:space="preserve">P &lt; </w:t>
      </w:r>
      <w:r w:rsidRPr="00B32DC2">
        <w:rPr>
          <w:rFonts w:ascii="Times New Roman" w:hAnsi="Times New Roman" w:cs="Times New Roman"/>
          <w:sz w:val="24"/>
          <w:szCs w:val="24"/>
        </w:rPr>
        <w:t>0.01</w:t>
      </w:r>
      <w:r>
        <w:rPr>
          <w:rFonts w:ascii="Times New Roman" w:hAnsi="Times New Roman" w:cs="Times New Roman" w:hint="eastAsia"/>
          <w:sz w:val="24"/>
          <w:szCs w:val="24"/>
        </w:rPr>
        <w:t>,</w:t>
      </w:r>
      <w:r w:rsidRPr="00472EE9">
        <w:rPr>
          <w:rFonts w:ascii="Times New Roman" w:hAnsi="Times New Roman" w:cs="Times New Roman"/>
          <w:i/>
          <w:iCs/>
          <w:sz w:val="24"/>
          <w:szCs w:val="24"/>
          <w:vertAlign w:val="superscript"/>
        </w:rPr>
        <w:t xml:space="preserve"> </w:t>
      </w:r>
      <w:r w:rsidRPr="00B32DC2">
        <w:rPr>
          <w:rFonts w:ascii="Times New Roman" w:hAnsi="Times New Roman" w:cs="Times New Roman"/>
          <w:i/>
          <w:iCs/>
          <w:sz w:val="24"/>
          <w:szCs w:val="24"/>
          <w:vertAlign w:val="superscript"/>
        </w:rPr>
        <w:t>***</w:t>
      </w:r>
      <w:r w:rsidRPr="00B32DC2">
        <w:rPr>
          <w:rFonts w:ascii="Times New Roman" w:hAnsi="Times New Roman" w:cs="Times New Roman"/>
          <w:i/>
          <w:iCs/>
          <w:sz w:val="24"/>
          <w:szCs w:val="24"/>
        </w:rPr>
        <w:t xml:space="preserve">P &lt; </w:t>
      </w:r>
      <w:r w:rsidRPr="00B32DC2">
        <w:rPr>
          <w:rFonts w:ascii="Times New Roman" w:hAnsi="Times New Roman" w:cs="Times New Roman"/>
          <w:sz w:val="24"/>
          <w:szCs w:val="24"/>
        </w:rPr>
        <w:t>0.001</w:t>
      </w:r>
    </w:p>
    <w:p w14:paraId="71E1C990" w14:textId="04B1DDD8" w:rsidR="00B85F86" w:rsidRDefault="00B85F86" w:rsidP="003E381F">
      <w:pPr>
        <w:spacing w:line="480" w:lineRule="auto"/>
        <w:rPr>
          <w:rFonts w:ascii="Times New Roman" w:hAnsi="Times New Roman" w:cs="Times New Roman"/>
          <w:b/>
          <w:bCs/>
          <w:sz w:val="24"/>
          <w:szCs w:val="28"/>
        </w:rPr>
      </w:pPr>
      <w:r>
        <w:rPr>
          <w:rFonts w:ascii="Times New Roman" w:hAnsi="Times New Roman" w:cs="Times New Roman"/>
          <w:b/>
          <w:bCs/>
          <w:noProof/>
          <w:sz w:val="24"/>
          <w:szCs w:val="28"/>
        </w:rPr>
        <w:drawing>
          <wp:inline distT="0" distB="0" distL="0" distR="0" wp14:anchorId="15A18548" wp14:editId="788800D3">
            <wp:extent cx="5272405" cy="4577715"/>
            <wp:effectExtent l="0" t="0" r="0" b="0"/>
            <wp:docPr id="14088391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hqprint">
                      <a:extLst>
                        <a:ext uri="{28A0092B-C50C-407E-A947-70E740481C1C}">
                          <a14:useLocalDpi xmlns:a14="http://schemas.microsoft.com/office/drawing/2010/main" val="0"/>
                        </a:ext>
                      </a:extLst>
                    </a:blip>
                    <a:srcRect/>
                    <a:stretch>
                      <a:fillRect/>
                    </a:stretch>
                  </pic:blipFill>
                  <pic:spPr bwMode="auto">
                    <a:xfrm>
                      <a:off x="0" y="0"/>
                      <a:ext cx="5272405" cy="4577715"/>
                    </a:xfrm>
                    <a:prstGeom prst="rect">
                      <a:avLst/>
                    </a:prstGeom>
                    <a:noFill/>
                    <a:ln>
                      <a:noFill/>
                    </a:ln>
                  </pic:spPr>
                </pic:pic>
              </a:graphicData>
            </a:graphic>
          </wp:inline>
        </w:drawing>
      </w:r>
    </w:p>
    <w:p w14:paraId="172DDE9E" w14:textId="2B439211" w:rsidR="00E02C5F" w:rsidRPr="0056306B" w:rsidRDefault="00E02C5F" w:rsidP="003E381F">
      <w:pPr>
        <w:spacing w:line="480" w:lineRule="auto"/>
        <w:rPr>
          <w:rFonts w:ascii="Times New Roman" w:hAnsi="Times New Roman" w:cs="Times New Roman"/>
          <w:b/>
          <w:bCs/>
          <w:sz w:val="28"/>
          <w:szCs w:val="32"/>
        </w:rPr>
      </w:pPr>
      <w:r w:rsidRPr="0056306B">
        <w:rPr>
          <w:rFonts w:ascii="Times New Roman" w:hAnsi="Times New Roman" w:cs="Times New Roman" w:hint="eastAsia"/>
          <w:b/>
          <w:bCs/>
          <w:sz w:val="28"/>
          <w:szCs w:val="32"/>
        </w:rPr>
        <w:t>Supplementary Figure 2 Overexpression of EGLN3 promotes the activation of PI3K/AKT and MEK/ERK signaling pathways.</w:t>
      </w:r>
      <w:r w:rsidRPr="0056306B">
        <w:rPr>
          <w:rFonts w:ascii="Times New Roman" w:hAnsi="Times New Roman" w:cs="Times New Roman" w:hint="eastAsia"/>
          <w:sz w:val="28"/>
          <w:szCs w:val="32"/>
        </w:rPr>
        <w:t xml:space="preserve"> </w:t>
      </w:r>
      <w:r w:rsidR="0056306B" w:rsidRPr="0056306B">
        <w:rPr>
          <w:rFonts w:ascii="Times New Roman" w:hAnsi="Times New Roman" w:cs="Times New Roman" w:hint="eastAsia"/>
          <w:sz w:val="28"/>
          <w:szCs w:val="32"/>
        </w:rPr>
        <w:t xml:space="preserve">(A) Activation of the PI3K/AKT signaling pathway across various treatment </w:t>
      </w:r>
      <w:r w:rsidR="0056306B" w:rsidRPr="0056306B">
        <w:rPr>
          <w:rFonts w:ascii="Times New Roman" w:hAnsi="Times New Roman" w:cs="Times New Roman" w:hint="eastAsia"/>
          <w:sz w:val="28"/>
          <w:szCs w:val="32"/>
        </w:rPr>
        <w:lastRenderedPageBreak/>
        <w:t>groups. (B) Activation of the MEK/ERK signaling pathway across different treatment groups.</w:t>
      </w:r>
      <w:r w:rsidR="00795CAA" w:rsidRPr="00E02C5F">
        <w:rPr>
          <w:rFonts w:ascii="Times New Roman" w:hAnsi="Times New Roman" w:cs="Times New Roman"/>
          <w:i/>
          <w:iCs/>
          <w:sz w:val="24"/>
          <w:szCs w:val="24"/>
          <w:vertAlign w:val="superscript"/>
        </w:rPr>
        <w:t xml:space="preserve">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w:t>
      </w:r>
      <w:r w:rsidR="00795CAA">
        <w:rPr>
          <w:rFonts w:ascii="Times New Roman" w:hAnsi="Times New Roman" w:cs="Times New Roman" w:hint="eastAsia"/>
          <w:sz w:val="24"/>
          <w:szCs w:val="24"/>
        </w:rPr>
        <w:t xml:space="preserve">5,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0.01</w:t>
      </w:r>
      <w:r w:rsidR="00795CAA">
        <w:rPr>
          <w:rFonts w:ascii="Times New Roman" w:hAnsi="Times New Roman" w:cs="Times New Roman" w:hint="eastAsia"/>
          <w:sz w:val="24"/>
          <w:szCs w:val="24"/>
        </w:rPr>
        <w:t>,</w:t>
      </w:r>
      <w:r w:rsidR="00795CAA" w:rsidRPr="00472EE9">
        <w:rPr>
          <w:rFonts w:ascii="Times New Roman" w:hAnsi="Times New Roman" w:cs="Times New Roman"/>
          <w:i/>
          <w:iCs/>
          <w:sz w:val="24"/>
          <w:szCs w:val="24"/>
          <w:vertAlign w:val="superscript"/>
        </w:rPr>
        <w:t xml:space="preserve">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0.001</w:t>
      </w:r>
    </w:p>
    <w:p w14:paraId="0A1A565E" w14:textId="1A5BE08F" w:rsidR="00B85F86" w:rsidRDefault="00B85F86" w:rsidP="003E381F">
      <w:pPr>
        <w:spacing w:line="480" w:lineRule="auto"/>
        <w:rPr>
          <w:rFonts w:ascii="Times New Roman" w:hAnsi="Times New Roman" w:cs="Times New Roman"/>
          <w:b/>
          <w:bCs/>
          <w:sz w:val="24"/>
          <w:szCs w:val="28"/>
        </w:rPr>
      </w:pPr>
      <w:r>
        <w:rPr>
          <w:rFonts w:ascii="Times New Roman" w:hAnsi="Times New Roman" w:cs="Times New Roman"/>
          <w:b/>
          <w:bCs/>
          <w:noProof/>
          <w:sz w:val="24"/>
          <w:szCs w:val="28"/>
        </w:rPr>
        <w:drawing>
          <wp:inline distT="0" distB="0" distL="0" distR="0" wp14:anchorId="39CF21F9" wp14:editId="61864EC0">
            <wp:extent cx="5266690" cy="1226820"/>
            <wp:effectExtent l="0" t="0" r="0" b="0"/>
            <wp:docPr id="121413215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hqprint">
                      <a:extLst>
                        <a:ext uri="{28A0092B-C50C-407E-A947-70E740481C1C}">
                          <a14:useLocalDpi xmlns:a14="http://schemas.microsoft.com/office/drawing/2010/main" val="0"/>
                        </a:ext>
                      </a:extLst>
                    </a:blip>
                    <a:srcRect/>
                    <a:stretch>
                      <a:fillRect/>
                    </a:stretch>
                  </pic:blipFill>
                  <pic:spPr bwMode="auto">
                    <a:xfrm>
                      <a:off x="0" y="0"/>
                      <a:ext cx="5266690" cy="1226820"/>
                    </a:xfrm>
                    <a:prstGeom prst="rect">
                      <a:avLst/>
                    </a:prstGeom>
                    <a:noFill/>
                    <a:ln>
                      <a:noFill/>
                    </a:ln>
                  </pic:spPr>
                </pic:pic>
              </a:graphicData>
            </a:graphic>
          </wp:inline>
        </w:drawing>
      </w:r>
    </w:p>
    <w:p w14:paraId="576CC9D2" w14:textId="5A476167" w:rsidR="0056306B" w:rsidRPr="0056306B" w:rsidRDefault="0056306B" w:rsidP="003E381F">
      <w:pPr>
        <w:spacing w:line="480" w:lineRule="auto"/>
        <w:rPr>
          <w:rFonts w:ascii="Times New Roman" w:hAnsi="Times New Roman" w:cs="Times New Roman"/>
          <w:b/>
          <w:bCs/>
          <w:sz w:val="28"/>
          <w:szCs w:val="32"/>
        </w:rPr>
      </w:pPr>
      <w:r w:rsidRPr="0056306B">
        <w:rPr>
          <w:rFonts w:ascii="Times New Roman" w:hAnsi="Times New Roman" w:cs="Times New Roman" w:hint="eastAsia"/>
          <w:b/>
          <w:bCs/>
          <w:sz w:val="28"/>
          <w:szCs w:val="32"/>
        </w:rPr>
        <w:t xml:space="preserve">Supplementary Figure 3 EGLN3 regulates endothelial cell proliferation and migration through the PI3K/AKT and MER/ERK signaling pathways. </w:t>
      </w:r>
      <w:r w:rsidRPr="0056306B">
        <w:rPr>
          <w:rFonts w:ascii="Times New Roman" w:hAnsi="Times New Roman" w:cs="Times New Roman" w:hint="eastAsia"/>
          <w:sz w:val="28"/>
          <w:szCs w:val="32"/>
        </w:rPr>
        <w:t>(A) Cell proliferation curves between different treatment groups. (B) Cell migration numbers between different treatment groups.</w:t>
      </w:r>
      <w:r w:rsidR="00795CAA">
        <w:rPr>
          <w:rFonts w:ascii="Times New Roman" w:hAnsi="Times New Roman" w:cs="Times New Roman" w:hint="eastAsia"/>
          <w:sz w:val="28"/>
          <w:szCs w:val="32"/>
        </w:rPr>
        <w:t xml:space="preserve"> </w:t>
      </w:r>
      <w:r w:rsidR="00795CAA">
        <w:rPr>
          <w:rFonts w:ascii="Times New Roman" w:hAnsi="Times New Roman" w:cs="Times New Roman"/>
          <w:sz w:val="28"/>
          <w:szCs w:val="32"/>
        </w:rPr>
        <w:t>B</w:t>
      </w:r>
      <w:r w:rsidR="00795CAA">
        <w:rPr>
          <w:rFonts w:ascii="Times New Roman" w:hAnsi="Times New Roman" w:cs="Times New Roman" w:hint="eastAsia"/>
          <w:sz w:val="28"/>
          <w:szCs w:val="32"/>
        </w:rPr>
        <w:t>ar 50</w:t>
      </w:r>
      <w:r w:rsidR="00795CAA">
        <w:rPr>
          <w:rFonts w:ascii="Times New Roman" w:hAnsi="Times New Roman" w:cs="Times New Roman" w:hint="eastAsia"/>
          <w:sz w:val="28"/>
          <w:szCs w:val="32"/>
        </w:rPr>
        <w:t>μ</w:t>
      </w:r>
      <w:r w:rsidR="00795CAA">
        <w:rPr>
          <w:rFonts w:ascii="Times New Roman" w:hAnsi="Times New Roman" w:cs="Times New Roman" w:hint="eastAsia"/>
          <w:sz w:val="28"/>
          <w:szCs w:val="32"/>
        </w:rPr>
        <w:t>m.</w:t>
      </w:r>
      <w:r w:rsidR="00795CAA" w:rsidRPr="00E02C5F">
        <w:rPr>
          <w:rFonts w:ascii="Times New Roman" w:hAnsi="Times New Roman" w:cs="Times New Roman"/>
          <w:i/>
          <w:iCs/>
          <w:sz w:val="24"/>
          <w:szCs w:val="24"/>
          <w:vertAlign w:val="superscript"/>
        </w:rPr>
        <w:t xml:space="preserve">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w:t>
      </w:r>
      <w:r w:rsidR="00795CAA">
        <w:rPr>
          <w:rFonts w:ascii="Times New Roman" w:hAnsi="Times New Roman" w:cs="Times New Roman" w:hint="eastAsia"/>
          <w:sz w:val="24"/>
          <w:szCs w:val="24"/>
        </w:rPr>
        <w:t xml:space="preserve">5,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0.01</w:t>
      </w:r>
      <w:r w:rsidR="00795CAA">
        <w:rPr>
          <w:rFonts w:ascii="Times New Roman" w:hAnsi="Times New Roman" w:cs="Times New Roman" w:hint="eastAsia"/>
          <w:sz w:val="24"/>
          <w:szCs w:val="24"/>
        </w:rPr>
        <w:t>,</w:t>
      </w:r>
      <w:r w:rsidR="00795CAA" w:rsidRPr="00472EE9">
        <w:rPr>
          <w:rFonts w:ascii="Times New Roman" w:hAnsi="Times New Roman" w:cs="Times New Roman"/>
          <w:i/>
          <w:iCs/>
          <w:sz w:val="24"/>
          <w:szCs w:val="24"/>
          <w:vertAlign w:val="superscript"/>
        </w:rPr>
        <w:t xml:space="preserve">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0.001</w:t>
      </w:r>
    </w:p>
    <w:p w14:paraId="2C088B2B" w14:textId="0C7A0F07" w:rsidR="00B85F86" w:rsidRDefault="00B85F86" w:rsidP="003E381F">
      <w:pPr>
        <w:spacing w:line="480" w:lineRule="auto"/>
        <w:rPr>
          <w:rFonts w:ascii="Times New Roman" w:hAnsi="Times New Roman" w:cs="Times New Roman"/>
          <w:b/>
          <w:bCs/>
          <w:sz w:val="24"/>
          <w:szCs w:val="28"/>
        </w:rPr>
      </w:pPr>
      <w:r>
        <w:rPr>
          <w:rFonts w:ascii="Times New Roman" w:hAnsi="Times New Roman" w:cs="Times New Roman"/>
          <w:b/>
          <w:bCs/>
          <w:noProof/>
          <w:sz w:val="24"/>
          <w:szCs w:val="28"/>
        </w:rPr>
        <w:lastRenderedPageBreak/>
        <w:drawing>
          <wp:inline distT="0" distB="0" distL="0" distR="0" wp14:anchorId="4D6BD4CE" wp14:editId="2B61C9C5">
            <wp:extent cx="5266690" cy="5260975"/>
            <wp:effectExtent l="0" t="0" r="0" b="0"/>
            <wp:docPr id="18952510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hqprint">
                      <a:extLst>
                        <a:ext uri="{28A0092B-C50C-407E-A947-70E740481C1C}">
                          <a14:useLocalDpi xmlns:a14="http://schemas.microsoft.com/office/drawing/2010/main" val="0"/>
                        </a:ext>
                      </a:extLst>
                    </a:blip>
                    <a:srcRect/>
                    <a:stretch>
                      <a:fillRect/>
                    </a:stretch>
                  </pic:blipFill>
                  <pic:spPr bwMode="auto">
                    <a:xfrm>
                      <a:off x="0" y="0"/>
                      <a:ext cx="5266690" cy="5260975"/>
                    </a:xfrm>
                    <a:prstGeom prst="rect">
                      <a:avLst/>
                    </a:prstGeom>
                    <a:noFill/>
                    <a:ln>
                      <a:noFill/>
                    </a:ln>
                  </pic:spPr>
                </pic:pic>
              </a:graphicData>
            </a:graphic>
          </wp:inline>
        </w:drawing>
      </w:r>
    </w:p>
    <w:p w14:paraId="370F70F7" w14:textId="7F709457" w:rsidR="0056306B" w:rsidRPr="0056306B" w:rsidRDefault="0056306B" w:rsidP="003E381F">
      <w:pPr>
        <w:spacing w:line="480" w:lineRule="auto"/>
        <w:rPr>
          <w:rFonts w:ascii="Times New Roman" w:hAnsi="Times New Roman" w:cs="Times New Roman"/>
          <w:sz w:val="28"/>
          <w:szCs w:val="32"/>
        </w:rPr>
      </w:pPr>
      <w:r w:rsidRPr="0056306B">
        <w:rPr>
          <w:rFonts w:ascii="Times New Roman" w:hAnsi="Times New Roman" w:cs="Times New Roman" w:hint="eastAsia"/>
          <w:b/>
          <w:bCs/>
          <w:sz w:val="28"/>
          <w:szCs w:val="32"/>
        </w:rPr>
        <w:t xml:space="preserve">Supplementary Figure 4 Potential mechanisms by which EGLN3 affects EGFR expression. </w:t>
      </w:r>
      <w:r w:rsidRPr="0056306B">
        <w:rPr>
          <w:rFonts w:ascii="Times New Roman" w:hAnsi="Times New Roman" w:cs="Times New Roman" w:hint="eastAsia"/>
          <w:sz w:val="28"/>
          <w:szCs w:val="32"/>
        </w:rPr>
        <w:t>(A) This panel depicts the protein expression levels of EGFR and the associated downstream signaling pathways across various treatment groups. (B) This panel similarly presents the protein expression of EGFR along with the downstream signaling pathways among different treatment groups.</w:t>
      </w:r>
      <w:r w:rsidR="00795CAA" w:rsidRPr="00E02C5F">
        <w:rPr>
          <w:rFonts w:ascii="Times New Roman" w:hAnsi="Times New Roman" w:cs="Times New Roman"/>
          <w:i/>
          <w:iCs/>
          <w:sz w:val="24"/>
          <w:szCs w:val="24"/>
          <w:vertAlign w:val="superscript"/>
        </w:rPr>
        <w:t xml:space="preserve">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w:t>
      </w:r>
      <w:r w:rsidR="00795CAA">
        <w:rPr>
          <w:rFonts w:ascii="Times New Roman" w:hAnsi="Times New Roman" w:cs="Times New Roman" w:hint="eastAsia"/>
          <w:sz w:val="24"/>
          <w:szCs w:val="24"/>
        </w:rPr>
        <w:t xml:space="preserve">5,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0.01</w:t>
      </w:r>
      <w:r w:rsidR="00795CAA">
        <w:rPr>
          <w:rFonts w:ascii="Times New Roman" w:hAnsi="Times New Roman" w:cs="Times New Roman" w:hint="eastAsia"/>
          <w:sz w:val="24"/>
          <w:szCs w:val="24"/>
        </w:rPr>
        <w:t>,</w:t>
      </w:r>
      <w:r w:rsidR="00795CAA" w:rsidRPr="00472EE9">
        <w:rPr>
          <w:rFonts w:ascii="Times New Roman" w:hAnsi="Times New Roman" w:cs="Times New Roman"/>
          <w:i/>
          <w:iCs/>
          <w:sz w:val="24"/>
          <w:szCs w:val="24"/>
          <w:vertAlign w:val="superscript"/>
        </w:rPr>
        <w:t xml:space="preserve">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0.001</w:t>
      </w:r>
    </w:p>
    <w:p w14:paraId="7FCA7563" w14:textId="739505E1" w:rsidR="00B85F86" w:rsidRDefault="00B85F86" w:rsidP="003E381F">
      <w:pPr>
        <w:spacing w:line="480" w:lineRule="auto"/>
        <w:rPr>
          <w:rFonts w:ascii="Times New Roman" w:hAnsi="Times New Roman" w:cs="Times New Roman"/>
          <w:b/>
          <w:bCs/>
          <w:sz w:val="24"/>
          <w:szCs w:val="28"/>
        </w:rPr>
      </w:pPr>
      <w:r>
        <w:rPr>
          <w:rFonts w:ascii="Times New Roman" w:hAnsi="Times New Roman" w:cs="Times New Roman"/>
          <w:b/>
          <w:bCs/>
          <w:noProof/>
          <w:sz w:val="24"/>
          <w:szCs w:val="28"/>
        </w:rPr>
        <w:lastRenderedPageBreak/>
        <w:drawing>
          <wp:inline distT="0" distB="0" distL="0" distR="0" wp14:anchorId="2BF7CC3B" wp14:editId="451AACBE">
            <wp:extent cx="5272405" cy="2008505"/>
            <wp:effectExtent l="0" t="0" r="0" b="0"/>
            <wp:docPr id="122949498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hqprint">
                      <a:extLst>
                        <a:ext uri="{28A0092B-C50C-407E-A947-70E740481C1C}">
                          <a14:useLocalDpi xmlns:a14="http://schemas.microsoft.com/office/drawing/2010/main" val="0"/>
                        </a:ext>
                      </a:extLst>
                    </a:blip>
                    <a:srcRect/>
                    <a:stretch>
                      <a:fillRect/>
                    </a:stretch>
                  </pic:blipFill>
                  <pic:spPr bwMode="auto">
                    <a:xfrm>
                      <a:off x="0" y="0"/>
                      <a:ext cx="5272405" cy="2008505"/>
                    </a:xfrm>
                    <a:prstGeom prst="rect">
                      <a:avLst/>
                    </a:prstGeom>
                    <a:noFill/>
                    <a:ln>
                      <a:noFill/>
                    </a:ln>
                  </pic:spPr>
                </pic:pic>
              </a:graphicData>
            </a:graphic>
          </wp:inline>
        </w:drawing>
      </w:r>
    </w:p>
    <w:p w14:paraId="452175BC" w14:textId="77777777" w:rsidR="00795CAA" w:rsidRDefault="00BA6AC2" w:rsidP="003E381F">
      <w:pPr>
        <w:spacing w:line="480" w:lineRule="auto"/>
        <w:rPr>
          <w:rFonts w:ascii="Times New Roman" w:hAnsi="Times New Roman" w:cs="Times New Roman"/>
          <w:sz w:val="24"/>
          <w:szCs w:val="24"/>
        </w:rPr>
      </w:pPr>
      <w:r w:rsidRPr="00BA6AC2">
        <w:rPr>
          <w:rFonts w:ascii="Times New Roman" w:hAnsi="Times New Roman" w:cs="Times New Roman" w:hint="eastAsia"/>
          <w:b/>
          <w:bCs/>
          <w:sz w:val="28"/>
          <w:szCs w:val="32"/>
        </w:rPr>
        <w:t>Supplementary Figure 5 HUR binds to EGFR mRNA to regulate its stability.</w:t>
      </w:r>
      <w:r w:rsidRPr="00BA6AC2">
        <w:rPr>
          <w:rFonts w:ascii="微软雅黑" w:eastAsia="微软雅黑" w:hAnsi="微软雅黑" w:hint="eastAsia"/>
          <w:color w:val="000000"/>
          <w:sz w:val="22"/>
          <w:szCs w:val="24"/>
          <w:shd w:val="clear" w:color="auto" w:fill="FFFFFF"/>
        </w:rPr>
        <w:t xml:space="preserve"> </w:t>
      </w:r>
      <w:r w:rsidRPr="00BA6AC2">
        <w:rPr>
          <w:rFonts w:ascii="Times New Roman" w:hAnsi="Times New Roman" w:cs="Times New Roman" w:hint="eastAsia"/>
          <w:sz w:val="28"/>
          <w:szCs w:val="32"/>
        </w:rPr>
        <w:t>(A) Following the application of various antibodies for mRNA pull-down, PCR was employed to assess the levels of EGFR mRNA. (B) This panel displays the variations in EGFR mRNA stability across different treatment groups.</w:t>
      </w:r>
      <w:r w:rsidR="00795CAA" w:rsidRPr="00E02C5F">
        <w:rPr>
          <w:rFonts w:ascii="Times New Roman" w:hAnsi="Times New Roman" w:cs="Times New Roman"/>
          <w:i/>
          <w:iCs/>
          <w:sz w:val="24"/>
          <w:szCs w:val="24"/>
          <w:vertAlign w:val="superscript"/>
        </w:rPr>
        <w:t xml:space="preserve">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w:t>
      </w:r>
      <w:r w:rsidR="00795CAA">
        <w:rPr>
          <w:rFonts w:ascii="Times New Roman" w:hAnsi="Times New Roman" w:cs="Times New Roman" w:hint="eastAsia"/>
          <w:sz w:val="24"/>
          <w:szCs w:val="24"/>
        </w:rPr>
        <w:t xml:space="preserve">5,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0.01</w:t>
      </w:r>
      <w:r w:rsidR="00795CAA">
        <w:rPr>
          <w:rFonts w:ascii="Times New Roman" w:hAnsi="Times New Roman" w:cs="Times New Roman" w:hint="eastAsia"/>
          <w:sz w:val="24"/>
          <w:szCs w:val="24"/>
        </w:rPr>
        <w:t>,</w:t>
      </w:r>
      <w:r w:rsidR="00795CAA" w:rsidRPr="00472EE9">
        <w:rPr>
          <w:rFonts w:ascii="Times New Roman" w:hAnsi="Times New Roman" w:cs="Times New Roman"/>
          <w:i/>
          <w:iCs/>
          <w:sz w:val="24"/>
          <w:szCs w:val="24"/>
          <w:vertAlign w:val="superscript"/>
        </w:rPr>
        <w:t xml:space="preserve">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0.001</w:t>
      </w:r>
    </w:p>
    <w:p w14:paraId="5067DB78" w14:textId="68BA10C0" w:rsidR="00B85F86" w:rsidRDefault="00B85F86" w:rsidP="003E381F">
      <w:pPr>
        <w:spacing w:line="480" w:lineRule="auto"/>
        <w:rPr>
          <w:rFonts w:ascii="Times New Roman" w:hAnsi="Times New Roman" w:cs="Times New Roman"/>
          <w:b/>
          <w:bCs/>
          <w:sz w:val="24"/>
          <w:szCs w:val="28"/>
        </w:rPr>
      </w:pPr>
      <w:r>
        <w:rPr>
          <w:rFonts w:ascii="Times New Roman" w:hAnsi="Times New Roman" w:cs="Times New Roman"/>
          <w:b/>
          <w:bCs/>
          <w:noProof/>
          <w:sz w:val="24"/>
          <w:szCs w:val="28"/>
        </w:rPr>
        <w:lastRenderedPageBreak/>
        <w:drawing>
          <wp:inline distT="0" distB="0" distL="0" distR="0" wp14:anchorId="36AF0E80" wp14:editId="120AD85A">
            <wp:extent cx="5266690" cy="5874385"/>
            <wp:effectExtent l="0" t="0" r="0" b="0"/>
            <wp:docPr id="207596758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hqprint">
                      <a:extLst>
                        <a:ext uri="{28A0092B-C50C-407E-A947-70E740481C1C}">
                          <a14:useLocalDpi xmlns:a14="http://schemas.microsoft.com/office/drawing/2010/main" val="0"/>
                        </a:ext>
                      </a:extLst>
                    </a:blip>
                    <a:srcRect/>
                    <a:stretch>
                      <a:fillRect/>
                    </a:stretch>
                  </pic:blipFill>
                  <pic:spPr bwMode="auto">
                    <a:xfrm>
                      <a:off x="0" y="0"/>
                      <a:ext cx="5266690" cy="5874385"/>
                    </a:xfrm>
                    <a:prstGeom prst="rect">
                      <a:avLst/>
                    </a:prstGeom>
                    <a:noFill/>
                    <a:ln>
                      <a:noFill/>
                    </a:ln>
                  </pic:spPr>
                </pic:pic>
              </a:graphicData>
            </a:graphic>
          </wp:inline>
        </w:drawing>
      </w:r>
    </w:p>
    <w:p w14:paraId="543909E0" w14:textId="73CC3C13" w:rsidR="008F3BBE" w:rsidRPr="008F3BBE" w:rsidRDefault="008F3BBE" w:rsidP="003E381F">
      <w:pPr>
        <w:spacing w:line="480" w:lineRule="auto"/>
        <w:rPr>
          <w:rFonts w:ascii="Times New Roman" w:hAnsi="Times New Roman" w:cs="Times New Roman"/>
          <w:b/>
          <w:bCs/>
          <w:sz w:val="28"/>
          <w:szCs w:val="32"/>
        </w:rPr>
      </w:pPr>
      <w:r w:rsidRPr="008F3BBE">
        <w:rPr>
          <w:rFonts w:ascii="Times New Roman" w:hAnsi="Times New Roman" w:cs="Times New Roman"/>
          <w:b/>
          <w:bCs/>
          <w:sz w:val="28"/>
          <w:szCs w:val="32"/>
        </w:rPr>
        <w:t>Supplementary Figure 6 EGLN3 regulates downstream signaling through HUR.</w:t>
      </w:r>
      <w:r w:rsidRPr="008F3BBE">
        <w:rPr>
          <w:rFonts w:ascii="Times New Roman" w:eastAsia="微软雅黑" w:hAnsi="Times New Roman" w:cs="Times New Roman"/>
          <w:color w:val="000000"/>
          <w:sz w:val="22"/>
          <w:szCs w:val="24"/>
          <w:shd w:val="clear" w:color="auto" w:fill="FFFFFF"/>
        </w:rPr>
        <w:t xml:space="preserve"> </w:t>
      </w:r>
      <w:r w:rsidRPr="008F3BBE">
        <w:rPr>
          <w:rFonts w:ascii="Times New Roman" w:hAnsi="Times New Roman" w:cs="Times New Roman"/>
          <w:sz w:val="28"/>
          <w:szCs w:val="32"/>
        </w:rPr>
        <w:t>(</w:t>
      </w:r>
      <w:r>
        <w:rPr>
          <w:rFonts w:ascii="Times New Roman" w:hAnsi="Times New Roman" w:cs="Times New Roman" w:hint="eastAsia"/>
          <w:sz w:val="28"/>
          <w:szCs w:val="32"/>
        </w:rPr>
        <w:t>A</w:t>
      </w:r>
      <w:r w:rsidRPr="008F3BBE">
        <w:rPr>
          <w:rFonts w:ascii="Times New Roman" w:hAnsi="Times New Roman" w:cs="Times New Roman"/>
          <w:sz w:val="28"/>
          <w:szCs w:val="32"/>
        </w:rPr>
        <w:t>) Verification of HUR knockout. (B) Cell proliferation curves under various treatment conditions. (C) Quantification of cell migration following different treatment conditions.</w:t>
      </w:r>
      <w:r w:rsidR="00795CAA">
        <w:rPr>
          <w:rFonts w:ascii="Times New Roman" w:hAnsi="Times New Roman" w:cs="Times New Roman" w:hint="eastAsia"/>
          <w:sz w:val="28"/>
          <w:szCs w:val="32"/>
        </w:rPr>
        <w:t xml:space="preserve"> </w:t>
      </w:r>
      <w:r w:rsidR="00795CAA">
        <w:rPr>
          <w:rFonts w:ascii="Times New Roman" w:hAnsi="Times New Roman" w:cs="Times New Roman"/>
          <w:sz w:val="28"/>
          <w:szCs w:val="32"/>
        </w:rPr>
        <w:t>B</w:t>
      </w:r>
      <w:r w:rsidR="00795CAA">
        <w:rPr>
          <w:rFonts w:ascii="Times New Roman" w:hAnsi="Times New Roman" w:cs="Times New Roman" w:hint="eastAsia"/>
          <w:sz w:val="28"/>
          <w:szCs w:val="32"/>
        </w:rPr>
        <w:t>ar 50</w:t>
      </w:r>
      <w:r w:rsidR="00795CAA">
        <w:rPr>
          <w:rFonts w:ascii="Times New Roman" w:hAnsi="Times New Roman" w:cs="Times New Roman" w:hint="eastAsia"/>
          <w:sz w:val="28"/>
          <w:szCs w:val="32"/>
        </w:rPr>
        <w:t>μ</w:t>
      </w:r>
      <w:r w:rsidR="00795CAA">
        <w:rPr>
          <w:rFonts w:ascii="Times New Roman" w:hAnsi="Times New Roman" w:cs="Times New Roman" w:hint="eastAsia"/>
          <w:sz w:val="28"/>
          <w:szCs w:val="32"/>
        </w:rPr>
        <w:t>m.</w:t>
      </w:r>
      <w:r w:rsidRPr="008F3BBE">
        <w:rPr>
          <w:rFonts w:ascii="Times New Roman" w:hAnsi="Times New Roman" w:cs="Times New Roman"/>
          <w:sz w:val="28"/>
          <w:szCs w:val="32"/>
        </w:rPr>
        <w:t xml:space="preserve"> (D) Activation of downstream signaling pathways in response to various treatment conditions.</w:t>
      </w:r>
      <w:r w:rsidR="00795CAA" w:rsidRPr="00E02C5F">
        <w:rPr>
          <w:rFonts w:ascii="Times New Roman" w:hAnsi="Times New Roman" w:cs="Times New Roman"/>
          <w:i/>
          <w:iCs/>
          <w:sz w:val="24"/>
          <w:szCs w:val="24"/>
          <w:vertAlign w:val="superscript"/>
        </w:rPr>
        <w:t xml:space="preserve">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w:t>
      </w:r>
      <w:r w:rsidR="00795CAA">
        <w:rPr>
          <w:rFonts w:ascii="Times New Roman" w:hAnsi="Times New Roman" w:cs="Times New Roman" w:hint="eastAsia"/>
          <w:sz w:val="24"/>
          <w:szCs w:val="24"/>
        </w:rPr>
        <w:t xml:space="preserve">5,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0.01</w:t>
      </w:r>
      <w:r w:rsidR="00795CAA">
        <w:rPr>
          <w:rFonts w:ascii="Times New Roman" w:hAnsi="Times New Roman" w:cs="Times New Roman" w:hint="eastAsia"/>
          <w:sz w:val="24"/>
          <w:szCs w:val="24"/>
        </w:rPr>
        <w:t>,</w:t>
      </w:r>
      <w:r w:rsidR="00795CAA" w:rsidRPr="00472EE9">
        <w:rPr>
          <w:rFonts w:ascii="Times New Roman" w:hAnsi="Times New Roman" w:cs="Times New Roman"/>
          <w:i/>
          <w:iCs/>
          <w:sz w:val="24"/>
          <w:szCs w:val="24"/>
          <w:vertAlign w:val="superscript"/>
        </w:rPr>
        <w:t xml:space="preserve">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0.001</w:t>
      </w:r>
    </w:p>
    <w:p w14:paraId="4D255474" w14:textId="23D241F5" w:rsidR="00B85F86" w:rsidRDefault="00B85F86" w:rsidP="003E381F">
      <w:pPr>
        <w:spacing w:line="480" w:lineRule="auto"/>
        <w:ind w:left="240" w:hangingChars="100" w:hanging="240"/>
        <w:rPr>
          <w:rFonts w:ascii="Times New Roman" w:hAnsi="Times New Roman" w:cs="Times New Roman"/>
          <w:b/>
          <w:bCs/>
          <w:sz w:val="24"/>
          <w:szCs w:val="28"/>
        </w:rPr>
      </w:pPr>
      <w:r>
        <w:rPr>
          <w:rFonts w:ascii="Times New Roman" w:hAnsi="Times New Roman" w:cs="Times New Roman"/>
          <w:b/>
          <w:bCs/>
          <w:noProof/>
          <w:sz w:val="24"/>
          <w:szCs w:val="28"/>
        </w:rPr>
        <w:lastRenderedPageBreak/>
        <w:drawing>
          <wp:inline distT="0" distB="0" distL="0" distR="0" wp14:anchorId="3DF16596" wp14:editId="55E6CB1C">
            <wp:extent cx="5266690" cy="3055620"/>
            <wp:effectExtent l="0" t="0" r="0" b="0"/>
            <wp:docPr id="35730033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5266690" cy="3055620"/>
                    </a:xfrm>
                    <a:prstGeom prst="rect">
                      <a:avLst/>
                    </a:prstGeom>
                    <a:noFill/>
                    <a:ln>
                      <a:noFill/>
                    </a:ln>
                  </pic:spPr>
                </pic:pic>
              </a:graphicData>
            </a:graphic>
          </wp:inline>
        </w:drawing>
      </w:r>
    </w:p>
    <w:p w14:paraId="78A015F1" w14:textId="619266A9" w:rsidR="006F6FEC" w:rsidRPr="006F6FEC" w:rsidRDefault="006F6FEC" w:rsidP="003E381F">
      <w:pPr>
        <w:spacing w:line="480" w:lineRule="auto"/>
        <w:rPr>
          <w:rFonts w:ascii="Times New Roman" w:hAnsi="Times New Roman" w:cs="Times New Roman"/>
          <w:b/>
          <w:bCs/>
          <w:sz w:val="28"/>
          <w:szCs w:val="32"/>
        </w:rPr>
      </w:pPr>
      <w:r w:rsidRPr="006F6FEC">
        <w:rPr>
          <w:rFonts w:ascii="Times New Roman" w:hAnsi="Times New Roman" w:cs="Times New Roman" w:hint="eastAsia"/>
          <w:b/>
          <w:bCs/>
          <w:sz w:val="28"/>
          <w:szCs w:val="32"/>
        </w:rPr>
        <w:t xml:space="preserve">Supplementary Figure 7 JUN regulates cell proliferation and migration through EGLN3. </w:t>
      </w:r>
      <w:r w:rsidRPr="006F6FEC">
        <w:rPr>
          <w:rFonts w:ascii="Times New Roman" w:hAnsi="Times New Roman" w:cs="Times New Roman" w:hint="eastAsia"/>
          <w:sz w:val="28"/>
          <w:szCs w:val="32"/>
        </w:rPr>
        <w:t>(A) Cell proliferation curves are presented under various treatment conditions. (B) The number of cells migrating is shown under different treatment conditions.</w:t>
      </w:r>
      <w:r w:rsidR="00795CAA">
        <w:rPr>
          <w:rFonts w:ascii="Times New Roman" w:hAnsi="Times New Roman" w:cs="Times New Roman" w:hint="eastAsia"/>
          <w:sz w:val="28"/>
          <w:szCs w:val="32"/>
        </w:rPr>
        <w:t xml:space="preserve"> </w:t>
      </w:r>
      <w:r w:rsidR="00795CAA">
        <w:rPr>
          <w:rFonts w:ascii="Times New Roman" w:hAnsi="Times New Roman" w:cs="Times New Roman"/>
          <w:sz w:val="28"/>
          <w:szCs w:val="32"/>
        </w:rPr>
        <w:t>B</w:t>
      </w:r>
      <w:r w:rsidR="00795CAA">
        <w:rPr>
          <w:rFonts w:ascii="Times New Roman" w:hAnsi="Times New Roman" w:cs="Times New Roman" w:hint="eastAsia"/>
          <w:sz w:val="28"/>
          <w:szCs w:val="32"/>
        </w:rPr>
        <w:t>ar 50</w:t>
      </w:r>
      <w:r w:rsidR="00795CAA">
        <w:rPr>
          <w:rFonts w:ascii="Times New Roman" w:hAnsi="Times New Roman" w:cs="Times New Roman" w:hint="eastAsia"/>
          <w:sz w:val="28"/>
          <w:szCs w:val="32"/>
        </w:rPr>
        <w:t>μ</w:t>
      </w:r>
      <w:r w:rsidR="00795CAA">
        <w:rPr>
          <w:rFonts w:ascii="Times New Roman" w:hAnsi="Times New Roman" w:cs="Times New Roman" w:hint="eastAsia"/>
          <w:sz w:val="28"/>
          <w:szCs w:val="32"/>
        </w:rPr>
        <w:t xml:space="preserve">m.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w:t>
      </w:r>
      <w:r w:rsidR="00795CAA">
        <w:rPr>
          <w:rFonts w:ascii="Times New Roman" w:hAnsi="Times New Roman" w:cs="Times New Roman" w:hint="eastAsia"/>
          <w:sz w:val="24"/>
          <w:szCs w:val="24"/>
        </w:rPr>
        <w:t xml:space="preserve">5,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0.01</w:t>
      </w:r>
      <w:r w:rsidR="00795CAA">
        <w:rPr>
          <w:rFonts w:ascii="Times New Roman" w:hAnsi="Times New Roman" w:cs="Times New Roman" w:hint="eastAsia"/>
          <w:sz w:val="24"/>
          <w:szCs w:val="24"/>
        </w:rPr>
        <w:t>,</w:t>
      </w:r>
      <w:r w:rsidR="00795CAA" w:rsidRPr="00472EE9">
        <w:rPr>
          <w:rFonts w:ascii="Times New Roman" w:hAnsi="Times New Roman" w:cs="Times New Roman"/>
          <w:i/>
          <w:iCs/>
          <w:sz w:val="24"/>
          <w:szCs w:val="24"/>
          <w:vertAlign w:val="superscript"/>
        </w:rPr>
        <w:t xml:space="preserve"> </w:t>
      </w:r>
      <w:r w:rsidR="00795CAA" w:rsidRPr="00B32DC2">
        <w:rPr>
          <w:rFonts w:ascii="Times New Roman" w:hAnsi="Times New Roman" w:cs="Times New Roman"/>
          <w:i/>
          <w:iCs/>
          <w:sz w:val="24"/>
          <w:szCs w:val="24"/>
          <w:vertAlign w:val="superscript"/>
        </w:rPr>
        <w:t>***</w:t>
      </w:r>
      <w:r w:rsidR="00795CAA" w:rsidRPr="00B32DC2">
        <w:rPr>
          <w:rFonts w:ascii="Times New Roman" w:hAnsi="Times New Roman" w:cs="Times New Roman"/>
          <w:i/>
          <w:iCs/>
          <w:sz w:val="24"/>
          <w:szCs w:val="24"/>
        </w:rPr>
        <w:t xml:space="preserve">P &lt; </w:t>
      </w:r>
      <w:r w:rsidR="00795CAA" w:rsidRPr="00B32DC2">
        <w:rPr>
          <w:rFonts w:ascii="Times New Roman" w:hAnsi="Times New Roman" w:cs="Times New Roman"/>
          <w:sz w:val="24"/>
          <w:szCs w:val="24"/>
        </w:rPr>
        <w:t>0.001</w:t>
      </w:r>
    </w:p>
    <w:p w14:paraId="2E498394" w14:textId="3076C5DF" w:rsidR="006F6FEC" w:rsidRPr="00B85F86" w:rsidRDefault="006F6FEC" w:rsidP="003E381F">
      <w:pPr>
        <w:spacing w:line="480" w:lineRule="auto"/>
        <w:ind w:left="240" w:hangingChars="100" w:hanging="240"/>
        <w:rPr>
          <w:rFonts w:ascii="Times New Roman" w:hAnsi="Times New Roman" w:cs="Times New Roman"/>
          <w:b/>
          <w:bCs/>
          <w:sz w:val="24"/>
          <w:szCs w:val="28"/>
        </w:rPr>
      </w:pPr>
    </w:p>
    <w:sectPr w:rsidR="006F6FEC" w:rsidRPr="00B85F8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55E01"/>
    <w:rsid w:val="001874FF"/>
    <w:rsid w:val="003E2DD6"/>
    <w:rsid w:val="003E381F"/>
    <w:rsid w:val="0056306B"/>
    <w:rsid w:val="006B6760"/>
    <w:rsid w:val="006F6FEC"/>
    <w:rsid w:val="00795CAA"/>
    <w:rsid w:val="00855E01"/>
    <w:rsid w:val="008F3BBE"/>
    <w:rsid w:val="009D03C2"/>
    <w:rsid w:val="00B31414"/>
    <w:rsid w:val="00B85F86"/>
    <w:rsid w:val="00BA6AC2"/>
    <w:rsid w:val="00BF76C5"/>
    <w:rsid w:val="00C10B83"/>
    <w:rsid w:val="00DF2C6B"/>
    <w:rsid w:val="00E02C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39075"/>
  <w14:defaultImageDpi w14:val="330"/>
  <w15:chartTrackingRefBased/>
  <w15:docId w15:val="{FBB1CE71-BCD6-4B0C-8F9F-965EEBBCB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0435740">
      <w:bodyDiv w:val="1"/>
      <w:marLeft w:val="0"/>
      <w:marRight w:val="0"/>
      <w:marTop w:val="0"/>
      <w:marBottom w:val="0"/>
      <w:divBdr>
        <w:top w:val="none" w:sz="0" w:space="0" w:color="auto"/>
        <w:left w:val="none" w:sz="0" w:space="0" w:color="auto"/>
        <w:bottom w:val="none" w:sz="0" w:space="0" w:color="auto"/>
        <w:right w:val="none" w:sz="0" w:space="0" w:color="auto"/>
      </w:divBdr>
    </w:div>
    <w:div w:id="1652783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tif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tiff"/><Relationship Id="rId11" Type="http://schemas.openxmlformats.org/officeDocument/2006/relationships/image" Target="media/image8.tiff"/><Relationship Id="rId5" Type="http://schemas.openxmlformats.org/officeDocument/2006/relationships/image" Target="media/image2.tiff"/><Relationship Id="rId10" Type="http://schemas.openxmlformats.org/officeDocument/2006/relationships/image" Target="media/image7.tiff"/><Relationship Id="rId4" Type="http://schemas.openxmlformats.org/officeDocument/2006/relationships/image" Target="media/image1.png"/><Relationship Id="rId9" Type="http://schemas.openxmlformats.org/officeDocument/2006/relationships/image" Target="media/image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8</Pages>
  <Words>411</Words>
  <Characters>2317</Characters>
  <Application>Microsoft Office Word</Application>
  <DocSecurity>0</DocSecurity>
  <Lines>52</Lines>
  <Paragraphs>11</Paragraphs>
  <ScaleCrop>false</ScaleCrop>
  <Company/>
  <LinksUpToDate>false</LinksUpToDate>
  <CharactersWithSpaces>2717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yi603915991@163.com</dc:creator>
  <cp:keywords/>
  <dc:description/>
  <cp:lastModifiedBy>yi603915991@163.com</cp:lastModifiedBy>
  <cp:revision>10</cp:revision>
  <dcterms:created xsi:type="dcterms:W3CDTF">2024-08-25T03:11:00Z</dcterms:created>
  <dcterms:modified xsi:type="dcterms:W3CDTF">2024-08-28T15:09:00Z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52512c5051d5a73077967a8f782df68fb80e55b02ed11e1685c192d4af8f3583</vt:lpwstr>
  </property>
</Properties>
</file>