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02D292">
      <w:pPr>
        <w:keepNext w:val="0"/>
        <w:keepLines w:val="0"/>
        <w:widowControl w:val="0"/>
        <w:suppressLineNumbers w:val="0"/>
        <w:spacing w:before="0" w:beforeAutospacing="0" w:after="0" w:afterAutospacing="0" w:line="480" w:lineRule="auto"/>
        <w:ind w:left="0" w:right="0"/>
        <w:jc w:val="both"/>
        <w:rPr>
          <w:b/>
          <w:bCs/>
          <w:sz w:val="22"/>
          <w:szCs w:val="22"/>
          <w:lang w:val="en-US"/>
        </w:rPr>
      </w:pPr>
      <w:r>
        <w:rPr>
          <w:rFonts w:hint="default" w:ascii="Times New Roman" w:hAnsi="Times New Roman" w:eastAsia="宋体" w:cs="Times New Roman"/>
          <w:b/>
          <w:bCs/>
          <w:kern w:val="2"/>
          <w:sz w:val="22"/>
          <w:szCs w:val="22"/>
          <w:lang w:val="en-US" w:eastAsia="zh-CN" w:bidi="ar"/>
        </w:rPr>
        <w:t>Laboratory measurements</w:t>
      </w:r>
    </w:p>
    <w:p w14:paraId="4E441928">
      <w:pPr>
        <w:keepNext w:val="0"/>
        <w:keepLines w:val="0"/>
        <w:widowControl w:val="0"/>
        <w:suppressLineNumbers w:val="0"/>
        <w:spacing w:before="0" w:beforeAutospacing="0" w:after="0" w:afterAutospacing="0" w:line="480" w:lineRule="auto"/>
        <w:ind w:right="0"/>
        <w:jc w:val="both"/>
        <w:rPr>
          <w:sz w:val="22"/>
          <w:szCs w:val="22"/>
          <w:lang w:val="en-US"/>
        </w:rPr>
      </w:pPr>
      <w:r>
        <w:rPr>
          <w:rFonts w:hint="default" w:ascii="Times New Roman" w:hAnsi="Times New Roman" w:eastAsia="宋体" w:cs="Times New Roman"/>
          <w:kern w:val="2"/>
          <w:sz w:val="22"/>
          <w:szCs w:val="22"/>
          <w:lang w:val="en-US" w:eastAsia="zh-CN" w:bidi="ar"/>
        </w:rPr>
        <w:t>Complete blood count was performed using an automated analyzer (Mindray 7500CS, Shenzhen, China).</w:t>
      </w:r>
      <w:r>
        <w:rPr>
          <w:rFonts w:hint="default" w:ascii="Times New Roman" w:hAnsi="Times New Roman" w:eastAsia="宋体" w:cs="Times New Roman"/>
          <w:kern w:val="2"/>
          <w:sz w:val="21"/>
          <w:szCs w:val="21"/>
          <w:lang w:val="en-US" w:eastAsia="zh-CN" w:bidi="ar"/>
        </w:rPr>
        <w:t xml:space="preserve"> </w:t>
      </w:r>
      <w:r>
        <w:rPr>
          <w:rFonts w:hint="default" w:ascii="Times New Roman" w:hAnsi="Times New Roman" w:eastAsia="宋体" w:cs="Times New Roman"/>
          <w:kern w:val="2"/>
          <w:sz w:val="22"/>
          <w:szCs w:val="22"/>
          <w:lang w:val="en-US" w:eastAsia="zh-CN" w:bidi="ar"/>
        </w:rPr>
        <w:t>The serum concentrations of Clinical chemistry were quantitatively determined using the Roche Diagnostics Cobas E601 (Switzerland) fully automated electrochemiluminescence</w:t>
      </w:r>
      <w:r>
        <w:rPr>
          <w:rFonts w:hint="eastAsia" w:ascii="Times New Roman" w:hAnsi="Times New Roman" w:eastAsia="宋体" w:cs="Times New Roman"/>
          <w:kern w:val="2"/>
          <w:sz w:val="22"/>
          <w:szCs w:val="22"/>
          <w:lang w:val="en-US" w:eastAsia="zh-CN" w:bidi="ar"/>
        </w:rPr>
        <w:t xml:space="preserve"> </w:t>
      </w:r>
      <w:r>
        <w:rPr>
          <w:rFonts w:hint="default" w:ascii="Times New Roman" w:hAnsi="Times New Roman" w:eastAsia="宋体" w:cs="Times New Roman"/>
          <w:kern w:val="2"/>
          <w:sz w:val="22"/>
          <w:szCs w:val="22"/>
          <w:lang w:val="en-US" w:eastAsia="zh-CN" w:bidi="ar"/>
        </w:rPr>
        <w:t>immuno</w:t>
      </w:r>
      <w:r>
        <w:rPr>
          <w:rFonts w:hint="eastAsia" w:ascii="Times New Roman" w:hAnsi="Times New Roman" w:eastAsia="宋体" w:cs="Times New Roman"/>
          <w:kern w:val="2"/>
          <w:sz w:val="22"/>
          <w:szCs w:val="22"/>
          <w:lang w:val="en-US" w:eastAsia="zh-CN" w:bidi="ar"/>
        </w:rPr>
        <w:t xml:space="preserve"> </w:t>
      </w:r>
      <w:r>
        <w:rPr>
          <w:rFonts w:hint="default" w:ascii="Times New Roman" w:hAnsi="Times New Roman" w:eastAsia="宋体" w:cs="Times New Roman"/>
          <w:kern w:val="2"/>
          <w:sz w:val="22"/>
          <w:szCs w:val="22"/>
          <w:lang w:val="en-US" w:eastAsia="zh-CN" w:bidi="ar"/>
        </w:rPr>
        <w:t xml:space="preserve">assay analyzer (ECLIA) and its original reagents. </w:t>
      </w:r>
    </w:p>
    <w:p w14:paraId="52CDDF8D">
      <w:pPr>
        <w:keepNext w:val="0"/>
        <w:keepLines w:val="0"/>
        <w:widowControl w:val="0"/>
        <w:suppressLineNumbers w:val="0"/>
        <w:spacing w:before="0" w:beforeAutospacing="0" w:after="0" w:afterAutospacing="0" w:line="480" w:lineRule="auto"/>
        <w:ind w:left="0" w:right="0" w:firstLine="220" w:firstLineChars="100"/>
        <w:jc w:val="both"/>
        <w:rPr>
          <w:sz w:val="22"/>
          <w:szCs w:val="22"/>
          <w:lang w:val="en-US"/>
        </w:rPr>
      </w:pPr>
      <w:r>
        <w:rPr>
          <w:rFonts w:hint="default" w:ascii="Times New Roman" w:hAnsi="Times New Roman" w:eastAsia="宋体" w:cs="Times New Roman"/>
          <w:kern w:val="2"/>
          <w:sz w:val="22"/>
          <w:szCs w:val="22"/>
          <w:lang w:val="en-US" w:eastAsia="zh-CN" w:bidi="ar"/>
        </w:rPr>
        <w:t>Serum levels of immunohematology were quantitatively assessed using the Beckman Coulter DXI800 (USA) fully automated chemiluminescence immunoassay analyzer and its original reagents. Additionally, the serum Cytokine Levels were quantitatively measured using the Beckman FACSLyric™(USA). Coagulation was measured using nephelometry with a commercially available assay (Siemens ADVIA 2120i, Erlangen, Germany). The plasma samples were frozen at -80 ℃ for further S100A8/A9 analysis.</w:t>
      </w:r>
    </w:p>
    <w:p w14:paraId="1334E974">
      <w:pPr>
        <w:keepNext w:val="0"/>
        <w:keepLines w:val="0"/>
        <w:widowControl w:val="0"/>
        <w:suppressLineNumbers w:val="0"/>
        <w:spacing w:before="0" w:beforeAutospacing="0" w:after="0" w:afterAutospacing="0" w:line="480" w:lineRule="auto"/>
        <w:ind w:left="0" w:right="0" w:firstLine="220" w:firstLineChars="100"/>
        <w:jc w:val="both"/>
        <w:rPr>
          <w:rFonts w:hint="default" w:ascii="Times New Roman" w:hAnsi="Times New Roman" w:eastAsia="宋体" w:cs="Times New Roman"/>
          <w:kern w:val="2"/>
          <w:sz w:val="22"/>
          <w:szCs w:val="22"/>
          <w:lang w:val="en-US" w:eastAsia="zh-CN" w:bidi="ar"/>
        </w:rPr>
      </w:pPr>
      <w:r>
        <w:rPr>
          <w:rFonts w:hint="default" w:ascii="Times New Roman" w:hAnsi="Times New Roman" w:eastAsia="宋体" w:cs="Times New Roman"/>
          <w:kern w:val="2"/>
          <w:sz w:val="22"/>
          <w:szCs w:val="22"/>
          <w:lang w:val="en-US" w:eastAsia="zh-CN" w:bidi="ar"/>
        </w:rPr>
        <w:t>Enzyme-linked immunosorbent assay (ELISA) (HYCEZMBIO, Cat# HY10208) was used to measure the S100A8/A9 levels in blood samples. For each plasma sample, 50 μL was transferred directly to micro-test strip wells of the ELISA plate to be combined with a detection antibody, then horseradish peroxidase (100 μL) was added, and samples were subsequently incubated for 1 h at 37 °C. After five washing steps, the reaction was developed using a substrate solution. Next, the reaction was stopped, and the optical density was measured using a microplate reader set to 450 nm. The results for the plasma samples were calculated from a standard curve generated by dilutions of a known amount of recombinant S100A8/A9 protein. Each standard or sample was assayed in duplicate.</w:t>
      </w:r>
    </w:p>
    <w:p w14:paraId="48499F31">
      <w:pPr>
        <w:keepNext w:val="0"/>
        <w:keepLines w:val="0"/>
        <w:widowControl w:val="0"/>
        <w:suppressLineNumbers w:val="0"/>
        <w:spacing w:before="0" w:beforeAutospacing="0" w:after="0" w:afterAutospacing="0" w:line="480" w:lineRule="auto"/>
        <w:ind w:right="0"/>
        <w:jc w:val="both"/>
        <w:rPr>
          <w:rFonts w:hint="default" w:ascii="Times New Roman" w:hAnsi="Times New Roman" w:eastAsia="宋体" w:cs="Times New Roman"/>
          <w:b/>
          <w:bCs/>
          <w:kern w:val="2"/>
          <w:sz w:val="22"/>
          <w:szCs w:val="22"/>
          <w:lang w:val="en-US" w:eastAsia="zh-CN" w:bidi="ar"/>
        </w:rPr>
      </w:pPr>
      <w:r>
        <w:rPr>
          <w:rFonts w:hint="default" w:ascii="Times New Roman" w:hAnsi="Times New Roman" w:eastAsia="宋体" w:cs="Times New Roman"/>
          <w:b/>
          <w:bCs/>
          <w:kern w:val="2"/>
          <w:sz w:val="22"/>
          <w:szCs w:val="22"/>
          <w:lang w:val="en-US" w:eastAsia="zh-CN" w:bidi="ar"/>
        </w:rPr>
        <w:t xml:space="preserve"> </w:t>
      </w:r>
    </w:p>
    <w:p w14:paraId="352134DF">
      <w:pPr>
        <w:keepNext w:val="0"/>
        <w:keepLines w:val="0"/>
        <w:widowControl w:val="0"/>
        <w:suppressLineNumbers w:val="0"/>
        <w:spacing w:before="0" w:beforeAutospacing="0" w:after="0" w:afterAutospacing="0" w:line="480" w:lineRule="auto"/>
        <w:ind w:right="0"/>
        <w:jc w:val="both"/>
        <w:rPr>
          <w:b/>
          <w:bCs/>
          <w:sz w:val="22"/>
          <w:szCs w:val="22"/>
          <w:lang w:val="en-US"/>
        </w:rPr>
      </w:pPr>
      <w:bookmarkStart w:id="0" w:name="_GoBack"/>
      <w:bookmarkEnd w:id="0"/>
      <w:r>
        <w:rPr>
          <w:rFonts w:hint="default" w:ascii="Times New Roman" w:hAnsi="Times New Roman" w:eastAsia="宋体" w:cs="Times New Roman"/>
          <w:b/>
          <w:bCs/>
          <w:kern w:val="2"/>
          <w:sz w:val="22"/>
          <w:szCs w:val="22"/>
          <w:lang w:val="en-US" w:eastAsia="zh-CN" w:bidi="ar"/>
        </w:rPr>
        <w:t>Variable selection</w:t>
      </w:r>
    </w:p>
    <w:p w14:paraId="7E1AE235">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宋体" w:cs="Times New Roman"/>
          <w:kern w:val="2"/>
          <w:sz w:val="22"/>
          <w:szCs w:val="22"/>
          <w:lang w:val="en-US" w:eastAsia="zh-CN" w:bidi="ar"/>
        </w:rPr>
      </w:pPr>
      <w:r>
        <w:rPr>
          <w:rFonts w:hint="default" w:ascii="Times New Roman" w:hAnsi="Times New Roman" w:eastAsia="宋体" w:cs="Times New Roman"/>
          <w:kern w:val="2"/>
          <w:sz w:val="22"/>
          <w:szCs w:val="22"/>
          <w:lang w:val="en-US" w:eastAsia="zh-CN" w:bidi="ar"/>
        </w:rPr>
        <w:t xml:space="preserve">Data exclusion and padding: Tests with missing rates &gt; 20% were excluded. For tests with missing rates ≤ 20%, then a multiple imputation method was applied on the remaining data for further modeling. A filling method representing the central tendency of the variables was selected for the measurement data: median replacement, mean replacement, or plural replacement; the count data were randomly interpolated according to the proportion of available negative and positive data. </w:t>
      </w:r>
    </w:p>
    <w:p w14:paraId="4CC8A939">
      <w:pPr>
        <w:keepNext w:val="0"/>
        <w:keepLines w:val="0"/>
        <w:widowControl w:val="0"/>
        <w:suppressLineNumbers w:val="0"/>
        <w:spacing w:before="0" w:beforeAutospacing="0" w:after="0" w:afterAutospacing="0" w:line="480" w:lineRule="auto"/>
        <w:ind w:left="0" w:right="0" w:firstLine="220" w:firstLineChars="100"/>
        <w:jc w:val="both"/>
        <w:rPr>
          <w:sz w:val="22"/>
          <w:szCs w:val="22"/>
          <w:lang w:val="en-US"/>
        </w:rPr>
      </w:pPr>
      <w:r>
        <w:rPr>
          <w:rFonts w:hint="default" w:ascii="Times New Roman" w:hAnsi="Times New Roman" w:eastAsia="宋体" w:cs="Times New Roman"/>
          <w:kern w:val="2"/>
          <w:sz w:val="22"/>
          <w:szCs w:val="22"/>
          <w:lang w:val="en-US" w:eastAsia="zh-CN" w:bidi="ar"/>
        </w:rPr>
        <w:t>The LASSO regression algorithm enhances model optimization by imposing a penalty that restricts the absolute sum of certain regression coefficients to be below a preset threshold, effectively shrinking these coefficients toward zero. Using the glmnet package in R packages, we performed LASSO regression and employed the cross - validation procedure provided by the cv.glmnet function to identify two crucial lambda values: lambda.min and lambda.1se. Lambda.min is selected for its ability to minimize the cross - validation error, while lambda.1se is chosen for producing a model with improved interpretability. Overall, these lambda values enable a trade - off between model complexity and predictive accuracy. As a result, the research have selected variables that significantly influence the predictive model based on their non - zero coefficients, thus improving the model and enhancing its interpretability.</w:t>
      </w:r>
    </w:p>
    <w:p w14:paraId="04D04D4A"/>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imes">
    <w:altName w:val="Times New Roman"/>
    <w:panose1 w:val="02020603050405020304"/>
    <w:charset w:val="00"/>
    <w:family w:val="roman"/>
    <w:pitch w:val="default"/>
    <w:sig w:usb0="00000000" w:usb1="00000000"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540FAF"/>
    <w:rsid w:val="142E20E6"/>
    <w:rsid w:val="24A94AE3"/>
    <w:rsid w:val="2D3B78F6"/>
    <w:rsid w:val="45AD4CB1"/>
    <w:rsid w:val="588825E4"/>
    <w:rsid w:val="72444124"/>
    <w:rsid w:val="7ADD51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pPr>
      <w:keepNext w:val="0"/>
      <w:keepLines w:val="0"/>
      <w:widowControl/>
      <w:suppressLineNumbers w:val="0"/>
      <w:spacing w:before="0" w:beforeAutospacing="0" w:after="0" w:afterAutospacing="0"/>
      <w:ind w:left="0" w:right="0"/>
    </w:pPr>
    <w:rPr>
      <w:rFonts w:hint="eastAsia" w:ascii="等线" w:hAnsi="等线" w:eastAsia="等线" w:cs="等线"/>
      <w:sz w:val="20"/>
      <w:szCs w:val="20"/>
    </w:r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359</Words>
  <Characters>2177</Characters>
  <Lines>0</Lines>
  <Paragraphs>0</Paragraphs>
  <TotalTime>0</TotalTime>
  <ScaleCrop>false</ScaleCrop>
  <LinksUpToDate>false</LinksUpToDate>
  <CharactersWithSpaces>2531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2025-04-03T06:50:00Z</dcterms:created>
  <dc:creator>Administrator</dc:creator>
  <cp:lastModifiedBy>小猫七磷酸腺苷</cp:lastModifiedBy>
  <dcterms:modified xsi:type="dcterms:W3CDTF">2025-04-06T02:46:50Z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eyJoZGlkIjoiOTU1NGY3YTVkNzA1MWIyMDJmNTgxYjM4YjEzOTQ5ZTUiLCJ1c2VySWQiOiIxMTk2OTcxMTc4In0=</vt:lpwstr>
  </property>
  <property fmtid="{D5CDD505-2E9C-101B-9397-08002B2CF9AE}" pid="4" name="ICV">
    <vt:lpwstr>F9149E627B354CF89B3838592769B2EC_12</vt:lpwstr>
  </property>
</Properties>
</file>