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Supplement</w:t>
      </w:r>
      <w:r>
        <w:rPr>
          <w:rFonts w:hint="eastAsia" w:ascii="Times New Roman" w:hAnsi="Times New Roman" w:cs="Times New Roman"/>
          <w:b/>
          <w:bCs/>
          <w:sz w:val="24"/>
          <w:szCs w:val="24"/>
          <w:highlight w:val="none"/>
          <w:lang w:val="en-US" w:eastAsia="zh-CN"/>
        </w:rPr>
        <w:t>ary</w:t>
      </w:r>
      <w:r>
        <w:rPr>
          <w:rFonts w:hint="default" w:ascii="Times New Roman" w:hAnsi="Times New Roman" w:cs="Times New Roman"/>
          <w:b/>
          <w:bCs/>
          <w:sz w:val="24"/>
          <w:szCs w:val="24"/>
          <w:highlight w:val="none"/>
          <w:lang w:val="en-US" w:eastAsia="zh-CN"/>
        </w:rPr>
        <w:t xml:space="preserve"> Tables</w:t>
      </w:r>
    </w:p>
    <w:p>
      <w:pPr>
        <w:spacing w:after="0" w:line="360" w:lineRule="auto"/>
        <w:jc w:val="left"/>
        <w:rPr>
          <w:rFonts w:hint="default" w:ascii="Times New Roman" w:hAnsi="Times New Roman" w:cs="Times New Roman" w:eastAsiaTheme="minorEastAsia"/>
          <w:b/>
          <w:bCs/>
          <w:sz w:val="24"/>
          <w:szCs w:val="24"/>
          <w:highlight w:val="none"/>
          <w:lang w:val="en-US" w:eastAsia="zh-CN"/>
        </w:rPr>
      </w:pPr>
      <w:r>
        <w:rPr>
          <w:rFonts w:hint="eastAsia" w:ascii="Times New Roman" w:hAnsi="Times New Roman" w:cs="Times New Roman"/>
          <w:b/>
          <w:bCs/>
          <w:sz w:val="24"/>
          <w:szCs w:val="24"/>
          <w:highlight w:val="none"/>
          <w:lang w:val="en-US" w:eastAsia="zh-CN"/>
        </w:rPr>
        <w:t xml:space="preserve">Table S1. </w:t>
      </w:r>
      <w:r>
        <w:rPr>
          <w:rFonts w:hint="default" w:ascii="Times New Roman" w:hAnsi="Times New Roman" w:cs="Times New Roman"/>
          <w:b/>
          <w:bCs/>
          <w:sz w:val="24"/>
          <w:szCs w:val="24"/>
          <w:lang w:val="en-US" w:eastAsia="zh-CN"/>
        </w:rPr>
        <w:t>Detailed</w:t>
      </w:r>
      <w:r>
        <w:rPr>
          <w:rFonts w:hint="default" w:ascii="Times New Roman" w:hAnsi="Times New Roman" w:cs="Times New Roman"/>
          <w:b/>
          <w:bCs/>
          <w:sz w:val="24"/>
          <w:szCs w:val="24"/>
        </w:rPr>
        <w:t xml:space="preserve"> experimental procedures</w:t>
      </w:r>
      <w:r>
        <w:rPr>
          <w:rFonts w:hint="eastAsia" w:ascii="Times New Roman" w:hAnsi="Times New Roman" w:cs="Times New Roman"/>
          <w:b/>
          <w:bCs/>
          <w:sz w:val="24"/>
          <w:szCs w:val="24"/>
          <w:lang w:val="en-US" w:eastAsia="zh-CN"/>
        </w:rPr>
        <w:t xml:space="preserve"> of UPLC-MS/MS.</w:t>
      </w:r>
    </w:p>
    <w:p>
      <w:pPr>
        <w:spacing w:after="0"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eastAsia="zh-CN"/>
        </w:rPr>
        <w:t>Table</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lang w:val="en-US" w:eastAsia="zh-CN"/>
        </w:rPr>
        <w:t>S</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rPr>
        <w:t>. Clinical characteristics of GEO datasets</w:t>
      </w:r>
      <w:r>
        <w:rPr>
          <w:rFonts w:hint="eastAsia" w:ascii="Times New Roman" w:hAnsi="Times New Roman" w:eastAsia="宋体" w:cs="Times New Roman"/>
          <w:b/>
          <w:bCs/>
          <w:sz w:val="24"/>
          <w:szCs w:val="24"/>
          <w:lang w:val="en-US" w:eastAsia="zh-CN"/>
        </w:rPr>
        <w:t xml:space="preserve"> for bulk-RNA seq</w:t>
      </w:r>
      <w:r>
        <w:rPr>
          <w:rFonts w:hint="default" w:ascii="Times New Roman" w:hAnsi="Times New Roman" w:eastAsia="宋体" w:cs="Times New Roman"/>
          <w:b/>
          <w:bCs/>
          <w:sz w:val="24"/>
          <w:szCs w:val="24"/>
        </w:rPr>
        <w:t>.</w:t>
      </w:r>
    </w:p>
    <w:p>
      <w:pPr>
        <w:spacing w:after="0"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eastAsia="zh-CN"/>
        </w:rPr>
        <w:t>Table</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lang w:val="en-US" w:eastAsia="zh-CN"/>
        </w:rPr>
        <w:t>S</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rPr>
        <w:t>.</w:t>
      </w:r>
      <w:r>
        <w:rPr>
          <w:rFonts w:hint="eastAsia" w:ascii="Times New Roman" w:hAnsi="Times New Roman" w:eastAsia="宋体" w:cs="Times New Roman"/>
          <w:b/>
          <w:bCs/>
          <w:sz w:val="24"/>
          <w:szCs w:val="24"/>
          <w:lang w:val="en-US" w:eastAsia="zh-CN"/>
        </w:rPr>
        <w:t xml:space="preserve"> S</w:t>
      </w:r>
      <w:r>
        <w:rPr>
          <w:rFonts w:hint="default" w:ascii="Times New Roman" w:hAnsi="Times New Roman" w:eastAsia="宋体" w:cs="Times New Roman"/>
          <w:b/>
          <w:bCs/>
          <w:sz w:val="24"/>
          <w:szCs w:val="24"/>
        </w:rPr>
        <w:t>ummary</w:t>
      </w:r>
      <w:r>
        <w:rPr>
          <w:rFonts w:hint="eastAsia" w:ascii="Times New Roman" w:hAnsi="Times New Roman" w:eastAsia="宋体" w:cs="Times New Roman"/>
          <w:b/>
          <w:bCs/>
          <w:sz w:val="24"/>
          <w:szCs w:val="24"/>
          <w:lang w:val="en-US" w:eastAsia="zh-CN"/>
        </w:rPr>
        <w:t xml:space="preserve"> of </w:t>
      </w:r>
      <w:r>
        <w:rPr>
          <w:rFonts w:hint="default" w:ascii="Times New Roman" w:hAnsi="Times New Roman" w:eastAsia="宋体" w:cs="Times New Roman"/>
          <w:b/>
          <w:bCs/>
          <w:sz w:val="24"/>
          <w:szCs w:val="24"/>
        </w:rPr>
        <w:t>BCAA genesets (</w:t>
      </w:r>
      <w:r>
        <w:rPr>
          <w:rFonts w:hint="default" w:ascii="Times New Roman" w:hAnsi="Times New Roman" w:eastAsia="宋体" w:cs="Times New Roman"/>
          <w:b/>
          <w:bCs/>
          <w:i/>
          <w:iCs/>
          <w:sz w:val="24"/>
          <w:szCs w:val="24"/>
        </w:rPr>
        <w:t>n</w:t>
      </w:r>
      <w:r>
        <w:rPr>
          <w:rFonts w:hint="default" w:ascii="Times New Roman" w:hAnsi="Times New Roman" w:eastAsia="宋体" w:cs="Times New Roman"/>
          <w:b/>
          <w:bCs/>
          <w:sz w:val="24"/>
          <w:szCs w:val="24"/>
        </w:rPr>
        <w:t xml:space="preserve"> = 59). </w:t>
      </w:r>
    </w:p>
    <w:p>
      <w:pPr>
        <w:spacing w:after="0"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eastAsia="zh-CN"/>
        </w:rPr>
        <w:t>Table</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lang w:val="en-US" w:eastAsia="zh-CN"/>
        </w:rPr>
        <w:t>S</w:t>
      </w:r>
      <w:r>
        <w:rPr>
          <w:rFonts w:hint="eastAsia"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rPr>
        <w:t xml:space="preserve">. Metabolites detected by </w:t>
      </w:r>
      <w:r>
        <w:rPr>
          <w:rFonts w:hint="eastAsia" w:ascii="Times New Roman" w:hAnsi="Times New Roman" w:eastAsia="宋体" w:cs="Times New Roman"/>
          <w:b/>
          <w:bCs/>
          <w:sz w:val="24"/>
          <w:szCs w:val="24"/>
          <w:lang w:val="en-US" w:eastAsia="zh-CN"/>
        </w:rPr>
        <w:t xml:space="preserve">untargeted </w:t>
      </w:r>
      <w:r>
        <w:rPr>
          <w:rFonts w:hint="default" w:ascii="Times New Roman" w:hAnsi="Times New Roman" w:eastAsia="宋体" w:cs="Times New Roman"/>
          <w:b/>
          <w:bCs/>
          <w:sz w:val="24"/>
          <w:szCs w:val="24"/>
        </w:rPr>
        <w:t>UPLC-MS/MS (</w:t>
      </w:r>
      <w:r>
        <w:rPr>
          <w:rFonts w:hint="default" w:ascii="Times New Roman" w:hAnsi="Times New Roman" w:eastAsia="宋体" w:cs="Times New Roman"/>
          <w:b/>
          <w:bCs/>
          <w:i/>
          <w:iCs/>
          <w:sz w:val="24"/>
          <w:szCs w:val="24"/>
        </w:rPr>
        <w:t>n</w:t>
      </w:r>
      <w:r>
        <w:rPr>
          <w:rFonts w:hint="default" w:ascii="Times New Roman" w:hAnsi="Times New Roman" w:eastAsia="宋体" w:cs="Times New Roman"/>
          <w:b/>
          <w:bCs/>
          <w:sz w:val="24"/>
          <w:szCs w:val="24"/>
        </w:rPr>
        <w:t xml:space="preserve"> = 425).</w:t>
      </w:r>
    </w:p>
    <w:p>
      <w:pPr>
        <w:spacing w:after="0" w:line="480" w:lineRule="auto"/>
        <w:rPr>
          <w:rFonts w:hint="default" w:ascii="Times New Roman" w:hAnsi="Times New Roman" w:eastAsia="宋体" w:cs="Times New Roman"/>
          <w:b/>
          <w:bCs/>
          <w:sz w:val="24"/>
          <w:szCs w:val="24"/>
        </w:rPr>
      </w:pPr>
    </w:p>
    <w:p>
      <w:pPr>
        <w:spacing w:after="0" w:line="240" w:lineRule="auto"/>
        <w:jc w:val="left"/>
        <w:rPr>
          <w:rFonts w:hint="default" w:ascii="Times New Roman" w:hAnsi="Times New Roman" w:cs="Times New Roman" w:eastAsiaTheme="minorEastAsia"/>
          <w:b/>
          <w:bCs/>
          <w:sz w:val="24"/>
          <w:szCs w:val="24"/>
          <w:highlight w:val="none"/>
          <w:lang w:val="en-US" w:eastAsia="zh-CN"/>
        </w:rPr>
      </w:pPr>
      <w:r>
        <w:rPr>
          <w:rFonts w:hint="eastAsia" w:ascii="Times New Roman" w:hAnsi="Times New Roman" w:cs="Times New Roman"/>
          <w:b/>
          <w:bCs/>
          <w:sz w:val="24"/>
          <w:szCs w:val="24"/>
          <w:highlight w:val="none"/>
          <w:lang w:val="en-US" w:eastAsia="zh-CN"/>
        </w:rPr>
        <w:t xml:space="preserve">Table S1. </w:t>
      </w:r>
      <w:r>
        <w:rPr>
          <w:rFonts w:hint="default" w:ascii="Times New Roman" w:hAnsi="Times New Roman" w:cs="Times New Roman"/>
          <w:b/>
          <w:bCs/>
          <w:sz w:val="24"/>
          <w:szCs w:val="24"/>
          <w:lang w:val="en-US" w:eastAsia="zh-CN"/>
        </w:rPr>
        <w:t>Detailed</w:t>
      </w:r>
      <w:r>
        <w:rPr>
          <w:rFonts w:hint="default" w:ascii="Times New Roman" w:hAnsi="Times New Roman" w:cs="Times New Roman"/>
          <w:b/>
          <w:bCs/>
          <w:sz w:val="24"/>
          <w:szCs w:val="24"/>
        </w:rPr>
        <w:t xml:space="preserve"> experimental procedures</w:t>
      </w:r>
      <w:r>
        <w:rPr>
          <w:rFonts w:hint="eastAsia" w:ascii="Times New Roman" w:hAnsi="Times New Roman" w:cs="Times New Roman"/>
          <w:b/>
          <w:bCs/>
          <w:sz w:val="24"/>
          <w:szCs w:val="24"/>
          <w:lang w:val="en-US" w:eastAsia="zh-CN"/>
        </w:rPr>
        <w:t xml:space="preserve"> of UPLC-MS/MS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outlineLvl w:val="2"/>
              <w:rPr>
                <w:rFonts w:hint="default" w:ascii="Times New Roman" w:hAnsi="Times New Roman" w:eastAsia="宋体" w:cs="Times New Roman"/>
                <w:b/>
                <w:bCs/>
                <w:sz w:val="24"/>
                <w:szCs w:val="24"/>
                <w:vertAlign w:val="baseline"/>
              </w:rPr>
            </w:pPr>
            <w:r>
              <w:rPr>
                <w:rFonts w:hint="eastAsia" w:ascii="Times New Roman" w:hAnsi="Times New Roman" w:cs="Times New Roman"/>
                <w:b/>
                <w:i w:val="0"/>
                <w:iCs w:val="0"/>
                <w:sz w:val="24"/>
                <w:szCs w:val="24"/>
                <w:lang w:val="en-US" w:eastAsia="zh-CN"/>
              </w:rPr>
              <w:t>1. Plasma preprocessing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ind w:firstLine="480" w:firstLineChars="200"/>
              <w:outlineLvl w:val="2"/>
              <w:rPr>
                <w:rFonts w:hint="default" w:ascii="Times New Roman" w:hAnsi="Times New Roman" w:eastAsia="宋体" w:cs="Times New Roman"/>
                <w:b/>
                <w:bCs/>
                <w:sz w:val="24"/>
                <w:szCs w:val="24"/>
                <w:vertAlign w:val="baseline"/>
              </w:rPr>
            </w:pPr>
            <w:r>
              <w:rPr>
                <w:rFonts w:hint="default" w:ascii="Times New Roman" w:hAnsi="Times New Roman" w:cs="Times New Roman"/>
                <w:b w:val="0"/>
                <w:bCs/>
                <w:sz w:val="24"/>
                <w:szCs w:val="24"/>
                <w:lang w:val="en-US" w:eastAsia="zh-CN"/>
              </w:rPr>
              <w:t xml:space="preserve">Plasma samples from </w:t>
            </w:r>
            <w:r>
              <w:rPr>
                <w:rFonts w:hint="eastAsia" w:ascii="Times New Roman" w:hAnsi="Times New Roman" w:cs="Times New Roman"/>
                <w:b w:val="0"/>
                <w:bCs/>
                <w:sz w:val="24"/>
                <w:szCs w:val="24"/>
                <w:lang w:val="en-US" w:eastAsia="zh-CN"/>
              </w:rPr>
              <w:t>133</w:t>
            </w:r>
            <w:r>
              <w:rPr>
                <w:rFonts w:hint="default" w:ascii="Times New Roman" w:hAnsi="Times New Roman" w:cs="Times New Roman"/>
                <w:b w:val="0"/>
                <w:bCs/>
                <w:sz w:val="24"/>
                <w:szCs w:val="24"/>
                <w:lang w:val="en-US" w:eastAsia="zh-CN"/>
              </w:rPr>
              <w:t xml:space="preserve"> NSCLC patients enrolled at </w:t>
            </w:r>
            <w:r>
              <w:rPr>
                <w:rFonts w:hint="eastAsia" w:ascii="Times New Roman" w:hAnsi="Times New Roman" w:cs="Times New Roman"/>
                <w:b w:val="0"/>
                <w:bCs/>
                <w:sz w:val="24"/>
                <w:szCs w:val="24"/>
                <w:lang w:val="en-US" w:eastAsia="zh-CN"/>
              </w:rPr>
              <w:t>CHCAMS</w:t>
            </w:r>
            <w:r>
              <w:rPr>
                <w:rFonts w:hint="default" w:ascii="Times New Roman" w:hAnsi="Times New Roman" w:cs="Times New Roman"/>
                <w:b w:val="0"/>
                <w:bCs/>
                <w:sz w:val="24"/>
                <w:szCs w:val="24"/>
                <w:lang w:val="en-US" w:eastAsia="zh-CN"/>
              </w:rPr>
              <w:t xml:space="preserve"> were collected and analyzed.</w:t>
            </w:r>
            <w:r>
              <w:rPr>
                <w:rFonts w:hint="eastAsia" w:ascii="Times New Roman" w:hAnsi="Times New Roman" w:cs="Times New Roman"/>
                <w:b w:val="0"/>
                <w:bCs/>
                <w:sz w:val="24"/>
                <w:szCs w:val="24"/>
                <w:lang w:val="en-US" w:eastAsia="zh-CN"/>
              </w:rPr>
              <w:t xml:space="preserve"> </w:t>
            </w:r>
            <w:r>
              <w:rPr>
                <w:rFonts w:hint="default" w:ascii="Times New Roman" w:hAnsi="Times New Roman" w:cs="Times New Roman"/>
                <w:b w:val="0"/>
                <w:bCs/>
                <w:sz w:val="24"/>
                <w:szCs w:val="24"/>
                <w:lang w:val="en-US" w:eastAsia="zh-CN"/>
              </w:rPr>
              <w:t>Plasma samples were thawed on ice, briefly centrifuged, and mixed with a 20% acetonitrile-methanol (4:1)</w:t>
            </w:r>
            <w:r>
              <w:rPr>
                <w:rFonts w:hint="eastAsia" w:ascii="Times New Roman" w:hAnsi="Times New Roman" w:cs="Times New Roman"/>
                <w:b w:val="0"/>
                <w:bCs/>
                <w:sz w:val="24"/>
                <w:szCs w:val="24"/>
                <w:lang w:val="en-US" w:eastAsia="zh-CN"/>
              </w:rPr>
              <w:t xml:space="preserve"> (</w:t>
            </w:r>
            <w:r>
              <w:rPr>
                <w:rFonts w:hint="default" w:ascii="Times New Roman" w:hAnsi="Times New Roman" w:eastAsia="宋体" w:cs="Times New Roman"/>
                <w:bCs/>
                <w:kern w:val="2"/>
                <w:sz w:val="24"/>
                <w:szCs w:val="24"/>
                <w:highlight w:val="none"/>
                <w:lang w:val="en-US" w:eastAsia="zh-CN" w:bidi="ar-SA"/>
              </w:rPr>
              <w:t>W1QA1H</w:t>
            </w:r>
            <w:r>
              <w:rPr>
                <w:rFonts w:hint="eastAsia" w:ascii="Times New Roman" w:hAnsi="Times New Roman" w:eastAsia="宋体" w:cs="Times New Roman"/>
                <w:bCs/>
                <w:kern w:val="2"/>
                <w:sz w:val="24"/>
                <w:szCs w:val="24"/>
                <w:highlight w:val="none"/>
                <w:lang w:val="en-US" w:eastAsia="zh-CN" w:bidi="ar-SA"/>
              </w:rPr>
              <w:t xml:space="preserve"> and </w:t>
            </w:r>
            <w:r>
              <w:rPr>
                <w:rFonts w:hint="default" w:ascii="Times New Roman" w:hAnsi="Times New Roman" w:eastAsia="宋体" w:cs="Times New Roman"/>
                <w:bCs/>
                <w:kern w:val="2"/>
                <w:sz w:val="24"/>
                <w:szCs w:val="24"/>
                <w:highlight w:val="none"/>
                <w:lang w:val="en-US" w:eastAsia="zh-CN" w:bidi="ar-SA"/>
              </w:rPr>
              <w:t>V8ZG1H</w:t>
            </w:r>
            <w:r>
              <w:rPr>
                <w:rFonts w:hint="eastAsia" w:ascii="Times New Roman" w:hAnsi="Times New Roman" w:eastAsia="宋体" w:cs="Times New Roman"/>
                <w:bCs/>
                <w:kern w:val="2"/>
                <w:sz w:val="24"/>
                <w:szCs w:val="24"/>
                <w:highlight w:val="none"/>
                <w:lang w:val="en-US" w:eastAsia="zh-CN" w:bidi="ar-SA"/>
              </w:rPr>
              <w:t xml:space="preserve">, </w:t>
            </w:r>
            <w:r>
              <w:rPr>
                <w:rFonts w:hint="default" w:ascii="Times New Roman" w:hAnsi="Times New Roman" w:eastAsia="宋体" w:cs="Times New Roman"/>
                <w:bCs/>
                <w:kern w:val="2"/>
                <w:sz w:val="24"/>
                <w:szCs w:val="24"/>
                <w:lang w:val="en-US" w:eastAsia="zh-CN" w:bidi="ar-SA"/>
              </w:rPr>
              <w:t>Honey</w:t>
            </w:r>
            <w:bookmarkStart w:id="0" w:name="_GoBack"/>
            <w:bookmarkEnd w:id="0"/>
            <w:r>
              <w:rPr>
                <w:rFonts w:hint="default" w:ascii="Times New Roman" w:hAnsi="Times New Roman" w:eastAsia="宋体" w:cs="Times New Roman"/>
                <w:bCs/>
                <w:kern w:val="2"/>
                <w:sz w:val="24"/>
                <w:szCs w:val="24"/>
                <w:lang w:val="en-US" w:eastAsia="zh-CN" w:bidi="ar-SA"/>
              </w:rPr>
              <w:t>well</w:t>
            </w:r>
            <w:r>
              <w:rPr>
                <w:rFonts w:hint="eastAsia" w:ascii="Times New Roman" w:hAnsi="Times New Roman" w:cs="Times New Roman"/>
                <w:b w:val="0"/>
                <w:bCs/>
                <w:sz w:val="24"/>
                <w:szCs w:val="24"/>
                <w:lang w:val="en-US" w:eastAsia="zh-CN"/>
              </w:rPr>
              <w:t>)</w:t>
            </w:r>
            <w:r>
              <w:rPr>
                <w:rFonts w:hint="default" w:ascii="Times New Roman" w:hAnsi="Times New Roman" w:cs="Times New Roman"/>
                <w:b w:val="0"/>
                <w:bCs/>
                <w:sz w:val="24"/>
                <w:szCs w:val="24"/>
                <w:lang w:val="en-US" w:eastAsia="zh-CN"/>
              </w:rPr>
              <w:t xml:space="preserve"> extraction solution</w:t>
            </w:r>
            <w:r>
              <w:rPr>
                <w:rFonts w:hint="eastAsia" w:ascii="Times New Roman" w:hAnsi="Times New Roman" w:cs="Times New Roman"/>
                <w:b w:val="0"/>
                <w:bCs/>
                <w:sz w:val="24"/>
                <w:szCs w:val="24"/>
                <w:lang w:val="en-US" w:eastAsia="zh-CN"/>
              </w:rPr>
              <w:t xml:space="preserve"> to remove proteins</w:t>
            </w:r>
            <w:r>
              <w:rPr>
                <w:rFonts w:hint="default" w:ascii="Times New Roman" w:hAnsi="Times New Roman" w:cs="Times New Roman"/>
                <w:b w:val="0"/>
                <w:bCs/>
                <w:sz w:val="24"/>
                <w:szCs w:val="24"/>
                <w:lang w:val="en-US" w:eastAsia="zh-CN"/>
              </w:rPr>
              <w:t>. After vortexing</w:t>
            </w:r>
            <w:r>
              <w:rPr>
                <w:rFonts w:hint="eastAsia" w:ascii="Times New Roman" w:hAnsi="Times New Roman" w:cs="Times New Roman"/>
                <w:b w:val="0"/>
                <w:bCs/>
                <w:sz w:val="24"/>
                <w:szCs w:val="24"/>
                <w:lang w:val="en-US" w:eastAsia="zh-CN"/>
              </w:rPr>
              <w:t xml:space="preserve"> for 30s</w:t>
            </w:r>
            <w:r>
              <w:rPr>
                <w:rFonts w:hint="default" w:ascii="Times New Roman" w:hAnsi="Times New Roman" w:cs="Times New Roman"/>
                <w:b w:val="0"/>
                <w:bCs/>
                <w:sz w:val="24"/>
                <w:szCs w:val="24"/>
                <w:lang w:val="en-US" w:eastAsia="zh-CN"/>
              </w:rPr>
              <w:t xml:space="preserve"> and centrifugation at 12000 rpm for 10 minutes at 4°C, the supernatant was transferred to a labeled tube and incubated at -20°C for 30 minutes. Following centrifugation at 12000 rpm for 3 minutes at 4°C, the supernatant was dried under nitrogen gas. Subsequently, 50% methanol</w:t>
            </w:r>
            <w:r>
              <w:rPr>
                <w:rFonts w:hint="eastAsia" w:ascii="Times New Roman" w:hAnsi="Times New Roman" w:cs="Times New Roman"/>
                <w:b w:val="0"/>
                <w:bCs/>
                <w:sz w:val="24"/>
                <w:szCs w:val="24"/>
                <w:lang w:val="en-US" w:eastAsia="zh-CN"/>
              </w:rPr>
              <w:t xml:space="preserve"> (</w:t>
            </w:r>
            <w:r>
              <w:rPr>
                <w:rFonts w:hint="default" w:ascii="Times New Roman" w:hAnsi="Times New Roman" w:eastAsia="宋体" w:cs="Times New Roman"/>
                <w:bCs/>
                <w:kern w:val="2"/>
                <w:sz w:val="24"/>
                <w:szCs w:val="24"/>
                <w:highlight w:val="none"/>
                <w:lang w:val="en-US" w:eastAsia="zh-CN" w:bidi="ar-SA"/>
              </w:rPr>
              <w:t>V8ZG1H</w:t>
            </w:r>
            <w:r>
              <w:rPr>
                <w:rFonts w:hint="eastAsia" w:ascii="Times New Roman" w:hAnsi="Times New Roman" w:eastAsia="宋体" w:cs="Times New Roman"/>
                <w:bCs/>
                <w:kern w:val="2"/>
                <w:sz w:val="24"/>
                <w:szCs w:val="24"/>
                <w:highlight w:val="none"/>
                <w:lang w:val="en-US" w:eastAsia="zh-CN" w:bidi="ar-SA"/>
              </w:rPr>
              <w:t xml:space="preserve">, </w:t>
            </w:r>
            <w:r>
              <w:rPr>
                <w:rFonts w:hint="default" w:ascii="Times New Roman" w:hAnsi="Times New Roman" w:eastAsia="宋体" w:cs="Times New Roman"/>
                <w:bCs/>
                <w:kern w:val="2"/>
                <w:sz w:val="24"/>
                <w:szCs w:val="24"/>
                <w:lang w:val="en-US" w:eastAsia="zh-CN" w:bidi="ar-SA"/>
              </w:rPr>
              <w:t>Honeywell</w:t>
            </w:r>
            <w:r>
              <w:rPr>
                <w:rFonts w:hint="eastAsia" w:ascii="Times New Roman" w:hAnsi="Times New Roman" w:cs="Times New Roman"/>
                <w:b w:val="0"/>
                <w:bCs/>
                <w:sz w:val="24"/>
                <w:szCs w:val="24"/>
                <w:lang w:val="en-US" w:eastAsia="zh-CN"/>
              </w:rPr>
              <w:t>)</w:t>
            </w:r>
            <w:r>
              <w:rPr>
                <w:rFonts w:hint="default" w:ascii="Times New Roman" w:hAnsi="Times New Roman" w:cs="Times New Roman"/>
                <w:b w:val="0"/>
                <w:bCs/>
                <w:sz w:val="24"/>
                <w:szCs w:val="24"/>
                <w:lang w:val="en-US" w:eastAsia="zh-CN"/>
              </w:rPr>
              <w:t xml:space="preserve"> </w:t>
            </w:r>
            <w:r>
              <w:rPr>
                <w:rFonts w:hint="eastAsia" w:ascii="Times New Roman" w:hAnsi="Times New Roman" w:cs="Times New Roman"/>
                <w:b w:val="0"/>
                <w:bCs/>
                <w:sz w:val="24"/>
                <w:szCs w:val="24"/>
                <w:lang w:val="en-US" w:eastAsia="zh-CN"/>
              </w:rPr>
              <w:t>and 0.1% formic acid (</w:t>
            </w:r>
            <w:r>
              <w:rPr>
                <w:rFonts w:hint="default" w:ascii="Times New Roman" w:hAnsi="Times New Roman" w:eastAsia="宋体" w:cs="Times New Roman"/>
                <w:bCs/>
                <w:kern w:val="2"/>
                <w:sz w:val="24"/>
                <w:szCs w:val="24"/>
                <w:highlight w:val="none"/>
                <w:lang w:val="en-US" w:eastAsia="zh-CN" w:bidi="ar-SA"/>
              </w:rPr>
              <w:t>SHBN5849</w:t>
            </w:r>
            <w:r>
              <w:rPr>
                <w:rFonts w:hint="eastAsia" w:ascii="Times New Roman" w:hAnsi="Times New Roman" w:eastAsia="宋体" w:cs="Times New Roman"/>
                <w:bCs/>
                <w:kern w:val="2"/>
                <w:sz w:val="24"/>
                <w:szCs w:val="24"/>
                <w:highlight w:val="none"/>
                <w:lang w:val="en-US" w:eastAsia="zh-CN" w:bidi="ar-SA"/>
              </w:rPr>
              <w:t xml:space="preserve">, </w:t>
            </w:r>
            <w:r>
              <w:rPr>
                <w:rFonts w:hint="default" w:ascii="Times New Roman" w:hAnsi="Times New Roman" w:eastAsia="宋体" w:cs="Times New Roman"/>
                <w:bCs/>
                <w:kern w:val="2"/>
                <w:sz w:val="24"/>
                <w:szCs w:val="24"/>
                <w:lang w:val="en-US" w:eastAsia="zh-CN" w:bidi="ar-SA"/>
              </w:rPr>
              <w:t>Sigma-Aldrich</w:t>
            </w:r>
            <w:r>
              <w:rPr>
                <w:rFonts w:hint="eastAsia" w:ascii="Times New Roman" w:hAnsi="Times New Roman" w:cs="Times New Roman"/>
                <w:b w:val="0"/>
                <w:bCs/>
                <w:sz w:val="24"/>
                <w:szCs w:val="24"/>
                <w:lang w:val="en-US" w:eastAsia="zh-CN"/>
              </w:rPr>
              <w:t xml:space="preserve">) mixture </w:t>
            </w:r>
            <w:r>
              <w:rPr>
                <w:rFonts w:hint="default" w:ascii="Times New Roman" w:hAnsi="Times New Roman" w:cs="Times New Roman"/>
                <w:b w:val="0"/>
                <w:bCs/>
                <w:sz w:val="24"/>
                <w:szCs w:val="24"/>
                <w:lang w:val="en-US" w:eastAsia="zh-CN"/>
              </w:rPr>
              <w:t xml:space="preserve">was added, vortexed, and sonicated before centrifugation at 12000 rpm for 15 minutes at 4°C. Finally, the resulting supernatant was transferred to a vial-lined tube for </w:t>
            </w:r>
            <w:r>
              <w:rPr>
                <w:rFonts w:hint="eastAsia" w:ascii="Times New Roman" w:hAnsi="Times New Roman" w:cs="Times New Roman"/>
                <w:b w:val="0"/>
                <w:bCs/>
                <w:sz w:val="24"/>
                <w:szCs w:val="24"/>
                <w:lang w:val="en-US" w:eastAsia="zh-CN"/>
              </w:rPr>
              <w:t xml:space="preserve">the injection into the </w:t>
            </w:r>
            <w:r>
              <w:rPr>
                <w:rFonts w:hint="eastAsia" w:ascii="Times New Roman" w:hAnsi="Times New Roman" w:eastAsia="宋体" w:cs="Times New Roman"/>
                <w:sz w:val="24"/>
                <w:lang w:val="en-US" w:eastAsia="zh-CN"/>
              </w:rPr>
              <w:t xml:space="preserve">untargeted </w:t>
            </w:r>
            <w:r>
              <w:rPr>
                <w:rFonts w:hint="eastAsia" w:ascii="Times New Roman" w:hAnsi="Times New Roman" w:cs="Times New Roman"/>
                <w:b w:val="0"/>
                <w:bCs/>
                <w:sz w:val="24"/>
                <w:szCs w:val="24"/>
                <w:lang w:val="en-US" w:eastAsia="zh-CN"/>
              </w:rPr>
              <w:t>UPLC-MS/MS system. To evaluate instrument status pre-injection and ensure system stability throughout the experiment, quality control (QC) samples were used. These consisted of sample extract mixtures, with one QC sample for every 8 samples to monitor analysis reproducibility. 5</w:t>
            </w:r>
            <w:r>
              <w:rPr>
                <w:rFonts w:hint="default" w:ascii="Times New Roman" w:hAnsi="Times New Roman" w:cs="Times New Roman"/>
                <w:bCs/>
                <w:sz w:val="28"/>
                <w:szCs w:val="28"/>
                <w:lang w:val="en-US" w:eastAsia="zh-CN" w:bidi="zh-CN"/>
              </w:rPr>
              <w:t>µL</w:t>
            </w:r>
            <w:r>
              <w:rPr>
                <w:rFonts w:hint="eastAsia" w:ascii="Times New Roman" w:hAnsi="Times New Roman" w:cs="Times New Roman"/>
                <w:b w:val="0"/>
                <w:bCs/>
                <w:sz w:val="24"/>
                <w:szCs w:val="24"/>
                <w:lang w:val="en-US" w:eastAsia="zh-CN"/>
              </w:rPr>
              <w:t xml:space="preserve"> of each sample were used for QC preparation. 12 QC samples were set for the discovery cohort, and 5 for the validation cohort.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outlineLvl w:val="2"/>
              <w:rPr>
                <w:rFonts w:hint="default" w:ascii="Times New Roman" w:hAnsi="Times New Roman" w:eastAsia="宋体" w:cs="Times New Roman"/>
                <w:b/>
                <w:bCs/>
                <w:sz w:val="24"/>
                <w:szCs w:val="24"/>
                <w:vertAlign w:val="baseline"/>
              </w:rPr>
            </w:pPr>
            <w:r>
              <w:rPr>
                <w:rFonts w:hint="eastAsia" w:ascii="Times New Roman" w:hAnsi="Times New Roman" w:eastAsia="宋体" w:cs="Times New Roman"/>
                <w:b/>
                <w:bCs/>
                <w:i w:val="0"/>
                <w:iCs w:val="0"/>
                <w:sz w:val="24"/>
                <w:highlight w:val="none"/>
                <w:lang w:val="en-US" w:eastAsia="zh-CN"/>
              </w:rPr>
              <w:t xml:space="preserve">2. Untargeted </w:t>
            </w:r>
            <w:r>
              <w:rPr>
                <w:rFonts w:hint="eastAsia" w:ascii="Times New Roman" w:hAnsi="Times New Roman" w:cs="Times New Roman"/>
                <w:b/>
                <w:bCs/>
                <w:i w:val="0"/>
                <w:iCs w:val="0"/>
                <w:sz w:val="24"/>
                <w:szCs w:val="24"/>
                <w:highlight w:val="none"/>
                <w:lang w:val="en-US" w:eastAsia="zh-CN"/>
              </w:rPr>
              <w:t>UPLC-MS/MS acquisition conditions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ind w:firstLine="480" w:firstLineChars="200"/>
              <w:outlineLvl w:val="2"/>
              <w:rPr>
                <w:rFonts w:hint="default" w:ascii="Times New Roman" w:hAnsi="Times New Roman" w:eastAsia="宋体" w:cs="Times New Roman"/>
                <w:b/>
                <w:bCs/>
                <w:sz w:val="24"/>
                <w:szCs w:val="24"/>
                <w:vertAlign w:val="baseline"/>
              </w:rPr>
            </w:pPr>
            <w:r>
              <w:rPr>
                <w:rFonts w:hint="default" w:ascii="Times New Roman" w:hAnsi="Times New Roman" w:cs="Times New Roman"/>
                <w:b w:val="0"/>
                <w:bCs/>
                <w:i w:val="0"/>
                <w:iCs w:val="0"/>
                <w:sz w:val="24"/>
                <w:szCs w:val="24"/>
                <w:highlight w:val="none"/>
                <w:lang w:val="en-US" w:eastAsia="zh-CN"/>
              </w:rPr>
              <w:t>To increase compound coverage, ACQUITY UPLC BEH Amide column (2.1</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100 mm, 1.7 μm, Waters, USA) and ACQUITY UPLC HSS T3 column (2.1</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 xml:space="preserve">100 mm, 1.8 μm, Waters, USA) were employed for compound separation. Initially, chromatographic analysis was conducted using an ultra-high-performance liquid chromatography system (ExionLC (277), AB Sciex, USA). The chromatographic parameters were set as follows: column temperature 40°C, flow rate 200 </w:t>
            </w:r>
            <w:r>
              <w:rPr>
                <w:rFonts w:hint="eastAsia" w:ascii="Times New Roman" w:hAnsi="Times New Roman" w:cs="Times New Roman"/>
                <w:b w:val="0"/>
                <w:bCs/>
                <w:i w:val="0"/>
                <w:iCs w:val="0"/>
                <w:sz w:val="24"/>
                <w:szCs w:val="24"/>
                <w:highlight w:val="none"/>
                <w:lang w:val="en-US" w:eastAsia="zh-CN"/>
              </w:rPr>
              <w:t>µL</w:t>
            </w:r>
            <w:r>
              <w:rPr>
                <w:rFonts w:hint="default" w:ascii="Times New Roman" w:hAnsi="Times New Roman" w:cs="Times New Roman"/>
                <w:b w:val="0"/>
                <w:bCs/>
                <w:i w:val="0"/>
                <w:iCs w:val="0"/>
                <w:sz w:val="24"/>
                <w:szCs w:val="24"/>
                <w:highlight w:val="none"/>
                <w:lang w:val="en-US" w:eastAsia="zh-CN"/>
              </w:rPr>
              <w:t xml:space="preserve">/min, injection volume 10 </w:t>
            </w:r>
            <w:r>
              <w:rPr>
                <w:rFonts w:hint="eastAsia" w:ascii="Times New Roman" w:hAnsi="Times New Roman" w:cs="Times New Roman"/>
                <w:b w:val="0"/>
                <w:bCs/>
                <w:i w:val="0"/>
                <w:iCs w:val="0"/>
                <w:sz w:val="24"/>
                <w:szCs w:val="24"/>
                <w:highlight w:val="none"/>
                <w:lang w:val="en-US" w:eastAsia="zh-CN"/>
              </w:rPr>
              <w:t>µL</w:t>
            </w:r>
            <w:r>
              <w:rPr>
                <w:rFonts w:hint="default" w:ascii="Times New Roman" w:hAnsi="Times New Roman" w:cs="Times New Roman"/>
                <w:b w:val="0"/>
                <w:bCs/>
                <w:i w:val="0"/>
                <w:iCs w:val="0"/>
                <w:sz w:val="24"/>
                <w:szCs w:val="24"/>
                <w:highlight w:val="none"/>
                <w:lang w:val="en-US" w:eastAsia="zh-CN"/>
              </w:rPr>
              <w:t>, and autosampler temperature 10°C. For the T3 column, mobile phase A consisted of water with 0.1% formic acid, and mobile phase B consisted of acetonitrile with 0.1% formic acid. For the Amide column, mobile phase A consisted of water with 10 mM ammonium acetate and 0.1% formic acid, while mobile phase B consisted of 90% acetonitrile with 10 mM ammonium formate and 0.1% formic acid. Following separation by ultra-high-performance liquid chromatography, samples were analyzed by Triple TOF 7600 mass spectrometer (AB Sciex, USA) in both positive and negative electrospray ionization modes. Sample collection time was set at 21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adjustRightInd w:val="0"/>
              <w:snapToGrid w:val="0"/>
              <w:spacing w:after="0" w:line="240" w:lineRule="auto"/>
              <w:rPr>
                <w:rFonts w:hint="default" w:ascii="Times New Roman" w:hAnsi="Times New Roman" w:eastAsia="宋体" w:cs="Times New Roman"/>
                <w:b/>
                <w:bCs/>
                <w:sz w:val="24"/>
                <w:szCs w:val="24"/>
                <w:vertAlign w:val="baseline"/>
              </w:rPr>
            </w:pPr>
            <w:r>
              <w:rPr>
                <w:rFonts w:hint="eastAsia" w:ascii="Times New Roman" w:hAnsi="Times New Roman" w:cs="Times New Roman"/>
                <w:b/>
                <w:i w:val="0"/>
                <w:iCs w:val="0"/>
                <w:sz w:val="24"/>
                <w:szCs w:val="24"/>
                <w:highlight w:val="none"/>
                <w:lang w:val="en-US" w:eastAsia="zh-CN"/>
              </w:rPr>
              <w:t>3. Metabolites identification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ind w:firstLine="480" w:firstLineChars="200"/>
              <w:outlineLvl w:val="2"/>
              <w:rPr>
                <w:rFonts w:hint="default" w:ascii="Times New Roman" w:hAnsi="Times New Roman" w:eastAsia="宋体" w:cs="Times New Roman"/>
                <w:b/>
                <w:bCs/>
                <w:sz w:val="24"/>
                <w:szCs w:val="24"/>
                <w:vertAlign w:val="baseline"/>
              </w:rPr>
            </w:pPr>
            <w:r>
              <w:rPr>
                <w:rFonts w:hint="default" w:ascii="Times New Roman" w:hAnsi="Times New Roman" w:cs="Times New Roman"/>
                <w:b w:val="0"/>
                <w:bCs/>
                <w:i w:val="0"/>
                <w:iCs w:val="0"/>
                <w:sz w:val="24"/>
                <w:szCs w:val="24"/>
                <w:highlight w:val="none"/>
                <w:lang w:val="en-US" w:eastAsia="zh-CN"/>
              </w:rPr>
              <w:t>Metabolite identification was performed using the metabolite identification function provided by Progenesis QI software (Waters, USA), matching MS2 spectra with metabolite standard spectral libraries. Identif</w:t>
            </w:r>
            <w:r>
              <w:rPr>
                <w:rFonts w:hint="default" w:ascii="Times New Roman" w:hAnsi="Times New Roman" w:cs="Times New Roman"/>
                <w:b w:val="0"/>
                <w:bCs/>
                <w:i w:val="0"/>
                <w:iCs w:val="0"/>
                <w:sz w:val="24"/>
                <w:szCs w:val="24"/>
                <w:lang w:val="en-US" w:eastAsia="zh-CN"/>
              </w:rPr>
              <w:t>ication was conducted separately for T3 and Amide modes, including peak extraction, alignment, and integration. Initially, raw data were searched against the METLIN and HMDB libraries, with precursor and fragment search tolerances set at 10 and 20 ppm, respectively. For HMDB, precursor and fragment search tolerances were both set at 12 ppm, with a retention time tolerance of within 0.5 minutes. Subsequently, a set criteria of score ≥50, q-value &lt;0.05, and ANOVA (</w:t>
            </w:r>
            <w:r>
              <w:rPr>
                <w:rFonts w:hint="default" w:ascii="Times New Roman" w:hAnsi="Times New Roman" w:cs="Times New Roman"/>
                <w:b w:val="0"/>
                <w:bCs/>
                <w:i/>
                <w:iCs/>
                <w:sz w:val="24"/>
                <w:szCs w:val="24"/>
                <w:lang w:val="en-US" w:eastAsia="zh-CN"/>
              </w:rPr>
              <w:t>p</w:t>
            </w:r>
            <w:r>
              <w:rPr>
                <w:rFonts w:hint="default" w:ascii="Times New Roman" w:hAnsi="Times New Roman" w:cs="Times New Roman"/>
                <w:b w:val="0"/>
                <w:bCs/>
                <w:i w:val="0"/>
                <w:iCs w:val="0"/>
                <w:sz w:val="24"/>
                <w:szCs w:val="24"/>
                <w:lang w:val="en-US" w:eastAsia="zh-CN"/>
              </w:rPr>
              <w:t>) &lt;0.05 was applied to select potential identifications for each compound. Finally, compounds were manually identified based on mass spectrometry/mass spectrometry matching.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outlineLvl w:val="2"/>
              <w:rPr>
                <w:rFonts w:hint="default" w:ascii="Times New Roman" w:hAnsi="Times New Roman" w:eastAsia="宋体" w:cs="Times New Roman"/>
                <w:b/>
                <w:bCs/>
                <w:sz w:val="24"/>
                <w:szCs w:val="24"/>
                <w:vertAlign w:val="baseline"/>
              </w:rPr>
            </w:pPr>
            <w:r>
              <w:rPr>
                <w:rFonts w:hint="eastAsia" w:ascii="Times New Roman" w:hAnsi="Times New Roman" w:cs="Times New Roman"/>
                <w:b/>
                <w:i w:val="0"/>
                <w:iCs w:val="0"/>
                <w:sz w:val="24"/>
                <w:szCs w:val="24"/>
                <w:lang w:val="en-US" w:eastAsia="zh-CN"/>
              </w:rPr>
              <w:t>4. Metabolites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numPr>
                <w:ilvl w:val="0"/>
                <w:numId w:val="0"/>
              </w:numPr>
              <w:adjustRightInd w:val="0"/>
              <w:snapToGrid w:val="0"/>
              <w:spacing w:after="0" w:line="240" w:lineRule="auto"/>
              <w:ind w:firstLine="480" w:firstLineChars="200"/>
              <w:outlineLvl w:val="2"/>
              <w:rPr>
                <w:rFonts w:hint="default" w:ascii="Times New Roman" w:hAnsi="Times New Roman" w:eastAsia="宋体" w:cs="Times New Roman"/>
                <w:b/>
                <w:bCs/>
                <w:sz w:val="24"/>
                <w:szCs w:val="24"/>
                <w:vertAlign w:val="baseline"/>
              </w:rPr>
            </w:pPr>
            <w:r>
              <w:rPr>
                <w:rFonts w:hint="default" w:ascii="Times New Roman" w:hAnsi="Times New Roman" w:cs="Times New Roman"/>
                <w:b w:val="0"/>
                <w:bCs/>
                <w:i w:val="0"/>
                <w:iCs w:val="0"/>
                <w:sz w:val="24"/>
                <w:szCs w:val="24"/>
                <w:lang w:val="en-US" w:eastAsia="zh-CN"/>
              </w:rPr>
              <w:t xml:space="preserve">Firstly, </w:t>
            </w:r>
            <w:r>
              <w:rPr>
                <w:rFonts w:hint="eastAsia" w:ascii="Times New Roman" w:hAnsi="Times New Roman" w:cs="Times New Roman"/>
                <w:b w:val="0"/>
                <w:bCs/>
                <w:i w:val="0"/>
                <w:iCs w:val="0"/>
                <w:sz w:val="24"/>
                <w:szCs w:val="24"/>
                <w:lang w:val="en-US" w:eastAsia="zh-CN"/>
              </w:rPr>
              <w:t>f</w:t>
            </w:r>
            <w:r>
              <w:rPr>
                <w:rFonts w:hint="default" w:ascii="Times New Roman" w:hAnsi="Times New Roman" w:cs="Times New Roman"/>
                <w:b w:val="0"/>
                <w:bCs/>
                <w:i w:val="0"/>
                <w:iCs w:val="0"/>
                <w:sz w:val="24"/>
                <w:szCs w:val="24"/>
                <w:lang w:val="en-US" w:eastAsia="zh-CN"/>
              </w:rPr>
              <w:t xml:space="preserve">ilter out </w:t>
            </w:r>
            <w:r>
              <w:rPr>
                <w:rFonts w:hint="eastAsia" w:ascii="Times New Roman" w:hAnsi="Times New Roman" w:cs="Times New Roman"/>
                <w:b w:val="0"/>
                <w:bCs/>
                <w:i w:val="0"/>
                <w:iCs w:val="0"/>
                <w:sz w:val="24"/>
                <w:szCs w:val="24"/>
                <w:lang w:val="en-US" w:eastAsia="zh-CN"/>
              </w:rPr>
              <w:t>metabolites</w:t>
            </w:r>
            <w:r>
              <w:rPr>
                <w:rFonts w:hint="default" w:ascii="Times New Roman" w:hAnsi="Times New Roman" w:cs="Times New Roman"/>
                <w:b w:val="0"/>
                <w:bCs/>
                <w:i w:val="0"/>
                <w:iCs w:val="0"/>
                <w:sz w:val="24"/>
                <w:szCs w:val="24"/>
                <w:lang w:val="en-US" w:eastAsia="zh-CN"/>
              </w:rPr>
              <w:t xml:space="preserve"> with more than 50% missing values,</w:t>
            </w:r>
            <w:r>
              <w:rPr>
                <w:rFonts w:hint="eastAsia" w:ascii="Times New Roman" w:hAnsi="Times New Roman" w:cs="Times New Roman"/>
                <w:b w:val="0"/>
                <w:bCs/>
                <w:i w:val="0"/>
                <w:iCs w:val="0"/>
                <w:sz w:val="24"/>
                <w:szCs w:val="24"/>
                <w:lang w:val="en-US" w:eastAsia="zh-CN"/>
              </w:rPr>
              <w:t xml:space="preserve"> </w:t>
            </w:r>
            <w:r>
              <w:rPr>
                <w:rFonts w:hint="default" w:ascii="Times New Roman" w:hAnsi="Times New Roman" w:cs="Times New Roman"/>
                <w:b w:val="0"/>
                <w:bCs/>
                <w:i w:val="0"/>
                <w:iCs w:val="0"/>
                <w:sz w:val="24"/>
                <w:szCs w:val="24"/>
                <w:lang w:val="en-US" w:eastAsia="zh-CN"/>
              </w:rPr>
              <w:t xml:space="preserve">missing values in </w:t>
            </w:r>
            <w:r>
              <w:rPr>
                <w:rFonts w:hint="default" w:ascii="Times New Roman" w:hAnsi="Times New Roman" w:cs="Times New Roman"/>
                <w:b w:val="0"/>
                <w:bCs/>
                <w:i w:val="0"/>
                <w:iCs w:val="0"/>
                <w:sz w:val="24"/>
                <w:szCs w:val="24"/>
                <w:highlight w:val="none"/>
                <w:lang w:val="en-US" w:eastAsia="zh-CN"/>
              </w:rPr>
              <w:t>the data were imputed using the K-nearest neighbor (KNN) method through MetaboAnalyst (</w:t>
            </w:r>
            <w:r>
              <w:rPr>
                <w:rStyle w:val="6"/>
                <w:rFonts w:hint="default"/>
                <w:highlight w:val="none"/>
                <w:lang w:val="en-US" w:eastAsia="zh-CN"/>
              </w:rPr>
              <w:t>https://www.metaboanalyst.ca/</w:t>
            </w:r>
            <w:r>
              <w:rPr>
                <w:rFonts w:hint="default" w:ascii="Times New Roman" w:hAnsi="Times New Roman" w:cs="Times New Roman"/>
                <w:b w:val="0"/>
                <w:bCs/>
                <w:i w:val="0"/>
                <w:iCs w:val="0"/>
                <w:sz w:val="24"/>
                <w:szCs w:val="24"/>
                <w:highlight w:val="none"/>
                <w:lang w:val="en-US" w:eastAsia="zh-CN"/>
              </w:rPr>
              <w:t>). Subsequently, total peak area normalization and log2 transformation were performed. Orthogonal partial least squares discriminant analysis (OPLS-DA) and principal component analysis (PCA) were conducted using SIMCA 14.1</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(MKS</w:t>
            </w:r>
            <w:r>
              <w:rPr>
                <w:rFonts w:hint="eastAsia" w:ascii="Times New Roman" w:hAnsi="Times New Roman" w:cs="Times New Roman"/>
                <w:b w:val="0"/>
                <w:bCs/>
                <w:i w:val="0"/>
                <w:iCs w:val="0"/>
                <w:sz w:val="24"/>
                <w:szCs w:val="24"/>
                <w:highlight w:val="none"/>
                <w:lang w:val="en-US" w:eastAsia="zh-CN"/>
              </w:rPr>
              <w:t xml:space="preserve"> </w:t>
            </w:r>
            <w:r>
              <w:rPr>
                <w:rFonts w:hint="default" w:ascii="Times New Roman" w:hAnsi="Times New Roman" w:cs="Times New Roman"/>
                <w:b w:val="0"/>
                <w:bCs/>
                <w:i w:val="0"/>
                <w:iCs w:val="0"/>
                <w:sz w:val="24"/>
                <w:szCs w:val="24"/>
                <w:highlight w:val="none"/>
                <w:lang w:val="en-US" w:eastAsia="zh-CN"/>
              </w:rPr>
              <w:t>UMETRICS) software to distinguish metabolite differences between different groups. The reliability of this statistical model was validated through permutation tests. In terms of</w:t>
            </w:r>
            <w:r>
              <w:rPr>
                <w:rFonts w:hint="default" w:ascii="Times New Roman" w:hAnsi="Times New Roman" w:cs="Times New Roman"/>
                <w:b w:val="0"/>
                <w:bCs/>
                <w:i w:val="0"/>
                <w:iCs w:val="0"/>
                <w:sz w:val="24"/>
                <w:szCs w:val="24"/>
                <w:lang w:val="en-US" w:eastAsia="zh-CN"/>
              </w:rPr>
              <w:t xml:space="preserve"> quality control, correlation analysis, coefficient of variation curve analysis</w:t>
            </w:r>
            <w:r>
              <w:rPr>
                <w:rFonts w:hint="eastAsia" w:ascii="Times New Roman" w:hAnsi="Times New Roman" w:cs="Times New Roman"/>
                <w:b w:val="0"/>
                <w:bCs/>
                <w:i w:val="0"/>
                <w:iCs w:val="0"/>
                <w:sz w:val="24"/>
                <w:szCs w:val="24"/>
                <w:lang w:val="en-US" w:eastAsia="zh-CN"/>
              </w:rPr>
              <w:t xml:space="preserve"> (by </w:t>
            </w:r>
            <w:r>
              <w:rPr>
                <w:rFonts w:hint="default" w:ascii="Times New Roman" w:hAnsi="Times New Roman" w:cs="Times New Roman"/>
                <w:b w:val="0"/>
                <w:bCs/>
                <w:i w:val="0"/>
                <w:iCs w:val="0"/>
                <w:sz w:val="24"/>
                <w:szCs w:val="24"/>
                <w:lang w:val="en-US" w:eastAsia="zh-CN"/>
              </w:rPr>
              <w:t>BioLadder website</w:t>
            </w:r>
            <w:r>
              <w:rPr>
                <w:rFonts w:hint="eastAsia" w:ascii="Times New Roman" w:hAnsi="Times New Roman" w:cs="Times New Roman"/>
                <w:b w:val="0"/>
                <w:bCs/>
                <w:i w:val="0"/>
                <w:iCs w:val="0"/>
                <w:sz w:val="24"/>
                <w:szCs w:val="24"/>
                <w:lang w:val="en-US" w:eastAsia="zh-CN"/>
              </w:rPr>
              <w:t xml:space="preserve">: </w:t>
            </w:r>
            <w:r>
              <w:rPr>
                <w:rStyle w:val="6"/>
                <w:rFonts w:hint="eastAsia"/>
                <w:lang w:val="en-US" w:eastAsia="zh-CN"/>
              </w:rPr>
              <w:t>https://www.bioladder.cn/web/#/pro/cloud</w:t>
            </w:r>
            <w:r>
              <w:rPr>
                <w:rFonts w:hint="eastAsia" w:ascii="Times New Roman" w:hAnsi="Times New Roman" w:cs="Times New Roman"/>
                <w:b w:val="0"/>
                <w:bCs/>
                <w:i w:val="0"/>
                <w:iCs w:val="0"/>
                <w:sz w:val="24"/>
                <w:szCs w:val="24"/>
                <w:lang w:val="en-US" w:eastAsia="zh-CN"/>
              </w:rPr>
              <w:t>)</w:t>
            </w:r>
            <w:r>
              <w:rPr>
                <w:rFonts w:hint="default" w:ascii="Times New Roman" w:hAnsi="Times New Roman" w:cs="Times New Roman"/>
                <w:b w:val="0"/>
                <w:bCs/>
                <w:i w:val="0"/>
                <w:iCs w:val="0"/>
                <w:sz w:val="24"/>
                <w:szCs w:val="24"/>
                <w:lang w:val="en-US" w:eastAsia="zh-CN"/>
              </w:rPr>
              <w:t xml:space="preserve">, and PCA analysis of QC samples were performed to ensure the repeatability and reliability of the experiment. Metabolite differences between different groups were represented by fold change (FC), variable importance in projection (VIP) values, and </w:t>
            </w:r>
            <w:r>
              <w:rPr>
                <w:rFonts w:hint="default" w:ascii="Times New Roman" w:hAnsi="Times New Roman" w:cs="Times New Roman"/>
                <w:b w:val="0"/>
                <w:bCs/>
                <w:i/>
                <w:iCs/>
                <w:sz w:val="24"/>
                <w:szCs w:val="24"/>
                <w:lang w:val="en-US" w:eastAsia="zh-CN"/>
              </w:rPr>
              <w:t>P</w:t>
            </w:r>
            <w:r>
              <w:rPr>
                <w:rFonts w:hint="default" w:ascii="Times New Roman" w:hAnsi="Times New Roman" w:cs="Times New Roman"/>
                <w:b w:val="0"/>
                <w:bCs/>
                <w:i w:val="0"/>
                <w:iCs w:val="0"/>
                <w:sz w:val="24"/>
                <w:szCs w:val="24"/>
                <w:lang w:val="en-US" w:eastAsia="zh-CN"/>
              </w:rPr>
              <w:t>-values. KEGG pathway analysis was conducted using MetaboAnalyst</w:t>
            </w:r>
            <w:r>
              <w:rPr>
                <w:rFonts w:hint="eastAsia" w:ascii="Times New Roman" w:hAnsi="Times New Roman" w:cs="Times New Roman"/>
                <w:b w:val="0"/>
                <w:bCs/>
                <w:i w:val="0"/>
                <w:iCs w:val="0"/>
                <w:sz w:val="24"/>
                <w:szCs w:val="24"/>
                <w:lang w:val="en-US" w:eastAsia="zh-CN"/>
              </w:rPr>
              <w:t xml:space="preserve">. </w:t>
            </w:r>
          </w:p>
        </w:tc>
      </w:tr>
    </w:tbl>
    <w:p>
      <w:pPr>
        <w:adjustRightInd w:val="0"/>
        <w:snapToGrid w:val="0"/>
        <w:spacing w:after="0" w:line="240" w:lineRule="auto"/>
        <w:rPr>
          <w:rFonts w:hint="default" w:ascii="Times New Roman" w:hAnsi="Times New Roman" w:eastAsia="宋体" w:cs="Times New Roman"/>
          <w:b/>
          <w:bCs/>
          <w:sz w:val="24"/>
          <w:szCs w:val="24"/>
        </w:rPr>
      </w:pPr>
    </w:p>
    <w:p>
      <w:pPr>
        <w:spacing w:after="0" w:line="24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br w:type="page"/>
      </w:r>
    </w:p>
    <w:p>
      <w:pPr>
        <w:spacing w:after="0" w:line="480" w:lineRule="auto"/>
        <w:rPr>
          <w:rFonts w:hint="default" w:ascii="Times New Roman" w:hAnsi="Times New Roman" w:eastAsia="宋体" w:cs="Times New Roman"/>
          <w:b/>
          <w:bCs/>
          <w:sz w:val="24"/>
          <w:szCs w:val="24"/>
        </w:rPr>
        <w:sectPr>
          <w:footerReference r:id="rId5" w:type="default"/>
          <w:pgSz w:w="11906" w:h="16838"/>
          <w:pgMar w:top="1440" w:right="1800" w:bottom="1440" w:left="1800" w:header="851" w:footer="992" w:gutter="0"/>
          <w:lnNumType w:countBy="1" w:restart="continuous"/>
          <w:cols w:space="425" w:num="1"/>
          <w:docGrid w:type="lines" w:linePitch="312" w:charSpace="0"/>
        </w:sectPr>
      </w:pPr>
    </w:p>
    <w:p>
      <w:pPr>
        <w:spacing w:after="0" w:line="48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Table S</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rPr>
        <w:t>. Clinical characteristics of GEO datasets</w:t>
      </w:r>
      <w:r>
        <w:rPr>
          <w:rFonts w:hint="eastAsia" w:ascii="Times New Roman" w:hAnsi="Times New Roman" w:eastAsia="宋体" w:cs="Times New Roman"/>
          <w:b/>
          <w:bCs/>
          <w:sz w:val="24"/>
          <w:szCs w:val="24"/>
          <w:lang w:val="en-US" w:eastAsia="zh-CN"/>
        </w:rPr>
        <w:t xml:space="preserve"> for bulk-RNA seq</w:t>
      </w:r>
      <w:r>
        <w:rPr>
          <w:rFonts w:hint="default" w:ascii="Times New Roman" w:hAnsi="Times New Roman" w:eastAsia="宋体" w:cs="Times New Roman"/>
          <w:b/>
          <w:bCs/>
          <w:sz w:val="24"/>
          <w:szCs w:val="24"/>
        </w:rPr>
        <w:t>.</w:t>
      </w:r>
    </w:p>
    <w:tbl>
      <w:tblPr>
        <w:tblStyle w:val="3"/>
        <w:tblW w:w="512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4"/>
        <w:gridCol w:w="1362"/>
        <w:gridCol w:w="1384"/>
        <w:gridCol w:w="1395"/>
        <w:gridCol w:w="1420"/>
        <w:gridCol w:w="1500"/>
        <w:gridCol w:w="1500"/>
        <w:gridCol w:w="1605"/>
        <w:gridCol w:w="1545"/>
        <w:gridCol w:w="1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 w:hRule="atLeast"/>
          <w:jc w:val="center"/>
        </w:trPr>
        <w:tc>
          <w:tcPr>
            <w:tcW w:w="476" w:type="pct"/>
            <w:vMerge w:val="restart"/>
            <w:tcBorders>
              <w:top w:val="single" w:color="000000" w:sz="4" w:space="0"/>
              <w:left w:val="nil"/>
              <w:bottom w:val="single" w:color="000000" w:sz="4" w:space="0"/>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GEO datasets</w:t>
            </w:r>
          </w:p>
        </w:tc>
        <w:tc>
          <w:tcPr>
            <w:tcW w:w="469" w:type="pct"/>
            <w:vMerge w:val="restart"/>
            <w:tcBorders>
              <w:top w:val="single" w:color="000000" w:sz="4" w:space="0"/>
              <w:left w:val="nil"/>
              <w:bottom w:val="nil"/>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Cohorts</w:t>
            </w:r>
          </w:p>
        </w:tc>
        <w:tc>
          <w:tcPr>
            <w:tcW w:w="1445" w:type="pct"/>
            <w:gridSpan w:val="3"/>
            <w:tcBorders>
              <w:top w:val="single" w:color="000000" w:sz="4" w:space="0"/>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Risk model construction and validation</w:t>
            </w:r>
          </w:p>
        </w:tc>
        <w:tc>
          <w:tcPr>
            <w:tcW w:w="2608" w:type="pct"/>
            <w:gridSpan w:val="5"/>
            <w:tcBorders>
              <w:top w:val="single" w:color="000000" w:sz="4" w:space="0"/>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Immunotherapy prediction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76" w:type="pct"/>
            <w:vMerge w:val="continue"/>
            <w:tcBorders>
              <w:top w:val="single" w:color="000000" w:sz="4" w:space="0"/>
              <w:left w:val="nil"/>
              <w:bottom w:val="single" w:color="000000" w:sz="4" w:space="0"/>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vMerge w:val="continue"/>
            <w:tcBorders>
              <w:top w:val="single" w:color="000000" w:sz="4" w:space="0"/>
              <w:left w:val="nil"/>
              <w:bottom w:val="nil"/>
              <w:right w:val="nil"/>
            </w:tcBorders>
            <w:shd w:val="clear" w:color="auto" w:fill="auto"/>
            <w:vAlign w:val="center"/>
          </w:tcPr>
          <w:p>
            <w:pPr>
              <w:spacing w:after="0" w:line="240" w:lineRule="auto"/>
              <w:jc w:val="center"/>
              <w:rPr>
                <w:rFonts w:hint="default" w:ascii="Times New Roman" w:hAnsi="Times New Roman" w:eastAsia="宋体" w:cs="Times New Roman"/>
                <w:b/>
                <w:bCs/>
                <w:i w:val="0"/>
                <w:iCs w:val="0"/>
                <w:color w:val="000000"/>
                <w:sz w:val="24"/>
                <w:szCs w:val="24"/>
                <w:u w:val="none"/>
              </w:rPr>
            </w:pP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GSE41271</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GSE42127</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GSE37745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GSE126044</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GSE135222</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GSE207422</w:t>
            </w:r>
          </w:p>
        </w:tc>
        <w:tc>
          <w:tcPr>
            <w:tcW w:w="53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GSE100797</w:t>
            </w:r>
          </w:p>
        </w:tc>
        <w:tc>
          <w:tcPr>
            <w:tcW w:w="49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sz w:val="24"/>
                <w:szCs w:val="24"/>
                <w:lang w:val="en-US" w:eastAsia="zh-CN"/>
              </w:rPr>
              <w:t>GSE218989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6" w:type="pct"/>
            <w:vMerge w:val="continue"/>
            <w:tcBorders>
              <w:top w:val="single" w:color="000000" w:sz="4" w:space="0"/>
              <w:left w:val="nil"/>
              <w:bottom w:val="single" w:color="000000" w:sz="4" w:space="0"/>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iCs/>
                <w:color w:val="000000"/>
                <w:sz w:val="24"/>
                <w:szCs w:val="24"/>
                <w:u w:val="none"/>
              </w:rPr>
            </w:pPr>
            <w:r>
              <w:rPr>
                <w:rFonts w:hint="default" w:ascii="Times New Roman" w:hAnsi="Times New Roman" w:eastAsia="宋体" w:cs="Times New Roman"/>
                <w:b/>
                <w:bCs/>
                <w:i/>
                <w:iCs/>
                <w:color w:val="000000"/>
                <w:kern w:val="0"/>
                <w:sz w:val="24"/>
                <w:szCs w:val="24"/>
                <w:u w:val="none"/>
                <w:lang w:val="en-US" w:eastAsia="zh-CN" w:bidi="ar"/>
              </w:rPr>
              <w:t>n</w:t>
            </w:r>
          </w:p>
        </w:tc>
        <w:tc>
          <w:tcPr>
            <w:tcW w:w="476"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274</w:t>
            </w:r>
          </w:p>
        </w:tc>
        <w:tc>
          <w:tcPr>
            <w:tcW w:w="480"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176</w:t>
            </w:r>
          </w:p>
        </w:tc>
        <w:tc>
          <w:tcPr>
            <w:tcW w:w="488"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196</w:t>
            </w:r>
          </w:p>
        </w:tc>
        <w:tc>
          <w:tcPr>
            <w:tcW w:w="516"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16</w:t>
            </w:r>
          </w:p>
        </w:tc>
        <w:tc>
          <w:tcPr>
            <w:tcW w:w="516"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27</w:t>
            </w:r>
          </w:p>
        </w:tc>
        <w:tc>
          <w:tcPr>
            <w:tcW w:w="552"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24</w:t>
            </w:r>
          </w:p>
        </w:tc>
        <w:tc>
          <w:tcPr>
            <w:tcW w:w="532"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25</w:t>
            </w:r>
          </w:p>
        </w:tc>
        <w:tc>
          <w:tcPr>
            <w:tcW w:w="490" w:type="pct"/>
            <w:tcBorders>
              <w:top w:val="nil"/>
              <w:left w:val="nil"/>
              <w:bottom w:val="single" w:color="000000" w:sz="4" w:space="0"/>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restart"/>
            <w:tcBorders>
              <w:top w:val="nil"/>
              <w:left w:val="nil"/>
              <w:bottom w:val="nil"/>
              <w:right w:val="nil"/>
            </w:tcBorders>
            <w:shd w:val="clear" w:color="auto" w:fill="auto"/>
            <w:noWrap/>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Age (year)</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Median</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66.3</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76" w:type="pct"/>
            <w:vMerge w:val="continue"/>
            <w:tcBorders>
              <w:top w:val="nil"/>
              <w:left w:val="nil"/>
              <w:bottom w:val="nil"/>
              <w:right w:val="nil"/>
            </w:tcBorders>
            <w:shd w:val="clear" w:color="auto" w:fill="auto"/>
            <w:noWrap/>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Range</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30-85</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42.3-86.2</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39-84</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34-76</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38-81</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34-76</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restart"/>
            <w:tcBorders>
              <w:top w:val="nil"/>
              <w:left w:val="nil"/>
              <w:bottom w:val="nil"/>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Gender</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Male</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top w:val="nil"/>
              <w:left w:val="nil"/>
              <w:bottom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Female</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127</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restart"/>
            <w:tcBorders>
              <w:top w:val="nil"/>
              <w:left w:val="nil"/>
              <w:bottom w:val="nil"/>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Style w:val="7"/>
                <w:rFonts w:hint="default" w:ascii="Times New Roman" w:hAnsi="Times New Roman" w:eastAsia="宋体" w:cs="Times New Roman"/>
                <w:sz w:val="24"/>
                <w:szCs w:val="24"/>
                <w:lang w:val="en-US" w:eastAsia="zh-CN" w:bidi="ar"/>
              </w:rPr>
              <w:t>Histology</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LUAD</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182</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top w:val="nil"/>
              <w:left w:val="nil"/>
              <w:bottom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LUSC</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top w:val="nil"/>
              <w:left w:val="nil"/>
              <w:bottom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Other</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restart"/>
            <w:tcBorders>
              <w:top w:val="nil"/>
              <w:left w:val="nil"/>
              <w:bottom w:val="nil"/>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TNM Stage</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 and II</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183</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144</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top w:val="nil"/>
              <w:left w:val="nil"/>
              <w:bottom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Ⅲ and Ⅳ</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3</w:t>
            </w:r>
            <w:r>
              <w:rPr>
                <w:rFonts w:hint="eastAsia" w:ascii="Times New Roman" w:hAnsi="Times New Roman" w:eastAsia="宋体" w:cs="Times New Roman"/>
                <w:i w:val="0"/>
                <w:iCs w:val="0"/>
                <w:color w:val="000000"/>
                <w:kern w:val="0"/>
                <w:sz w:val="24"/>
                <w:szCs w:val="24"/>
                <w:u w:val="none"/>
                <w:lang w:val="en-US" w:eastAsia="zh-CN" w:bidi="ar"/>
              </w:rPr>
              <w:t>2</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76" w:type="pct"/>
            <w:vMerge w:val="restart"/>
            <w:tcBorders>
              <w:top w:val="nil"/>
              <w:left w:val="nil"/>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OS status</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Alive</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151</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left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Death</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123</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left w:val="nil"/>
              <w:bottom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Unknown</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restart"/>
            <w:tcBorders>
              <w:top w:val="nil"/>
              <w:left w:val="nil"/>
              <w:right w:val="nil"/>
            </w:tcBorders>
            <w:shd w:val="clear" w:color="auto" w:fill="auto"/>
            <w:vAlign w:val="top"/>
          </w:tcPr>
          <w:p>
            <w:pPr>
              <w:keepNext w:val="0"/>
              <w:keepLines w:val="0"/>
              <w:widowControl/>
              <w:suppressLineNumbers w:val="0"/>
              <w:spacing w:after="0" w:line="240" w:lineRule="auto"/>
              <w:jc w:val="left"/>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Recurrence</w:t>
            </w: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Yes</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76" w:type="pct"/>
            <w:vMerge w:val="continue"/>
            <w:tcBorders>
              <w:left w:val="nil"/>
              <w:right w:val="nil"/>
            </w:tcBorders>
            <w:shd w:val="clear" w:color="auto" w:fill="auto"/>
            <w:vAlign w:val="top"/>
          </w:tcPr>
          <w:p>
            <w:pPr>
              <w:spacing w:after="0" w:line="240" w:lineRule="auto"/>
              <w:jc w:val="left"/>
              <w:rPr>
                <w:rFonts w:hint="default" w:ascii="Times New Roman" w:hAnsi="Times New Roman" w:eastAsia="宋体" w:cs="Times New Roman"/>
                <w:b/>
                <w:bCs/>
                <w:i w:val="0"/>
                <w:iCs w:val="0"/>
                <w:color w:val="000000"/>
                <w:sz w:val="24"/>
                <w:szCs w:val="24"/>
                <w:u w:val="none"/>
              </w:rPr>
            </w:pPr>
          </w:p>
        </w:tc>
        <w:tc>
          <w:tcPr>
            <w:tcW w:w="469" w:type="pct"/>
            <w:tcBorders>
              <w:top w:val="nil"/>
              <w:left w:val="nil"/>
              <w:bottom w:val="nil"/>
              <w:right w:val="nil"/>
            </w:tcBorders>
            <w:shd w:val="clear" w:color="auto" w:fill="auto"/>
            <w:vAlign w:val="top"/>
          </w:tcPr>
          <w:p>
            <w:pPr>
              <w:keepNext w:val="0"/>
              <w:keepLines w:val="0"/>
              <w:widowControl/>
              <w:suppressLineNumbers w:val="0"/>
              <w:spacing w:after="0" w:line="240" w:lineRule="auto"/>
              <w:jc w:val="both"/>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No</w:t>
            </w:r>
          </w:p>
        </w:tc>
        <w:tc>
          <w:tcPr>
            <w:tcW w:w="47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w:t>
            </w:r>
          </w:p>
        </w:tc>
        <w:tc>
          <w:tcPr>
            <w:tcW w:w="480"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8"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516"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552" w:type="pct"/>
            <w:tcBorders>
              <w:top w:val="nil"/>
              <w:left w:val="nil"/>
              <w:bottom w:val="nil"/>
              <w:right w:val="nil"/>
            </w:tcBorders>
            <w:shd w:val="clear" w:color="auto" w:fill="auto"/>
            <w:vAlign w:val="top"/>
          </w:tcPr>
          <w:p>
            <w:pPr>
              <w:keepNext w:val="0"/>
              <w:keepLines w:val="0"/>
              <w:widowControl/>
              <w:suppressLineNumbers w:val="0"/>
              <w:spacing w:after="0" w:line="240" w:lineRule="auto"/>
              <w:jc w:val="center"/>
              <w:textAlignment w:val="top"/>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76" w:type="pct"/>
            <w:vMerge w:val="continue"/>
            <w:tcBorders>
              <w:left w:val="nil"/>
              <w:right w:val="nil"/>
            </w:tcBorders>
            <w:shd w:val="clear" w:color="auto" w:fill="auto"/>
            <w:noWrap/>
            <w:vAlign w:val="center"/>
          </w:tcPr>
          <w:p>
            <w:pPr>
              <w:spacing w:after="0" w:line="240" w:lineRule="auto"/>
              <w:jc w:val="left"/>
              <w:rPr>
                <w:rFonts w:hint="default" w:ascii="Times New Roman" w:hAnsi="Times New Roman" w:eastAsia="宋体" w:cs="Times New Roman"/>
                <w:i w:val="0"/>
                <w:iCs w:val="0"/>
                <w:color w:val="000000"/>
                <w:sz w:val="24"/>
                <w:szCs w:val="24"/>
                <w:u w:val="none"/>
              </w:rPr>
            </w:pPr>
          </w:p>
        </w:tc>
        <w:tc>
          <w:tcPr>
            <w:tcW w:w="469"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Unknown</w:t>
            </w:r>
          </w:p>
        </w:tc>
        <w:tc>
          <w:tcPr>
            <w:tcW w:w="47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88"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51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51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w:t>
            </w:r>
          </w:p>
        </w:tc>
        <w:tc>
          <w:tcPr>
            <w:tcW w:w="55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76" w:type="pct"/>
            <w:vMerge w:val="restart"/>
            <w:tcBorders>
              <w:left w:val="nil"/>
              <w:right w:val="nil"/>
            </w:tcBorders>
            <w:shd w:val="clear" w:color="auto" w:fill="auto"/>
            <w:noWrap/>
            <w:vAlign w:val="center"/>
          </w:tcPr>
          <w:p>
            <w:pPr>
              <w:spacing w:after="0" w:line="240" w:lineRule="auto"/>
              <w:jc w:val="left"/>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b/>
                <w:bCs/>
                <w:i w:val="0"/>
                <w:iCs w:val="0"/>
                <w:color w:val="000000"/>
                <w:sz w:val="24"/>
                <w:szCs w:val="24"/>
                <w:u w:val="none"/>
                <w:lang w:val="en-US" w:eastAsia="zh-CN"/>
              </w:rPr>
              <w:t>GEO datasets description</w:t>
            </w:r>
          </w:p>
        </w:tc>
        <w:tc>
          <w:tcPr>
            <w:tcW w:w="469"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Samples</w:t>
            </w:r>
          </w:p>
        </w:tc>
        <w:tc>
          <w:tcPr>
            <w:tcW w:w="3031" w:type="pct"/>
            <w:gridSpan w:val="6"/>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NSCLC tumor tissue</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eastAsia" w:ascii="Times New Roman" w:hAnsi="Times New Roman" w:eastAsia="宋体" w:cs="Times New Roman"/>
                <w:color w:val="000000"/>
                <w:kern w:val="0"/>
                <w:sz w:val="24"/>
                <w:szCs w:val="24"/>
                <w:u w:val="none"/>
                <w:lang w:bidi="ar"/>
              </w:rPr>
            </w:pPr>
            <w:r>
              <w:rPr>
                <w:rFonts w:hint="eastAsia" w:ascii="Times New Roman" w:hAnsi="Times New Roman" w:eastAsia="宋体" w:cs="Times New Roman"/>
                <w:color w:val="000000"/>
                <w:kern w:val="0"/>
                <w:sz w:val="24"/>
                <w:szCs w:val="24"/>
                <w:u w:val="none"/>
                <w:lang w:bidi="ar"/>
              </w:rPr>
              <w:t>Melanoma</w:t>
            </w:r>
          </w:p>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tumor tissue</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NSCLC tumor tissue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76" w:type="pct"/>
            <w:vMerge w:val="continue"/>
            <w:tcBorders>
              <w:left w:val="nil"/>
              <w:right w:val="nil"/>
            </w:tcBorders>
            <w:shd w:val="clear" w:color="auto" w:fill="auto"/>
            <w:noWrap/>
            <w:vAlign w:val="center"/>
          </w:tcPr>
          <w:p>
            <w:pPr>
              <w:spacing w:after="0" w:line="240" w:lineRule="auto"/>
              <w:jc w:val="left"/>
              <w:rPr>
                <w:rFonts w:hint="eastAsia" w:ascii="Times New Roman" w:hAnsi="Times New Roman" w:eastAsia="宋体" w:cs="Times New Roman"/>
                <w:b/>
                <w:bCs/>
                <w:i w:val="0"/>
                <w:iCs w:val="0"/>
                <w:color w:val="000000"/>
                <w:sz w:val="24"/>
                <w:szCs w:val="24"/>
                <w:u w:val="none"/>
                <w:lang w:val="en-US" w:eastAsia="zh-CN"/>
              </w:rPr>
            </w:pPr>
          </w:p>
        </w:tc>
        <w:tc>
          <w:tcPr>
            <w:tcW w:w="469"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Platform</w:t>
            </w:r>
          </w:p>
        </w:tc>
        <w:tc>
          <w:tcPr>
            <w:tcW w:w="47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GPL6884</w:t>
            </w:r>
          </w:p>
        </w:tc>
        <w:tc>
          <w:tcPr>
            <w:tcW w:w="48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GPL6884</w:t>
            </w:r>
          </w:p>
        </w:tc>
        <w:tc>
          <w:tcPr>
            <w:tcW w:w="488"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GPL570</w:t>
            </w:r>
            <w:r>
              <w:rPr>
                <w:rFonts w:hint="default" w:ascii="Times New Roman" w:hAnsi="Times New Roman" w:eastAsia="宋体" w:cs="Times New Roman"/>
                <w:color w:val="000000"/>
                <w:kern w:val="0"/>
                <w:sz w:val="24"/>
                <w:szCs w:val="24"/>
                <w:u w:val="none"/>
                <w:lang w:bidi="ar"/>
              </w:rPr>
              <w:tab/>
            </w:r>
          </w:p>
        </w:tc>
        <w:tc>
          <w:tcPr>
            <w:tcW w:w="51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GPL16791</w:t>
            </w:r>
          </w:p>
        </w:tc>
        <w:tc>
          <w:tcPr>
            <w:tcW w:w="516"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GPL16791</w:t>
            </w:r>
          </w:p>
        </w:tc>
        <w:tc>
          <w:tcPr>
            <w:tcW w:w="55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GPL24676</w:t>
            </w:r>
          </w:p>
        </w:tc>
        <w:tc>
          <w:tcPr>
            <w:tcW w:w="532"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GPL11154</w:t>
            </w:r>
          </w:p>
        </w:tc>
        <w:tc>
          <w:tcPr>
            <w:tcW w:w="490" w:type="pct"/>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GPL24676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76" w:type="pct"/>
            <w:vMerge w:val="continue"/>
            <w:tcBorders>
              <w:left w:val="nil"/>
              <w:bottom w:val="single" w:color="auto" w:sz="4" w:space="0"/>
              <w:right w:val="nil"/>
            </w:tcBorders>
            <w:shd w:val="clear" w:color="auto" w:fill="auto"/>
            <w:noWrap/>
            <w:vAlign w:val="center"/>
          </w:tcPr>
          <w:p>
            <w:pPr>
              <w:spacing w:after="0" w:line="240" w:lineRule="auto"/>
              <w:jc w:val="left"/>
              <w:rPr>
                <w:rFonts w:hint="eastAsia" w:ascii="Times New Roman" w:hAnsi="Times New Roman" w:eastAsia="宋体" w:cs="Times New Roman"/>
                <w:b/>
                <w:bCs/>
                <w:i w:val="0"/>
                <w:iCs w:val="0"/>
                <w:color w:val="000000"/>
                <w:sz w:val="24"/>
                <w:szCs w:val="24"/>
                <w:u w:val="none"/>
                <w:lang w:val="en-US" w:eastAsia="zh-CN"/>
              </w:rPr>
            </w:pPr>
          </w:p>
        </w:tc>
        <w:tc>
          <w:tcPr>
            <w:tcW w:w="469"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Treatment</w:t>
            </w:r>
          </w:p>
        </w:tc>
        <w:tc>
          <w:tcPr>
            <w:tcW w:w="476"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No</w:t>
            </w:r>
          </w:p>
        </w:tc>
        <w:tc>
          <w:tcPr>
            <w:tcW w:w="480"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adjuvant chemotherapy</w:t>
            </w:r>
          </w:p>
        </w:tc>
        <w:tc>
          <w:tcPr>
            <w:tcW w:w="488"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No</w:t>
            </w:r>
          </w:p>
        </w:tc>
        <w:tc>
          <w:tcPr>
            <w:tcW w:w="516"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anti-PD-1</w:t>
            </w:r>
          </w:p>
        </w:tc>
        <w:tc>
          <w:tcPr>
            <w:tcW w:w="516"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anti-PD-1/PD-L1</w:t>
            </w:r>
          </w:p>
        </w:tc>
        <w:tc>
          <w:tcPr>
            <w:tcW w:w="552"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color w:val="000000"/>
                <w:kern w:val="0"/>
                <w:sz w:val="24"/>
                <w:szCs w:val="24"/>
                <w:u w:val="none"/>
                <w:lang w:bidi="ar"/>
              </w:rPr>
              <w:t xml:space="preserve">anti-PD-1 </w:t>
            </w:r>
            <w:r>
              <w:rPr>
                <w:rFonts w:hint="eastAsia" w:ascii="Times New Roman" w:hAnsi="Times New Roman" w:eastAsia="宋体" w:cs="Times New Roman"/>
                <w:color w:val="000000"/>
                <w:kern w:val="0"/>
                <w:sz w:val="24"/>
                <w:szCs w:val="24"/>
                <w:u w:val="none"/>
                <w:lang w:val="en-US" w:eastAsia="zh-CN" w:bidi="ar"/>
              </w:rPr>
              <w:t xml:space="preserve">and </w:t>
            </w:r>
            <w:r>
              <w:rPr>
                <w:rFonts w:hint="eastAsia" w:ascii="Times New Roman" w:hAnsi="Times New Roman" w:eastAsia="宋体" w:cs="Times New Roman"/>
                <w:color w:val="000000"/>
                <w:kern w:val="0"/>
                <w:sz w:val="24"/>
                <w:szCs w:val="24"/>
                <w:u w:val="none"/>
                <w:lang w:bidi="ar"/>
              </w:rPr>
              <w:t>chemotherapy</w:t>
            </w:r>
          </w:p>
        </w:tc>
        <w:tc>
          <w:tcPr>
            <w:tcW w:w="532"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adoptive T-cell therapy</w:t>
            </w:r>
          </w:p>
        </w:tc>
        <w:tc>
          <w:tcPr>
            <w:tcW w:w="490" w:type="pct"/>
            <w:tcBorders>
              <w:top w:val="nil"/>
              <w:left w:val="nil"/>
              <w:bottom w:val="single" w:color="auto"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u w:val="none"/>
                <w:lang w:bidi="ar"/>
              </w:rPr>
              <w:t>immunotherapy</w:t>
            </w:r>
          </w:p>
        </w:tc>
      </w:tr>
    </w:tbl>
    <w:p>
      <w:pPr>
        <w:spacing w:after="0" w:line="360" w:lineRule="auto"/>
        <w:rPr>
          <w:rFonts w:hint="eastAsia" w:ascii="Times New Roman" w:hAnsi="Times New Roman" w:eastAsia="宋体" w:cs="Times New Roman"/>
          <w:b w:val="0"/>
          <w:bCs w:val="0"/>
          <w:i/>
          <w:iCs/>
          <w:sz w:val="24"/>
          <w:szCs w:val="24"/>
          <w:lang w:val="en-US" w:eastAsia="zh-CN"/>
        </w:rPr>
      </w:pPr>
      <w:r>
        <w:rPr>
          <w:rFonts w:hint="eastAsia" w:ascii="Times New Roman" w:hAnsi="Times New Roman" w:eastAsia="宋体" w:cs="Times New Roman"/>
          <w:b w:val="0"/>
          <w:bCs w:val="0"/>
          <w:i/>
          <w:iCs/>
          <w:sz w:val="24"/>
          <w:szCs w:val="24"/>
          <w:lang w:val="en-US" w:eastAsia="zh-CN"/>
        </w:rPr>
        <w:t>(</w:t>
      </w:r>
      <w:r>
        <w:rPr>
          <w:rFonts w:hint="default" w:ascii="Times New Roman" w:hAnsi="Times New Roman" w:eastAsia="宋体" w:cs="Times New Roman"/>
          <w:b w:val="0"/>
          <w:bCs w:val="0"/>
          <w:i/>
          <w:iCs/>
          <w:sz w:val="24"/>
          <w:szCs w:val="24"/>
        </w:rPr>
        <w:t xml:space="preserve">Abbreviation: </w:t>
      </w:r>
      <w:r>
        <w:rPr>
          <w:rFonts w:hint="eastAsia" w:ascii="Times New Roman" w:hAnsi="Times New Roman" w:eastAsia="宋体" w:cs="Times New Roman"/>
          <w:b w:val="0"/>
          <w:bCs w:val="0"/>
          <w:i/>
          <w:iCs/>
          <w:sz w:val="24"/>
          <w:szCs w:val="24"/>
          <w:lang w:val="en-US" w:eastAsia="zh-CN"/>
        </w:rPr>
        <w:t>GEO</w:t>
      </w:r>
      <w:r>
        <w:rPr>
          <w:rFonts w:hint="default" w:ascii="Times New Roman" w:hAnsi="Times New Roman" w:eastAsia="宋体" w:cs="Times New Roman"/>
          <w:b w:val="0"/>
          <w:bCs w:val="0"/>
          <w:i/>
          <w:iCs/>
          <w:sz w:val="24"/>
          <w:szCs w:val="24"/>
        </w:rPr>
        <w:t>: Gene Expression Omnibus; OS: overall survival;</w:t>
      </w:r>
      <w:r>
        <w:rPr>
          <w:rFonts w:hint="eastAsia" w:ascii="Times New Roman" w:hAnsi="Times New Roman" w:eastAsia="宋体" w:cs="Times New Roman"/>
          <w:b w:val="0"/>
          <w:bCs w:val="0"/>
          <w:i/>
          <w:iCs/>
          <w:sz w:val="24"/>
          <w:szCs w:val="24"/>
          <w:lang w:val="en-US" w:eastAsia="zh-CN"/>
        </w:rPr>
        <w:t xml:space="preserve"> LUAD: lung adenocarcinoma; LUSC: lung squamous cell carcinoma</w:t>
      </w:r>
      <w:r>
        <w:rPr>
          <w:rFonts w:hint="default" w:ascii="Times New Roman" w:hAnsi="Times New Roman" w:eastAsia="宋体" w:cs="Times New Roman"/>
          <w:b w:val="0"/>
          <w:bCs w:val="0"/>
          <w:i/>
          <w:iCs/>
          <w:sz w:val="24"/>
          <w:szCs w:val="24"/>
        </w:rPr>
        <w:t>.</w:t>
      </w:r>
      <w:r>
        <w:rPr>
          <w:rFonts w:hint="eastAsia" w:ascii="Times New Roman" w:hAnsi="Times New Roman" w:eastAsia="宋体" w:cs="Times New Roman"/>
          <w:b w:val="0"/>
          <w:bCs w:val="0"/>
          <w:i/>
          <w:iCs/>
          <w:sz w:val="24"/>
          <w:szCs w:val="24"/>
          <w:lang w:val="en-US" w:eastAsia="zh-CN"/>
        </w:rPr>
        <w:t>)</w:t>
      </w:r>
    </w:p>
    <w:p>
      <w:pPr>
        <w:spacing w:after="0" w:line="480" w:lineRule="auto"/>
        <w:rPr>
          <w:rFonts w:hint="default" w:ascii="Times New Roman" w:hAnsi="Times New Roman" w:eastAsia="宋体" w:cs="Times New Roman"/>
          <w:b/>
          <w:bCs/>
          <w:sz w:val="24"/>
          <w:szCs w:val="24"/>
        </w:rPr>
        <w:sectPr>
          <w:pgSz w:w="16838" w:h="11906" w:orient="landscape"/>
          <w:pgMar w:top="1800" w:right="1440" w:bottom="1800" w:left="1440" w:header="851" w:footer="992" w:gutter="0"/>
          <w:cols w:space="425" w:num="1"/>
          <w:docGrid w:type="lines" w:linePitch="312" w:charSpace="0"/>
        </w:sectPr>
      </w:pPr>
    </w:p>
    <w:p>
      <w:pPr>
        <w:spacing w:after="0" w:line="48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Table S</w:t>
      </w: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lang w:val="en-US" w:eastAsia="zh-CN"/>
        </w:rPr>
        <w:t>S</w:t>
      </w:r>
      <w:r>
        <w:rPr>
          <w:rFonts w:hint="default" w:ascii="Times New Roman" w:hAnsi="Times New Roman" w:eastAsia="宋体" w:cs="Times New Roman"/>
          <w:b/>
          <w:bCs/>
          <w:sz w:val="24"/>
          <w:szCs w:val="24"/>
        </w:rPr>
        <w:t>ummary</w:t>
      </w:r>
      <w:r>
        <w:rPr>
          <w:rFonts w:hint="eastAsia" w:ascii="Times New Roman" w:hAnsi="Times New Roman" w:eastAsia="宋体" w:cs="Times New Roman"/>
          <w:b/>
          <w:bCs/>
          <w:sz w:val="24"/>
          <w:szCs w:val="24"/>
          <w:lang w:val="en-US" w:eastAsia="zh-CN"/>
        </w:rPr>
        <w:t xml:space="preserve"> of </w:t>
      </w:r>
      <w:r>
        <w:rPr>
          <w:rFonts w:hint="default" w:ascii="Times New Roman" w:hAnsi="Times New Roman" w:eastAsia="宋体" w:cs="Times New Roman"/>
          <w:b/>
          <w:bCs/>
          <w:sz w:val="24"/>
          <w:szCs w:val="24"/>
        </w:rPr>
        <w:t>BCAA genesets (</w:t>
      </w:r>
      <w:r>
        <w:rPr>
          <w:rFonts w:hint="default" w:ascii="Times New Roman" w:hAnsi="Times New Roman" w:eastAsia="宋体" w:cs="Times New Roman"/>
          <w:b/>
          <w:bCs/>
          <w:i/>
          <w:iCs/>
          <w:sz w:val="24"/>
          <w:szCs w:val="24"/>
        </w:rPr>
        <w:t>n</w:t>
      </w:r>
      <w:r>
        <w:rPr>
          <w:rFonts w:hint="default" w:ascii="Times New Roman" w:hAnsi="Times New Roman" w:eastAsia="宋体" w:cs="Times New Roman"/>
          <w:b/>
          <w:bCs/>
          <w:sz w:val="24"/>
          <w:szCs w:val="24"/>
        </w:rPr>
        <w:t xml:space="preserve"> = 59).</w:t>
      </w:r>
    </w:p>
    <w:tbl>
      <w:tblPr>
        <w:tblStyle w:val="3"/>
        <w:tblW w:w="10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7"/>
        <w:gridCol w:w="2209"/>
        <w:gridCol w:w="2533"/>
        <w:gridCol w:w="2367"/>
        <w:gridCol w:w="1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jc w:val="center"/>
        </w:trPr>
        <w:tc>
          <w:tcPr>
            <w:tcW w:w="147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GeneCards_PathCards</w:t>
            </w:r>
          </w:p>
        </w:tc>
        <w:tc>
          <w:tcPr>
            <w:tcW w:w="2209"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KEGG_VALINE_LEUCINE_AND_ISOLEUCINE_BIOSYNTHESIS</w:t>
            </w:r>
          </w:p>
        </w:tc>
        <w:tc>
          <w:tcPr>
            <w:tcW w:w="2533"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KEGG_VALINE_LEUCINE_AND_ISOLEUCINE_DEGRADATION</w:t>
            </w:r>
          </w:p>
        </w:tc>
        <w:tc>
          <w:tcPr>
            <w:tcW w:w="2367"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WP_LEUCINE_ISOLEUCINE_AND_VALINE_METABOLISM</w:t>
            </w:r>
          </w:p>
        </w:tc>
        <w:tc>
          <w:tcPr>
            <w:tcW w:w="1450"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Summary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DLD</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BCAT1</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ABAT</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ACAD8</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DLD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DBT</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BCAT2</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ACAA1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ACADSB</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DBT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BCKDHA</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IARS1</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ACAA2</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ACAT1</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BCKDHB</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IARS2</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ACAD8</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ACSF3</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BCAT2</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LARS1</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ACADM</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ALDH6A1</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BCAT1</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LARS2</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AUH</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ECHS1</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PDHA1</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ACADSB</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BCAT1</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ECHS1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ACAT1</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PDHA2</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BCAT2</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HSD17B10</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PDHB</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ACAT2</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BCKDHA</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HSD17B10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AUH</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VARS1</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ALDH1B1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BCKDHB</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AUH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MCCC1</w:t>
            </w:r>
          </w:p>
        </w:tc>
        <w:tc>
          <w:tcPr>
            <w:tcW w:w="220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VARS2</w:t>
            </w: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ALDH2</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DBT</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MCCC2</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ALDH3A2</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DLD</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HIBADH</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ALDH6A1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ECHS1</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HIBADH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HIBCH</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ALDH7A1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HIBADH</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IVD</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ALDH9A1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HIBCH</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IVD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ACADSB</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AOX1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HMGCLL1</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ALDH6A1</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AUH</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HSD17B10</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ALDH6A1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ACAD8</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BCAT1</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IVD</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ABAT</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BCAT2</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MCCC2</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ABAT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HMGCLL1</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BCKDHA</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MLYCD</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HMGCLL1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BCKDHB</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MMUT</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HADHA</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DBT</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PCCA</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ACSF3</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DLD</w:t>
            </w:r>
          </w:p>
        </w:tc>
        <w:tc>
          <w:tcPr>
            <w:tcW w:w="236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PCCB</w:t>
            </w: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ACSF3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MLYCD</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ECHS1</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MLYCD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PCCA</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EHHADH</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PCCB</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MMUT</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HADHA</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MMUT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ACAT2</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HADHB</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BCKDK</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HIBADH</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BCKDK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PPM1K</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HIBCH</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PPM1K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SLC25A44</w:t>
            </w: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HMGCL</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SLC25A44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HMGCS1</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IARS1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HMGCS2</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IARS2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HSD17B10</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LARS1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IL4I1</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LARS2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IVD</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PDHA1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MCCC1</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PDHA2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MCCC2</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PDHB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MCEE</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VARS1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MMUT</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VARS2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OXCT1</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ACAA1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OXCT2</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ACAA2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PCCA</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PCCB</w:t>
            </w: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ACADS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ALDH1B1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ALDH3A2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ALDH7A1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ALDH9A1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AOX1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EHHADH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HADHB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HMGCS1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HMGCS2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IL4I1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MCEE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nil"/>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OXCT1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77" w:type="dxa"/>
            <w:tcBorders>
              <w:top w:val="nil"/>
              <w:left w:val="nil"/>
              <w:bottom w:val="single" w:color="000000" w:sz="4" w:space="0"/>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209" w:type="dxa"/>
            <w:tcBorders>
              <w:top w:val="nil"/>
              <w:left w:val="nil"/>
              <w:bottom w:val="single" w:color="000000" w:sz="4" w:space="0"/>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533" w:type="dxa"/>
            <w:tcBorders>
              <w:top w:val="nil"/>
              <w:left w:val="nil"/>
              <w:bottom w:val="single" w:color="000000" w:sz="4" w:space="0"/>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2367" w:type="dxa"/>
            <w:tcBorders>
              <w:top w:val="nil"/>
              <w:left w:val="nil"/>
              <w:bottom w:val="single" w:color="000000" w:sz="4" w:space="0"/>
              <w:right w:val="nil"/>
            </w:tcBorders>
            <w:shd w:val="clear" w:color="auto" w:fill="auto"/>
            <w:noWrap/>
            <w:vAlign w:val="center"/>
          </w:tcPr>
          <w:p>
            <w:pPr>
              <w:spacing w:after="0" w:line="240" w:lineRule="auto"/>
              <w:jc w:val="center"/>
              <w:rPr>
                <w:rFonts w:hint="default" w:ascii="Times New Roman" w:hAnsi="Times New Roman" w:eastAsia="宋体" w:cs="Times New Roman"/>
                <w:i/>
                <w:iCs/>
                <w:color w:val="000000"/>
                <w:sz w:val="24"/>
                <w:szCs w:val="24"/>
                <w:u w:val="none"/>
              </w:rPr>
            </w:pPr>
          </w:p>
        </w:tc>
        <w:tc>
          <w:tcPr>
            <w:tcW w:w="1450"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rPr>
              <w:t>OXCT2</w:t>
            </w:r>
          </w:p>
        </w:tc>
      </w:tr>
    </w:tbl>
    <w:p>
      <w:pPr>
        <w:spacing w:after="0" w:line="360" w:lineRule="auto"/>
        <w:rPr>
          <w:rFonts w:hint="eastAsia" w:ascii="Times New Roman" w:hAnsi="Times New Roman" w:eastAsia="宋体" w:cs="Times New Roman"/>
          <w:b w:val="0"/>
          <w:bCs w:val="0"/>
          <w:i/>
          <w:iCs/>
          <w:sz w:val="24"/>
          <w:szCs w:val="24"/>
          <w:lang w:val="en-US" w:eastAsia="zh-CN"/>
        </w:rPr>
      </w:pPr>
      <w:r>
        <w:rPr>
          <w:rFonts w:hint="eastAsia" w:ascii="Times New Roman" w:hAnsi="Times New Roman" w:eastAsia="宋体" w:cs="Times New Roman"/>
          <w:b w:val="0"/>
          <w:bCs w:val="0"/>
          <w:i/>
          <w:iCs/>
          <w:sz w:val="24"/>
          <w:szCs w:val="24"/>
          <w:lang w:val="en-US" w:eastAsia="zh-CN"/>
        </w:rPr>
        <w:t>(</w:t>
      </w:r>
      <w:r>
        <w:rPr>
          <w:rFonts w:hint="default" w:ascii="Times New Roman" w:hAnsi="Times New Roman" w:eastAsia="宋体" w:cs="Times New Roman"/>
          <w:b w:val="0"/>
          <w:bCs w:val="0"/>
          <w:i/>
          <w:iCs/>
          <w:sz w:val="24"/>
          <w:szCs w:val="24"/>
        </w:rPr>
        <w:t xml:space="preserve">Abbreviation: </w:t>
      </w:r>
      <w:r>
        <w:rPr>
          <w:rFonts w:hint="eastAsia" w:ascii="Times New Roman" w:hAnsi="Times New Roman" w:cs="Times New Roman"/>
          <w:i/>
          <w:iCs/>
          <w:sz w:val="24"/>
          <w:szCs w:val="24"/>
          <w:lang w:val="en-US" w:eastAsia="zh-CN"/>
        </w:rPr>
        <w:t>BCAA: branched chain amino acid</w:t>
      </w:r>
      <w:r>
        <w:rPr>
          <w:rFonts w:hint="default" w:ascii="Times New Roman" w:hAnsi="Times New Roman" w:eastAsia="宋体" w:cs="Times New Roman"/>
          <w:b w:val="0"/>
          <w:bCs w:val="0"/>
          <w:i/>
          <w:iCs/>
          <w:sz w:val="24"/>
          <w:szCs w:val="24"/>
        </w:rPr>
        <w:t>.</w:t>
      </w:r>
      <w:r>
        <w:rPr>
          <w:rFonts w:hint="eastAsia" w:ascii="Times New Roman" w:hAnsi="Times New Roman" w:eastAsia="宋体" w:cs="Times New Roman"/>
          <w:b w:val="0"/>
          <w:bCs w:val="0"/>
          <w:i/>
          <w:iCs/>
          <w:sz w:val="24"/>
          <w:szCs w:val="24"/>
          <w:lang w:val="en-US" w:eastAsia="zh-CN"/>
        </w:rPr>
        <w:t>)</w:t>
      </w:r>
    </w:p>
    <w:p>
      <w:pPr>
        <w:spacing w:after="0" w:line="480" w:lineRule="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Table S</w:t>
      </w:r>
      <w:r>
        <w:rPr>
          <w:rFonts w:hint="eastAsia"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 Metabolites detected via untargeted UPLC-MS/MS (</w:t>
      </w:r>
      <w:r>
        <w:rPr>
          <w:rFonts w:hint="default" w:ascii="Times New Roman" w:hAnsi="Times New Roman" w:eastAsia="宋体" w:cs="Times New Roman"/>
          <w:b/>
          <w:bCs/>
          <w:i/>
          <w:iCs/>
          <w:sz w:val="24"/>
          <w:szCs w:val="24"/>
          <w:highlight w:val="none"/>
        </w:rPr>
        <w:t>n</w:t>
      </w:r>
      <w:r>
        <w:rPr>
          <w:rFonts w:hint="default" w:ascii="Times New Roman" w:hAnsi="Times New Roman" w:eastAsia="宋体" w:cs="Times New Roman"/>
          <w:b/>
          <w:bCs/>
          <w:sz w:val="24"/>
          <w:szCs w:val="24"/>
          <w:highlight w:val="none"/>
        </w:rPr>
        <w:t xml:space="preserve"> = 425).</w:t>
      </w:r>
    </w:p>
    <w:tbl>
      <w:tblPr>
        <w:tblStyle w:val="3"/>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4178"/>
        <w:gridCol w:w="650"/>
        <w:gridCol w:w="40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single" w:color="000000" w:sz="4" w:space="0"/>
              <w:left w:val="nil"/>
              <w:bottom w:val="single" w:color="000000" w:sz="4" w:space="0"/>
              <w:right w:val="nil"/>
            </w:tcBorders>
            <w:shd w:val="clear" w:color="auto" w:fill="auto"/>
            <w:noWrap/>
            <w:vAlign w:val="center"/>
          </w:tcPr>
          <w:p>
            <w:pPr>
              <w:spacing w:after="0" w:line="240" w:lineRule="auto"/>
              <w:jc w:val="center"/>
              <w:rPr>
                <w:rFonts w:hint="default" w:ascii="Times New Roman" w:hAnsi="Times New Roman" w:eastAsia="宋体" w:cs="Times New Roman"/>
                <w:b/>
                <w:bCs/>
                <w:i w:val="0"/>
                <w:iCs w:val="0"/>
                <w:color w:val="000000"/>
                <w:sz w:val="24"/>
                <w:szCs w:val="24"/>
                <w:u w:val="none"/>
              </w:rPr>
            </w:pPr>
          </w:p>
        </w:tc>
        <w:tc>
          <w:tcPr>
            <w:tcW w:w="4178"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Metabolites</w:t>
            </w:r>
          </w:p>
        </w:tc>
        <w:tc>
          <w:tcPr>
            <w:tcW w:w="650" w:type="dxa"/>
            <w:tcBorders>
              <w:top w:val="single" w:color="000000" w:sz="4" w:space="0"/>
              <w:left w:val="nil"/>
              <w:bottom w:val="single" w:color="000000" w:sz="4" w:space="0"/>
              <w:right w:val="nil"/>
            </w:tcBorders>
            <w:shd w:val="clear" w:color="auto" w:fill="auto"/>
            <w:noWrap/>
            <w:vAlign w:val="bottom"/>
          </w:tcPr>
          <w:p>
            <w:pPr>
              <w:spacing w:after="0" w:line="240" w:lineRule="auto"/>
              <w:rPr>
                <w:rFonts w:hint="default" w:ascii="Times New Roman" w:hAnsi="Times New Roman" w:eastAsia="宋体" w:cs="Times New Roman"/>
                <w:i w:val="0"/>
                <w:iCs w:val="0"/>
                <w:color w:val="000000"/>
                <w:sz w:val="24"/>
                <w:szCs w:val="24"/>
                <w:u w:val="none"/>
              </w:rPr>
            </w:pPr>
          </w:p>
        </w:tc>
        <w:tc>
          <w:tcPr>
            <w:tcW w:w="4059"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Metabolites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Phenylalanylphenylalanine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Beta-Leucine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Phenylacetylglutamine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12-HETE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D-Glutamine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Dodecanedioic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Azelaic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PGPC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p-Cresol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2-Hydroxyhexadecanoic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Octadec-9-enoic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Docosahexaenoic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Glycocholic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13-HODE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Citric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p-Synephrine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Pimelic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Glycoursodeoxycholic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9(10)-DiHOME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Deoxycholic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Octadecanedioic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D-Glucose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1,11-Undecanedicarboxylic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Bilirubin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3,7-Dihydroxy-12-oxocholanoic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Ricinoleic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D-Lactic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Leucyl-phenylalanine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Arachidonate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12(13)-DiHOME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Gluconic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2-Hydroxydecanoic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L-Lysine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Gamma-Linolenic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Xanthine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Tetradecanedioic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Pyrrolidonecarboxylic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2-Hydroxyoctadecanoic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L-Histidine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Docosapentaenoic acid (22n-6)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L-Cyclo(alanylglycyl)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2-Hydroxybutyric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Methylacetoacetic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H-g-Glu-Gln-OH</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2-Hydroxymyristic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Pyrophosphate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Traumatic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Sphingosine 1-phosphate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Hyocholic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3-Hydroxysebacic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L-Arginine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trans-4-Hydroxycyclohexylacetic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Ursocholic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CEHC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L-Phenylalanine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3-Oxocholic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L-Isoleucine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Citraconic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Propylurofuranic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L-Malic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D-Allothreonine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Eicosapentaenoic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Hypoxanthine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Glycyl-Valine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Ascorbic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Eicosanedioic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Acetaminophen glucuronide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2-Hydroxyoctanoic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Taurine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3-Hydroxydodecanoic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L-Tryptophan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Glutamyltryptophan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2,3,4,5,6,7-Hexahydroxyheptanoic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Pyrocatechol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2-Hydroxy-3-methylbutyric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Succinyladenosine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(S)-3,4-Dihydroxybutyric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Cholesterol sulfate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N-Acetylornithine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Carveol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Pyrocatechol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3-Hydroxycapric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5-Acetylamino-6-amino-3-methyluracil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Hexadecanedioic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Indoxyl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Tyrosine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1-Methyluric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Glutamylphenylalanine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Hippuric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o-Tyrosine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9,10-epoxyoctadecanoic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Allocholic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Trehalose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Prostaglandin A2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Pregnanediol-3-Glucuronide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1,2,3-Trihydroxybenzene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L-Cystine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Hematoporphyrin IX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Paracetamol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3a,12b-Dihydroxy-5b-cholanoic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D-Aspartic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2-Octenedioic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Indoxyl glucuronide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3-(2-Hydroxyphenyl)propanoic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Citrulline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Adipic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Leukotriene B4</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269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7-Ketodeoxycholic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Hydroxyphenyllactic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Thromboxane B2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3-Hydroxybutyric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Tuftsin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L-Valine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L-Dopa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Hydroxypropionic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3-Hydroxyoctanoic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D-Ribonic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5-Bromo-DL-tryptophan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Allantoin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3-Hydroxy-2-methylbutanoic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L-threonic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N2,N2-Dimethylguanosine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4-Hydroxyproline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Sterculic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Pregnenolone 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3-Hexenoic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3-Hydroxyhippuric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279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Monoisobutyl phthalic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1,7-Dimethyluric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3-Methoxybenzenepropanoic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N-Acetyl-L-carnosine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N-Formyl-L-methionine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cis-Aconitic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Protoporphyrin IX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Dihydrouracil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Glutaric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L-Asparagine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1H-Indole-3-carboxaldehyde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Pantothenic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 acetate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2-Phosphoglyceric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N-Acetyl-L-phenylalanine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D-Arabinose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4-Methylcatechol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Sorbitol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Adenosine monophosphate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Threonic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289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4-Hydroxybenzaldehyde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Theophylline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Glyceric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Phenyllactic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Apigenin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Indolelactic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Stearidonic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Creatinine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Digoxigenin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alpha-C-Mannosyltryptophan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Ribothymidine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gamma-L-Glutamyl-L-glutamic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3,4,5-Trimethoxycinnamic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D-Fructose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Phenylacetaldehyde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3-Methylhistidine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Antineoplaston A10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D-chiro-inositol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Indoleacetic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2-Hydroxy-3-methylpentanoic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299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3-Methylindolin-2-one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Succinic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3,4-Dihydroxybenzeneacetic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D-Ribulose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Cortisone acetate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Cysteine-S-sulfate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Pantolactone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2,4-Dihydroxybenzoic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Pelargonic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4-Hydroxybenzoic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20-Hydroxyeicosatetraenoic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N-Alpha-acetyllysine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3-Hydroxyhexanoic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Galacturonic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3-Hydroxysuberic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Galactaric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Homoveratric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Galactitol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N-Acetyl-L-tyrosine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D-Tartaric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309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Arachidonic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Dopamine 4-O-Sulfate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N-Acetylleucine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Quinic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Estrone sulfate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Cys(Cys-Gly)-Gly</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3,4-Dimethoxyphenylethylamine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Urocanic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p-Hydroxyphenylacetic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Homo-L-arginine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Homogentisic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N-Acetylglutamic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Guanosine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3-(2,5-Dioxoimidazolidin-4-yl)propanoic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2-Methylcitric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3-Hexenedioic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11b-Hydroxyprogesterone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L-Cysteine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Citramalic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Adenosine 3',5'-diphosphate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319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D-Glucurono-6,3-lactone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trans-Cinnamic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3-Methoxytyrosine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L-Fucose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1,3-Dimethyluric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Acetaminophen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Cinnamoylglycine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PC</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Turanose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Glycerophosphocholine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Phenoxyacetic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Malonyl-Carnitin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N-Acetyl-L-alanine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L-Acetylcarnitine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Leukotriene D4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Betaine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Folic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Indoleacrylic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3-Methoxybenzaldehyde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Cholesterol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329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20-Carboxy-leukotriene B4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Pyroglutamic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Ellagic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Creatine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4-Heptanone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Symmetric dimethylarginine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Vanillactic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1-Methylhistidine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3-Hydroxybenzoic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Biliverdin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alpha-Ecdysone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Hypaphorine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1,3,7-Trimethyluric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Propionylcarnitine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2-Pyrocatechuic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L-Glutamine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4-Methoxycinnamic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Alpha-Linolenic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Oleoylcarnitine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delta-Valerobetaine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339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m-Coumaric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LysoPC</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trans-2-Tetradecenoylcarnitine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L-Leucine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Cortisol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Linoleyl 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Dodecanoylcarnitine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Isobutyryl-L-carnitine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Stearoylcarnitine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Pipecolic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trans-Hexadec-2-enoyl 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4-Trimethylammoniobutanoic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Paraxanthine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Linoleic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Leucylproline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Trigonelline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Urea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Decanoylcarnitine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Arachidonyl carnitine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2-Octenoylcarnitine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349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L-Methionine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D-Proline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Glyceryl monolinoleate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Pro-Hyp-OH</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5a-Pregnane-3,20-dione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139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Isovalerylcarnitine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2-Phenylacetamide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Ornithine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Oleamide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N6,N6,N6-Trimethyl-L-lysine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3b-Hydroxy-5-cholenoic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alpha-Tocopherol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Nutriacholic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Chenodeoxycholic acid glycine conjugate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3-Methylindole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L-Octanoylcarnitine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D-Pipecolic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trans-2-Dodecenoylcarnitine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Theobromine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L-Glutamic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359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Cortisone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Styrene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Bis(2-ethylhexyl) phthalate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L-Hexanoylcarnitine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Hydrocinnamic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149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Glucosamine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Calcitriol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Cotinine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12-Ketodeoxycholic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N(6)-Methyllysine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lyso-phosphatidylcholine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N1-Methyl-2-pyridone-5-carboxamide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10Z-Nonadecenoic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Sphinganine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Corticosterone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Ergothioneine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Cyclohexaneacetic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Creatine riboside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7a-Hydroxy-cholestene-3-one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N1-Acetylspermidine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369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Trimethylamine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2-Arachidonylglycerol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3-Methylglutarylcarnitine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Sphingomyelin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Adenosine 2'-phosphate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Oleic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TG</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Methyl Arachidonate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7-Methylguanine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Tetrahydrocortisone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N-Methylnicotinamide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Palmitoleic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Quinoline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alpha-Eleostearic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L-Threonine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cis-10-Heptadecenoic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S-Adenosylmethionine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4-Hydroxynonenal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Indole-3-propionic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379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Taurochenodesoxycholic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Phosphorylcholine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25,26-dihydroxyvitamin 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gamma-Glutamylalanine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Benzaldehyde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169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Carnosine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N-Oleoylethanolamine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Thyroxine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Uracil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L-Kynurenine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5Z-Dodecenoic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S-Adenosylhomocysteine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Myristoleic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5-Hydroxyindoleacetic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(S)-14-Methylhexadecanoic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2,5-Dimethylpyrazine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4-Methyl-1-phenyl-2-pentanone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Methionine sulfoxide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Testosterone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N-a-Acetyl-L-arginine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389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Lithocholic acid glycine conjugate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Phosphocreatine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anhydroretinol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Pantothenol</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DL-alpha-Palmitin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Anserine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2-Hydroxy-4-methylbenzaldehyde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Riboflavin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3-Methyladipic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N6-Acetyl-L-lysine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Sulcatone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Malonylcarnitine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Kynurenic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Tiglylcarnitine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Tryptophanamide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3-Methylhistamine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8,11,14-Eicosatrienoic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2-Methylbutyroylcarnitine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Progesterone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Guanidoacetic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399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Ethyl icosapentate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1-[(5-Amino-5-carboxypentyl)amino]-1-deoxyfructose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Terephthalic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Hydroxybutyrylcarnitine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5'-Methylthioadenosine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189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L-trans-5-Hydroxy-2-piperidinecarboxylic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DL-2-Aminooctanoic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Glutarylcarnitine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Vaccenic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Succinylcarnitine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Methyl 4-tert-butylphenylacetate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Indole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Pregnanediol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N-acetyltryptophan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Muricholic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2-(1-Methyl-1H-imidazol-4-yl)acetic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2-Aminoheptanoic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N-Acetylvaline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Methyl jasmonate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Homocitrulline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409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1-Methyladenosine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3-hydroxydodecanoyl carnitine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Salicylic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Pseudouridine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Taurocholic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199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Cytosine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Salicyluric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1-Methylinosine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17a-Ethynylestradiol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L-Pipecolic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Benzylideneacetone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4-Guanidinobutanoic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Caproic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203</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D-Tryptophan</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416</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Palmitoylethanolamide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204</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Sebacic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417</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Aflatoxin B1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205</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Undecanedioic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418</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11,12-Epoxyeicosatrienoic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206</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L-Lactic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419</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Hydroquinone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207</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Deoxycholic acid glycine conjugate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420</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Deoxyguanosine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208</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421</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(2E,4E)-2,4-Hexadienoic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209</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Hyodeoxycholic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422</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all-trans-Retinoic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210</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Suberic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423</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3-Indolebutyric acid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211</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L-Tyrosine</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424</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Leukotriene A4 Methyl Ester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15"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212</w:t>
            </w:r>
          </w:p>
        </w:tc>
        <w:tc>
          <w:tcPr>
            <w:tcW w:w="4178"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3-Furoic acid</w:t>
            </w:r>
          </w:p>
        </w:tc>
        <w:tc>
          <w:tcPr>
            <w:tcW w:w="650"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425</w:t>
            </w:r>
          </w:p>
        </w:tc>
        <w:tc>
          <w:tcPr>
            <w:tcW w:w="4059" w:type="dxa"/>
            <w:tcBorders>
              <w:top w:val="nil"/>
              <w:left w:val="nil"/>
              <w:bottom w:val="nil"/>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Cinnamaldehyde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15"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after="0" w:line="240" w:lineRule="auto"/>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213</w:t>
            </w:r>
          </w:p>
        </w:tc>
        <w:tc>
          <w:tcPr>
            <w:tcW w:w="4178" w:type="dxa"/>
            <w:tcBorders>
              <w:top w:val="nil"/>
              <w:left w:val="nil"/>
              <w:bottom w:val="single" w:color="000000" w:sz="4" w:space="0"/>
              <w:right w:val="nil"/>
            </w:tcBorders>
            <w:shd w:val="clear" w:color="auto" w:fill="auto"/>
            <w:noWrap/>
            <w:vAlign w:val="center"/>
          </w:tcPr>
          <w:p>
            <w:pPr>
              <w:keepNext w:val="0"/>
              <w:keepLines w:val="0"/>
              <w:widowControl/>
              <w:suppressLineNumbers w:val="0"/>
              <w:spacing w:after="0" w:line="240" w:lineRule="auto"/>
              <w:jc w:val="left"/>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7alpha-Hydroxy-3-oxo-4-cholestenoate</w:t>
            </w:r>
          </w:p>
        </w:tc>
        <w:tc>
          <w:tcPr>
            <w:tcW w:w="650" w:type="dxa"/>
            <w:tcBorders>
              <w:top w:val="nil"/>
              <w:left w:val="nil"/>
              <w:bottom w:val="single" w:color="000000" w:sz="4" w:space="0"/>
              <w:right w:val="nil"/>
            </w:tcBorders>
            <w:shd w:val="clear" w:color="auto" w:fill="auto"/>
            <w:noWrap/>
            <w:vAlign w:val="bottom"/>
          </w:tcPr>
          <w:p>
            <w:pPr>
              <w:spacing w:after="0" w:line="240" w:lineRule="auto"/>
              <w:rPr>
                <w:rFonts w:hint="default" w:ascii="Times New Roman" w:hAnsi="Times New Roman" w:eastAsia="宋体" w:cs="Times New Roman"/>
                <w:b w:val="0"/>
                <w:bCs w:val="0"/>
                <w:i w:val="0"/>
                <w:iCs w:val="0"/>
                <w:color w:val="000000"/>
                <w:sz w:val="24"/>
                <w:szCs w:val="24"/>
                <w:u w:val="single"/>
              </w:rPr>
            </w:pPr>
          </w:p>
        </w:tc>
        <w:tc>
          <w:tcPr>
            <w:tcW w:w="4059" w:type="dxa"/>
            <w:tcBorders>
              <w:top w:val="nil"/>
              <w:left w:val="nil"/>
              <w:bottom w:val="single" w:color="000000" w:sz="4" w:space="0"/>
              <w:right w:val="nil"/>
            </w:tcBorders>
            <w:shd w:val="clear" w:color="auto" w:fill="auto"/>
            <w:noWrap/>
            <w:vAlign w:val="center"/>
          </w:tcPr>
          <w:p>
            <w:pPr>
              <w:spacing w:after="0" w:line="240" w:lineRule="auto"/>
              <w:rPr>
                <w:rFonts w:hint="default" w:ascii="Times New Roman" w:hAnsi="Times New Roman" w:eastAsia="宋体" w:cs="Times New Roman"/>
                <w:b w:val="0"/>
                <w:bCs w:val="0"/>
                <w:i w:val="0"/>
                <w:iCs w:val="0"/>
                <w:color w:val="000000"/>
                <w:sz w:val="24"/>
                <w:szCs w:val="24"/>
                <w:u w:val="single"/>
              </w:rPr>
            </w:pPr>
          </w:p>
        </w:tc>
      </w:tr>
    </w:tbl>
    <w:p>
      <w:pPr>
        <w:spacing w:after="0" w:line="360" w:lineRule="auto"/>
        <w:rPr>
          <w:rFonts w:hint="default" w:ascii="Times New Roman" w:hAnsi="Times New Roman" w:eastAsia="宋体" w:cs="Times New Roman"/>
          <w:b w:val="0"/>
          <w:bCs w:val="0"/>
          <w:i/>
          <w:iCs/>
          <w:sz w:val="24"/>
          <w:szCs w:val="24"/>
          <w:lang w:val="en-US" w:eastAsia="zh-CN"/>
        </w:rPr>
      </w:pPr>
      <w:r>
        <w:rPr>
          <w:rFonts w:hint="eastAsia" w:ascii="Times New Roman" w:hAnsi="Times New Roman" w:cs="Times New Roman"/>
          <w:i/>
          <w:iCs/>
          <w:sz w:val="24"/>
          <w:szCs w:val="24"/>
          <w:lang w:val="en-US" w:eastAsia="zh-CN"/>
        </w:rPr>
        <w:t>(</w:t>
      </w:r>
      <w:r>
        <w:rPr>
          <w:rFonts w:ascii="Times New Roman" w:hAnsi="Times New Roman" w:cs="Times New Roman"/>
          <w:i/>
          <w:iCs/>
          <w:sz w:val="24"/>
          <w:szCs w:val="24"/>
        </w:rPr>
        <w:t xml:space="preserve">Abbreviation: </w:t>
      </w:r>
      <w:r>
        <w:rPr>
          <w:rFonts w:hint="eastAsia" w:ascii="Times New Roman" w:hAnsi="Times New Roman" w:cs="Times New Roman"/>
          <w:i/>
          <w:iCs/>
          <w:sz w:val="24"/>
          <w:szCs w:val="24"/>
          <w:lang w:val="en-US" w:eastAsia="zh-CN"/>
        </w:rPr>
        <w:t xml:space="preserve">UPLC-MS/MS: </w:t>
      </w:r>
      <w:r>
        <w:rPr>
          <w:rFonts w:hint="default" w:ascii="Times New Roman" w:hAnsi="Times New Roman" w:eastAsia="宋体" w:cs="Times New Roman"/>
          <w:b w:val="0"/>
          <w:bCs w:val="0"/>
          <w:i/>
          <w:iCs/>
          <w:sz w:val="24"/>
          <w:szCs w:val="24"/>
        </w:rPr>
        <w:t>ultra-performance liquid chromatography</w:t>
      </w:r>
      <w:r>
        <w:rPr>
          <w:rFonts w:hint="eastAsia" w:ascii="Times New Roman" w:hAnsi="Times New Roman" w:eastAsia="宋体" w:cs="Times New Roman"/>
          <w:b w:val="0"/>
          <w:bCs w:val="0"/>
          <w:i/>
          <w:iCs/>
          <w:sz w:val="24"/>
          <w:szCs w:val="24"/>
          <w:lang w:val="en-US" w:eastAsia="zh-CN"/>
        </w:rPr>
        <w:t xml:space="preserve"> </w:t>
      </w:r>
      <w:r>
        <w:rPr>
          <w:rFonts w:hint="default" w:ascii="Times New Roman" w:hAnsi="Times New Roman" w:eastAsia="宋体" w:cs="Times New Roman"/>
          <w:b w:val="0"/>
          <w:bCs w:val="0"/>
          <w:i/>
          <w:iCs/>
          <w:sz w:val="24"/>
          <w:szCs w:val="24"/>
        </w:rPr>
        <w:t>/</w:t>
      </w:r>
      <w:r>
        <w:rPr>
          <w:rFonts w:hint="eastAsia" w:ascii="Times New Roman" w:hAnsi="Times New Roman" w:eastAsia="宋体" w:cs="Times New Roman"/>
          <w:b w:val="0"/>
          <w:bCs w:val="0"/>
          <w:i/>
          <w:iCs/>
          <w:sz w:val="24"/>
          <w:szCs w:val="24"/>
          <w:lang w:val="en-US" w:eastAsia="zh-CN"/>
        </w:rPr>
        <w:t xml:space="preserve"> </w:t>
      </w:r>
      <w:r>
        <w:rPr>
          <w:rFonts w:hint="default" w:ascii="Times New Roman" w:hAnsi="Times New Roman" w:eastAsia="宋体" w:cs="Times New Roman"/>
          <w:b w:val="0"/>
          <w:bCs w:val="0"/>
          <w:i/>
          <w:iCs/>
          <w:sz w:val="24"/>
          <w:szCs w:val="24"/>
        </w:rPr>
        <w:t>tandem mass spectrometry</w:t>
      </w:r>
      <w:r>
        <w:rPr>
          <w:rFonts w:hint="eastAsia" w:ascii="Times New Roman" w:hAnsi="Times New Roman" w:eastAsia="宋体" w:cs="Times New Roman"/>
          <w:b w:val="0"/>
          <w:bCs w:val="0"/>
          <w:i/>
          <w:iCs/>
          <w:sz w:val="24"/>
          <w:szCs w:val="24"/>
          <w:lang w:val="en-US" w:eastAsia="zh-CN"/>
        </w:rPr>
        <w:t>.)</w:t>
      </w:r>
    </w:p>
    <w:p>
      <w:pPr>
        <w:spacing w:line="240" w:lineRule="auto"/>
        <w:rPr>
          <w:rFonts w:hint="default" w:ascii="Times New Roman" w:hAnsi="Times New Roman" w:cs="Times New Roman" w:eastAsiaTheme="minorEastAsia"/>
          <w:sz w:val="24"/>
          <w:szCs w:val="24"/>
          <w:lang w:eastAsia="zh-CN"/>
        </w:rPr>
      </w:pPr>
    </w:p>
    <w:sectPr>
      <w:footerReference r:id="rId6" w:type="default"/>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heme="minorHAnsi" w:hAnsiTheme="minorHAnsi" w:eastAsiaTheme="minorEastAsia" w:cstheme="minorBidi"/>
        <w:kern w:val="2"/>
        <w:sz w:val="18"/>
        <w:szCs w:val="24"/>
        <w:lang w:val="en-US" w:eastAsia="zh-CN" w:bidi="ar-SA"/>
      </w:rPr>
    </w:pPr>
    <w:r>
      <w:rPr>
        <w:rFonts w:asciiTheme="minorHAnsi" w:hAnsiTheme="minorHAnsi" w:eastAsiaTheme="minorEastAsia"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jc w:val="left"/>
                            <w:rPr>
                              <w:rFonts w:asciiTheme="minorHAnsi" w:hAnsiTheme="minorHAnsi" w:eastAsiaTheme="minorEastAsia" w:cstheme="minorBidi"/>
                              <w:kern w:val="2"/>
                              <w:sz w:val="18"/>
                              <w:szCs w:val="24"/>
                              <w:lang w:val="en-US" w:eastAsia="zh-CN" w:bidi="ar-SA"/>
                            </w:rPr>
                          </w:pPr>
                          <w:r>
                            <w:rPr>
                              <w:rFonts w:asciiTheme="minorHAnsi" w:hAnsiTheme="minorHAnsi" w:eastAsiaTheme="minorEastAsia" w:cstheme="minorBidi"/>
                              <w:kern w:val="2"/>
                              <w:sz w:val="18"/>
                              <w:szCs w:val="24"/>
                              <w:lang w:val="en-US" w:eastAsia="zh-CN" w:bidi="ar-SA"/>
                            </w:rPr>
                            <w:fldChar w:fldCharType="begin"/>
                          </w:r>
                          <w:r>
                            <w:rPr>
                              <w:rFonts w:asciiTheme="minorHAnsi" w:hAnsiTheme="minorHAnsi" w:eastAsiaTheme="minorEastAsia" w:cstheme="minorBidi"/>
                              <w:kern w:val="2"/>
                              <w:sz w:val="18"/>
                              <w:szCs w:val="24"/>
                              <w:lang w:val="en-US" w:eastAsia="zh-CN" w:bidi="ar-SA"/>
                            </w:rPr>
                            <w:instrText xml:space="preserve"> PAGE  \* MERGEFORMAT </w:instrText>
                          </w:r>
                          <w:r>
                            <w:rPr>
                              <w:rFonts w:asciiTheme="minorHAnsi" w:hAnsiTheme="minorHAnsi" w:eastAsiaTheme="minorEastAsia" w:cstheme="minorBidi"/>
                              <w:kern w:val="2"/>
                              <w:sz w:val="18"/>
                              <w:szCs w:val="24"/>
                              <w:lang w:val="en-US" w:eastAsia="zh-CN" w:bidi="ar-SA"/>
                            </w:rPr>
                            <w:fldChar w:fldCharType="separate"/>
                          </w:r>
                          <w:r>
                            <w:rPr>
                              <w:rFonts w:asciiTheme="minorHAnsi" w:hAnsiTheme="minorHAnsi" w:eastAsiaTheme="minorEastAsia" w:cstheme="minorBidi"/>
                              <w:kern w:val="2"/>
                              <w:sz w:val="18"/>
                              <w:szCs w:val="24"/>
                              <w:lang w:val="en-US" w:eastAsia="zh-CN" w:bidi="ar-SA"/>
                            </w:rPr>
                            <w:t>1</w:t>
                          </w:r>
                          <w:r>
                            <w:rPr>
                              <w:rFonts w:asciiTheme="minorHAnsi" w:hAnsiTheme="minorHAnsi" w:eastAsiaTheme="minorEastAsia" w:cstheme="minorBidi"/>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widowControl w:val="0"/>
                      <w:snapToGrid w:val="0"/>
                      <w:jc w:val="left"/>
                      <w:rPr>
                        <w:rFonts w:asciiTheme="minorHAnsi" w:hAnsiTheme="minorHAnsi" w:eastAsiaTheme="minorEastAsia" w:cstheme="minorBidi"/>
                        <w:kern w:val="2"/>
                        <w:sz w:val="18"/>
                        <w:szCs w:val="24"/>
                        <w:lang w:val="en-US" w:eastAsia="zh-CN" w:bidi="ar-SA"/>
                      </w:rPr>
                    </w:pPr>
                    <w:r>
                      <w:rPr>
                        <w:rFonts w:asciiTheme="minorHAnsi" w:hAnsiTheme="minorHAnsi" w:eastAsiaTheme="minorEastAsia" w:cstheme="minorBidi"/>
                        <w:kern w:val="2"/>
                        <w:sz w:val="18"/>
                        <w:szCs w:val="24"/>
                        <w:lang w:val="en-US" w:eastAsia="zh-CN" w:bidi="ar-SA"/>
                      </w:rPr>
                      <w:fldChar w:fldCharType="begin"/>
                    </w:r>
                    <w:r>
                      <w:rPr>
                        <w:rFonts w:asciiTheme="minorHAnsi" w:hAnsiTheme="minorHAnsi" w:eastAsiaTheme="minorEastAsia" w:cstheme="minorBidi"/>
                        <w:kern w:val="2"/>
                        <w:sz w:val="18"/>
                        <w:szCs w:val="24"/>
                        <w:lang w:val="en-US" w:eastAsia="zh-CN" w:bidi="ar-SA"/>
                      </w:rPr>
                      <w:instrText xml:space="preserve"> PAGE  \* MERGEFORMAT </w:instrText>
                    </w:r>
                    <w:r>
                      <w:rPr>
                        <w:rFonts w:asciiTheme="minorHAnsi" w:hAnsiTheme="minorHAnsi" w:eastAsiaTheme="minorEastAsia" w:cstheme="minorBidi"/>
                        <w:kern w:val="2"/>
                        <w:sz w:val="18"/>
                        <w:szCs w:val="24"/>
                        <w:lang w:val="en-US" w:eastAsia="zh-CN" w:bidi="ar-SA"/>
                      </w:rPr>
                      <w:fldChar w:fldCharType="separate"/>
                    </w:r>
                    <w:r>
                      <w:rPr>
                        <w:rFonts w:asciiTheme="minorHAnsi" w:hAnsiTheme="minorHAnsi" w:eastAsiaTheme="minorEastAsia" w:cstheme="minorBidi"/>
                        <w:kern w:val="2"/>
                        <w:sz w:val="18"/>
                        <w:szCs w:val="24"/>
                        <w:lang w:val="en-US" w:eastAsia="zh-CN" w:bidi="ar-SA"/>
                      </w:rPr>
                      <w:t>1</w:t>
                    </w:r>
                    <w:r>
                      <w:rPr>
                        <w:rFonts w:asciiTheme="minorHAnsi" w:hAnsiTheme="minorHAnsi" w:eastAsiaTheme="minorEastAsia" w:cstheme="minorBidi"/>
                        <w:kern w:val="2"/>
                        <w:sz w:val="18"/>
                        <w:szCs w:val="24"/>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iZmM0YmI1OWNlNzEyNjVkMTNhYTI5MWU2OTQ5OTUifQ=="/>
    <w:docVar w:name="EN.Layout" w:val="&lt;ENLayout&gt;&lt;Style&gt;Cancer Letters1&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0202tvyevz5peer26v0257sazsrp95waax&quot;&gt;NSCLC_Metabolism&lt;record-ids&gt;&lt;item&gt;249&lt;/item&gt;&lt;item&gt;251&lt;/item&gt;&lt;item&gt;258&lt;/item&gt;&lt;item&gt;260&lt;/item&gt;&lt;item&gt;264&lt;/item&gt;&lt;item&gt;266&lt;/item&gt;&lt;item&gt;273&lt;/item&gt;&lt;item&gt;274&lt;/item&gt;&lt;item&gt;275&lt;/item&gt;&lt;item&gt;307&lt;/item&gt;&lt;item&gt;325&lt;/item&gt;&lt;/record-ids&gt;&lt;/item&gt;&lt;/Libraries&gt;"/>
  </w:docVars>
  <w:rsids>
    <w:rsidRoot w:val="00000000"/>
    <w:rsid w:val="00050F00"/>
    <w:rsid w:val="00155658"/>
    <w:rsid w:val="002E364F"/>
    <w:rsid w:val="00417EF4"/>
    <w:rsid w:val="0062225F"/>
    <w:rsid w:val="0089189B"/>
    <w:rsid w:val="009603FF"/>
    <w:rsid w:val="015754F6"/>
    <w:rsid w:val="01895C07"/>
    <w:rsid w:val="019941A6"/>
    <w:rsid w:val="01F42D45"/>
    <w:rsid w:val="02224A9F"/>
    <w:rsid w:val="02241003"/>
    <w:rsid w:val="02A66735"/>
    <w:rsid w:val="034811E7"/>
    <w:rsid w:val="03BC4D98"/>
    <w:rsid w:val="040C03C5"/>
    <w:rsid w:val="04316146"/>
    <w:rsid w:val="04AD5B99"/>
    <w:rsid w:val="04EE7A90"/>
    <w:rsid w:val="05060621"/>
    <w:rsid w:val="05A76A4C"/>
    <w:rsid w:val="06572053"/>
    <w:rsid w:val="06C37355"/>
    <w:rsid w:val="06D3561E"/>
    <w:rsid w:val="06DF5D71"/>
    <w:rsid w:val="07A5520D"/>
    <w:rsid w:val="07FF4EC7"/>
    <w:rsid w:val="082D6FB0"/>
    <w:rsid w:val="096274B0"/>
    <w:rsid w:val="09E65669"/>
    <w:rsid w:val="0AFD2C6A"/>
    <w:rsid w:val="0B354AFA"/>
    <w:rsid w:val="0B8B2FC0"/>
    <w:rsid w:val="0BDE6F3F"/>
    <w:rsid w:val="0BEA58E4"/>
    <w:rsid w:val="0DB81183"/>
    <w:rsid w:val="0E33181B"/>
    <w:rsid w:val="0E440BB0"/>
    <w:rsid w:val="0F307AB2"/>
    <w:rsid w:val="0F672951"/>
    <w:rsid w:val="0F89780A"/>
    <w:rsid w:val="0FE86DDE"/>
    <w:rsid w:val="108160EB"/>
    <w:rsid w:val="10A11862"/>
    <w:rsid w:val="10EA3A16"/>
    <w:rsid w:val="11051B0C"/>
    <w:rsid w:val="123F61BB"/>
    <w:rsid w:val="12EA61CA"/>
    <w:rsid w:val="12F25FF2"/>
    <w:rsid w:val="135C6EE1"/>
    <w:rsid w:val="137141F5"/>
    <w:rsid w:val="13ED636A"/>
    <w:rsid w:val="142C636E"/>
    <w:rsid w:val="14456D19"/>
    <w:rsid w:val="148D32B1"/>
    <w:rsid w:val="14CE4FD7"/>
    <w:rsid w:val="150E446A"/>
    <w:rsid w:val="15316332"/>
    <w:rsid w:val="15AC7AE7"/>
    <w:rsid w:val="15AE34DE"/>
    <w:rsid w:val="15CF183D"/>
    <w:rsid w:val="164F1596"/>
    <w:rsid w:val="171C5E98"/>
    <w:rsid w:val="17254E55"/>
    <w:rsid w:val="17312619"/>
    <w:rsid w:val="175718CF"/>
    <w:rsid w:val="177F691D"/>
    <w:rsid w:val="17AA4179"/>
    <w:rsid w:val="187745F5"/>
    <w:rsid w:val="18A06C84"/>
    <w:rsid w:val="19232435"/>
    <w:rsid w:val="19614D0C"/>
    <w:rsid w:val="19772C2F"/>
    <w:rsid w:val="19F618F8"/>
    <w:rsid w:val="1AD61526"/>
    <w:rsid w:val="1BAA299A"/>
    <w:rsid w:val="1C3B2EAA"/>
    <w:rsid w:val="1D44297A"/>
    <w:rsid w:val="1E5E7A6C"/>
    <w:rsid w:val="1EFF124F"/>
    <w:rsid w:val="1F3F789D"/>
    <w:rsid w:val="1F4848FA"/>
    <w:rsid w:val="1F52137F"/>
    <w:rsid w:val="213F3B84"/>
    <w:rsid w:val="2173382E"/>
    <w:rsid w:val="21CF315A"/>
    <w:rsid w:val="222334A6"/>
    <w:rsid w:val="22EF25C4"/>
    <w:rsid w:val="23D762F6"/>
    <w:rsid w:val="2437337B"/>
    <w:rsid w:val="248A3369"/>
    <w:rsid w:val="259011F8"/>
    <w:rsid w:val="26A8572F"/>
    <w:rsid w:val="26C22CF2"/>
    <w:rsid w:val="26D27249"/>
    <w:rsid w:val="273D0B66"/>
    <w:rsid w:val="273F295C"/>
    <w:rsid w:val="27894255"/>
    <w:rsid w:val="27CE3408"/>
    <w:rsid w:val="285F4B0C"/>
    <w:rsid w:val="28F17E5A"/>
    <w:rsid w:val="297726A5"/>
    <w:rsid w:val="2A1C25CC"/>
    <w:rsid w:val="2A5A0757"/>
    <w:rsid w:val="2A863682"/>
    <w:rsid w:val="2A8D5961"/>
    <w:rsid w:val="2B8A6344"/>
    <w:rsid w:val="2C482942"/>
    <w:rsid w:val="2CFD2B2B"/>
    <w:rsid w:val="2D0143E4"/>
    <w:rsid w:val="2D03414E"/>
    <w:rsid w:val="2DF33D2D"/>
    <w:rsid w:val="2DF64760"/>
    <w:rsid w:val="2E6A4A00"/>
    <w:rsid w:val="2EB72FE9"/>
    <w:rsid w:val="2EBB1CE1"/>
    <w:rsid w:val="2ECA5281"/>
    <w:rsid w:val="2F560A17"/>
    <w:rsid w:val="2F7E4D28"/>
    <w:rsid w:val="2FAE58A8"/>
    <w:rsid w:val="307709AD"/>
    <w:rsid w:val="30C3115B"/>
    <w:rsid w:val="31643065"/>
    <w:rsid w:val="31AE76ED"/>
    <w:rsid w:val="32EB2FB9"/>
    <w:rsid w:val="333D71B2"/>
    <w:rsid w:val="33894820"/>
    <w:rsid w:val="339E0DDD"/>
    <w:rsid w:val="34474DD2"/>
    <w:rsid w:val="34A00986"/>
    <w:rsid w:val="34E02B31"/>
    <w:rsid w:val="352476AF"/>
    <w:rsid w:val="35610116"/>
    <w:rsid w:val="356419B4"/>
    <w:rsid w:val="359442DC"/>
    <w:rsid w:val="35D5640E"/>
    <w:rsid w:val="36BF474E"/>
    <w:rsid w:val="36C22E36"/>
    <w:rsid w:val="372A4537"/>
    <w:rsid w:val="3762003B"/>
    <w:rsid w:val="37A03513"/>
    <w:rsid w:val="386A5533"/>
    <w:rsid w:val="387A1542"/>
    <w:rsid w:val="39446EB7"/>
    <w:rsid w:val="39455658"/>
    <w:rsid w:val="39D42D48"/>
    <w:rsid w:val="3A306308"/>
    <w:rsid w:val="3AA63631"/>
    <w:rsid w:val="3B1859B3"/>
    <w:rsid w:val="3C3D77CB"/>
    <w:rsid w:val="3C6D114E"/>
    <w:rsid w:val="3CCA1AEF"/>
    <w:rsid w:val="3CF633F6"/>
    <w:rsid w:val="3D475E43"/>
    <w:rsid w:val="3D8E75CE"/>
    <w:rsid w:val="3DD8333F"/>
    <w:rsid w:val="3DFA2EB5"/>
    <w:rsid w:val="3EBB0897"/>
    <w:rsid w:val="3EDE5D3C"/>
    <w:rsid w:val="3F092067"/>
    <w:rsid w:val="3F202CF6"/>
    <w:rsid w:val="3FD15E98"/>
    <w:rsid w:val="3FE80981"/>
    <w:rsid w:val="3FFE4C0F"/>
    <w:rsid w:val="407547B8"/>
    <w:rsid w:val="4169349D"/>
    <w:rsid w:val="41A35E1F"/>
    <w:rsid w:val="42166C97"/>
    <w:rsid w:val="42215C3C"/>
    <w:rsid w:val="42227AF1"/>
    <w:rsid w:val="43B65AD0"/>
    <w:rsid w:val="442D183B"/>
    <w:rsid w:val="445D2C4C"/>
    <w:rsid w:val="447534E6"/>
    <w:rsid w:val="44AA6D2D"/>
    <w:rsid w:val="45200D48"/>
    <w:rsid w:val="461B348E"/>
    <w:rsid w:val="46337C01"/>
    <w:rsid w:val="466E2692"/>
    <w:rsid w:val="46753A21"/>
    <w:rsid w:val="46C51AB9"/>
    <w:rsid w:val="472967FF"/>
    <w:rsid w:val="480108E8"/>
    <w:rsid w:val="48771F04"/>
    <w:rsid w:val="48D507A7"/>
    <w:rsid w:val="497D4D18"/>
    <w:rsid w:val="4A2A68D0"/>
    <w:rsid w:val="4A723109"/>
    <w:rsid w:val="4A842257"/>
    <w:rsid w:val="4B06733D"/>
    <w:rsid w:val="4BC92119"/>
    <w:rsid w:val="4BF4239E"/>
    <w:rsid w:val="4C7036C7"/>
    <w:rsid w:val="4CF6084E"/>
    <w:rsid w:val="4D907392"/>
    <w:rsid w:val="4E0F1D97"/>
    <w:rsid w:val="4E7740AE"/>
    <w:rsid w:val="4EFD4BB2"/>
    <w:rsid w:val="4F0E2EE6"/>
    <w:rsid w:val="4FAC6F2A"/>
    <w:rsid w:val="4FBC1B69"/>
    <w:rsid w:val="4FC9093A"/>
    <w:rsid w:val="4FE305A5"/>
    <w:rsid w:val="50610040"/>
    <w:rsid w:val="51022355"/>
    <w:rsid w:val="51080310"/>
    <w:rsid w:val="511D0F3D"/>
    <w:rsid w:val="513E19F2"/>
    <w:rsid w:val="5143132B"/>
    <w:rsid w:val="51774EB8"/>
    <w:rsid w:val="517F7502"/>
    <w:rsid w:val="535D3873"/>
    <w:rsid w:val="53952E76"/>
    <w:rsid w:val="53DF24DA"/>
    <w:rsid w:val="53E3002F"/>
    <w:rsid w:val="541E4DB2"/>
    <w:rsid w:val="542C1497"/>
    <w:rsid w:val="543B62AD"/>
    <w:rsid w:val="5474446B"/>
    <w:rsid w:val="55363231"/>
    <w:rsid w:val="554C3B9F"/>
    <w:rsid w:val="55831BF0"/>
    <w:rsid w:val="55F91ECE"/>
    <w:rsid w:val="560E70A6"/>
    <w:rsid w:val="56AB6FEB"/>
    <w:rsid w:val="56F269C8"/>
    <w:rsid w:val="571D6F35"/>
    <w:rsid w:val="57234DD3"/>
    <w:rsid w:val="57F95B34"/>
    <w:rsid w:val="58466FCB"/>
    <w:rsid w:val="58FB67C7"/>
    <w:rsid w:val="592A2449"/>
    <w:rsid w:val="5955323E"/>
    <w:rsid w:val="596F2552"/>
    <w:rsid w:val="59E928DD"/>
    <w:rsid w:val="5A382944"/>
    <w:rsid w:val="5B33604E"/>
    <w:rsid w:val="5BE16142"/>
    <w:rsid w:val="5CC41560"/>
    <w:rsid w:val="5D5761BB"/>
    <w:rsid w:val="5D6B1282"/>
    <w:rsid w:val="5D962A9B"/>
    <w:rsid w:val="5DB76275"/>
    <w:rsid w:val="5EDC2A31"/>
    <w:rsid w:val="5F334021"/>
    <w:rsid w:val="60050ADB"/>
    <w:rsid w:val="601156CE"/>
    <w:rsid w:val="60560507"/>
    <w:rsid w:val="60624BBE"/>
    <w:rsid w:val="60E73D51"/>
    <w:rsid w:val="6109503A"/>
    <w:rsid w:val="6129062E"/>
    <w:rsid w:val="6145071A"/>
    <w:rsid w:val="61DD2879"/>
    <w:rsid w:val="62165C60"/>
    <w:rsid w:val="62CA07F9"/>
    <w:rsid w:val="63B53257"/>
    <w:rsid w:val="643E324C"/>
    <w:rsid w:val="64917820"/>
    <w:rsid w:val="64B06D1C"/>
    <w:rsid w:val="658B0713"/>
    <w:rsid w:val="65BB267B"/>
    <w:rsid w:val="65CF28C3"/>
    <w:rsid w:val="665723A3"/>
    <w:rsid w:val="671251F1"/>
    <w:rsid w:val="673F17B5"/>
    <w:rsid w:val="676610B4"/>
    <w:rsid w:val="68273FF7"/>
    <w:rsid w:val="686A21E8"/>
    <w:rsid w:val="687C2595"/>
    <w:rsid w:val="68B464A4"/>
    <w:rsid w:val="692E4354"/>
    <w:rsid w:val="698A6F34"/>
    <w:rsid w:val="69CD138E"/>
    <w:rsid w:val="69DA12FC"/>
    <w:rsid w:val="6A3F387A"/>
    <w:rsid w:val="6A4B23A0"/>
    <w:rsid w:val="6A7E2C0A"/>
    <w:rsid w:val="6ABA73A5"/>
    <w:rsid w:val="6BD237BA"/>
    <w:rsid w:val="6C206AC0"/>
    <w:rsid w:val="6C2338B6"/>
    <w:rsid w:val="6C437A1F"/>
    <w:rsid w:val="6C5B73FB"/>
    <w:rsid w:val="6C910B40"/>
    <w:rsid w:val="6CBB3D45"/>
    <w:rsid w:val="6CD24E7A"/>
    <w:rsid w:val="6D45284C"/>
    <w:rsid w:val="6D846F25"/>
    <w:rsid w:val="6DE210EC"/>
    <w:rsid w:val="6DF54486"/>
    <w:rsid w:val="6E961818"/>
    <w:rsid w:val="6ECC31E1"/>
    <w:rsid w:val="6F6D3884"/>
    <w:rsid w:val="70385739"/>
    <w:rsid w:val="7040115A"/>
    <w:rsid w:val="705A36F0"/>
    <w:rsid w:val="70A05304"/>
    <w:rsid w:val="712A5284"/>
    <w:rsid w:val="715440AF"/>
    <w:rsid w:val="71A36DE5"/>
    <w:rsid w:val="71EE7287"/>
    <w:rsid w:val="724265FE"/>
    <w:rsid w:val="72693B8A"/>
    <w:rsid w:val="7278770A"/>
    <w:rsid w:val="73552881"/>
    <w:rsid w:val="747F58E7"/>
    <w:rsid w:val="7487654A"/>
    <w:rsid w:val="75DA08FB"/>
    <w:rsid w:val="75E8126A"/>
    <w:rsid w:val="76551B61"/>
    <w:rsid w:val="76774D15"/>
    <w:rsid w:val="76AA770D"/>
    <w:rsid w:val="77356731"/>
    <w:rsid w:val="7840593D"/>
    <w:rsid w:val="788F00C3"/>
    <w:rsid w:val="78B84528"/>
    <w:rsid w:val="798B075D"/>
    <w:rsid w:val="799D20F6"/>
    <w:rsid w:val="79DC54CB"/>
    <w:rsid w:val="79DF4732"/>
    <w:rsid w:val="79E34D2C"/>
    <w:rsid w:val="79FB745F"/>
    <w:rsid w:val="7A3155BD"/>
    <w:rsid w:val="7A454EDD"/>
    <w:rsid w:val="7B452CBB"/>
    <w:rsid w:val="7B5775D0"/>
    <w:rsid w:val="7B75617B"/>
    <w:rsid w:val="7B7E54D5"/>
    <w:rsid w:val="7B953DFE"/>
    <w:rsid w:val="7BAE6712"/>
    <w:rsid w:val="7BD90913"/>
    <w:rsid w:val="7BE51F9D"/>
    <w:rsid w:val="7C372603"/>
    <w:rsid w:val="7CB320E1"/>
    <w:rsid w:val="7CDE33C7"/>
    <w:rsid w:val="7CE23C3E"/>
    <w:rsid w:val="7D0115D0"/>
    <w:rsid w:val="7D397D38"/>
    <w:rsid w:val="7D7B2F80"/>
    <w:rsid w:val="7D8D09BB"/>
    <w:rsid w:val="7D9677FD"/>
    <w:rsid w:val="7DBF0B02"/>
    <w:rsid w:val="7E2272E3"/>
    <w:rsid w:val="7EAE0A06"/>
    <w:rsid w:val="7EF96296"/>
    <w:rsid w:val="7FC51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unhideWhenUsed/>
    <w:qFormat/>
    <w:uiPriority w:val="99"/>
    <w:rPr>
      <w:rFonts w:ascii="Times New Roman" w:hAnsi="Times New Roman" w:eastAsia="宋体"/>
      <w:color w:val="0000FF"/>
      <w:sz w:val="24"/>
      <w:u w:val="single"/>
    </w:rPr>
  </w:style>
  <w:style w:type="character" w:customStyle="1" w:styleId="7">
    <w:name w:val="font21"/>
    <w:qFormat/>
    <w:uiPriority w:val="0"/>
    <w:rPr>
      <w:rFonts w:hint="default" w:ascii="Times New Roman" w:hAnsi="Times New Roman" w:cs="Times New Roman"/>
      <w:b/>
      <w:bCs/>
      <w:color w:val="000000"/>
      <w:sz w:val="24"/>
      <w:szCs w:val="24"/>
      <w:u w:val="none"/>
    </w:rPr>
  </w:style>
  <w:style w:type="character" w:customStyle="1" w:styleId="8">
    <w:name w:val="font41"/>
    <w:qFormat/>
    <w:uiPriority w:val="0"/>
    <w:rPr>
      <w:rFonts w:hint="default" w:ascii="Times New Roman" w:hAnsi="Times New Roman" w:cs="Times New Roman"/>
      <w:b/>
      <w:bCs/>
      <w:i/>
      <w:iCs/>
      <w:color w:val="000000"/>
      <w:sz w:val="24"/>
      <w:szCs w:val="24"/>
      <w:u w:val="none"/>
    </w:rPr>
  </w:style>
  <w:style w:type="character" w:customStyle="1" w:styleId="9">
    <w:name w:val="font31"/>
    <w:qFormat/>
    <w:uiPriority w:val="0"/>
    <w:rPr>
      <w:rFonts w:hint="default" w:ascii="Times New Roman" w:hAnsi="Times New Roman" w:cs="Times New Roman"/>
      <w:b/>
      <w:bCs/>
      <w:color w:val="000000"/>
      <w:sz w:val="24"/>
      <w:szCs w:val="24"/>
      <w:u w:val="none"/>
    </w:rPr>
  </w:style>
  <w:style w:type="character" w:customStyle="1" w:styleId="10">
    <w:name w:val="font11"/>
    <w:qFormat/>
    <w:uiPriority w:val="0"/>
    <w:rPr>
      <w:rFonts w:hint="default" w:ascii="Times New Roman" w:hAnsi="Times New Roman" w:cs="Times New Roman"/>
      <w:b/>
      <w:bCs/>
      <w:color w:val="000000"/>
      <w:sz w:val="24"/>
      <w:szCs w:val="24"/>
      <w:u w:val="none"/>
    </w:rPr>
  </w:style>
  <w:style w:type="paragraph" w:customStyle="1" w:styleId="11">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2">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2024-06-13T01:34:00Z</dcterms:created>
  <dc:creator>DLY</dc:creator>
  <cp:lastModifiedBy>申高攀</cp:lastModifiedBy>
  <dcterms:modified xsi:type="dcterms:W3CDTF">2025-04-27T10:49:18Z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1D7AB16975C74A8994372FDFEC46D94A_12</vt:lpwstr>
  </property>
</Properties>
</file>