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7FAFB" w14:textId="77777777" w:rsidR="002F7132" w:rsidRPr="0083487C" w:rsidRDefault="002F7132" w:rsidP="002F7132">
      <w:pPr>
        <w:pStyle w:val="2"/>
        <w:rPr>
          <w:rFonts w:ascii="Times New Roman" w:hAnsi="Times New Roman" w:cs="Times New Roman"/>
        </w:rPr>
      </w:pPr>
      <w:bookmarkStart w:id="0" w:name="_Toc162596417"/>
      <w:bookmarkStart w:id="1" w:name="_Toc162596524"/>
      <w:bookmarkStart w:id="2" w:name="_Toc162725997"/>
      <w:bookmarkStart w:id="3" w:name="_Toc162788414"/>
      <w:r w:rsidRPr="0083487C">
        <w:rPr>
          <w:rFonts w:ascii="Times New Roman" w:hAnsi="Times New Roman" w:cs="Times New Roman"/>
        </w:rPr>
        <w:t>Table S1. Endpoints of the four cohorts</w:t>
      </w:r>
      <w:bookmarkEnd w:id="0"/>
      <w:bookmarkEnd w:id="1"/>
      <w:bookmarkEnd w:id="2"/>
      <w:bookmarkEnd w:id="3"/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379"/>
      </w:tblGrid>
      <w:tr w:rsidR="002F7132" w:rsidRPr="0083487C" w14:paraId="67128D15" w14:textId="77777777" w:rsidTr="006A1614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0C344B6C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4D3E38B6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Endpoint</w:t>
            </w:r>
          </w:p>
        </w:tc>
      </w:tr>
      <w:tr w:rsidR="002F7132" w:rsidRPr="0083487C" w14:paraId="44405491" w14:textId="77777777" w:rsidTr="006A1614">
        <w:tc>
          <w:tcPr>
            <w:tcW w:w="1696" w:type="dxa"/>
            <w:tcBorders>
              <w:top w:val="single" w:sz="4" w:space="0" w:color="auto"/>
            </w:tcBorders>
          </w:tcPr>
          <w:p w14:paraId="4DBB5F35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SAHSU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28404268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CT/clinical (including immunohistochemical results and other features) signature of EGFR mutation status</w:t>
            </w:r>
          </w:p>
        </w:tc>
      </w:tr>
      <w:tr w:rsidR="002F7132" w:rsidRPr="0083487C" w14:paraId="613C7ABA" w14:textId="77777777" w:rsidTr="006A1614">
        <w:tc>
          <w:tcPr>
            <w:tcW w:w="1696" w:type="dxa"/>
          </w:tcPr>
          <w:p w14:paraId="72F90EC5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AHQU</w:t>
            </w:r>
          </w:p>
        </w:tc>
        <w:tc>
          <w:tcPr>
            <w:tcW w:w="6379" w:type="dxa"/>
          </w:tcPr>
          <w:p w14:paraId="57B8A270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CT/clinical (including immunohistochemical results and other features)/gene signature of EGFR mutation status and Overall survival</w:t>
            </w:r>
          </w:p>
        </w:tc>
      </w:tr>
      <w:tr w:rsidR="002F7132" w:rsidRPr="0083487C" w14:paraId="25C29D5F" w14:textId="77777777" w:rsidTr="006A1614">
        <w:tc>
          <w:tcPr>
            <w:tcW w:w="1696" w:type="dxa"/>
          </w:tcPr>
          <w:p w14:paraId="683D1BD1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TCGA</w:t>
            </w:r>
          </w:p>
        </w:tc>
        <w:tc>
          <w:tcPr>
            <w:tcW w:w="6379" w:type="dxa"/>
          </w:tcPr>
          <w:p w14:paraId="0B61107F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CT /gene signature of EGFR and Overall survival, Differential expressed genes, Functional enrichment and immune-related analysis</w:t>
            </w:r>
          </w:p>
        </w:tc>
      </w:tr>
      <w:tr w:rsidR="002F7132" w:rsidRPr="0083487C" w14:paraId="0C19DDBA" w14:textId="77777777" w:rsidTr="006A1614">
        <w:tc>
          <w:tcPr>
            <w:tcW w:w="1696" w:type="dxa"/>
          </w:tcPr>
          <w:p w14:paraId="361C190F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CPTAC</w:t>
            </w:r>
          </w:p>
        </w:tc>
        <w:tc>
          <w:tcPr>
            <w:tcW w:w="6379" w:type="dxa"/>
          </w:tcPr>
          <w:p w14:paraId="6EFA1C3A" w14:textId="77777777" w:rsidR="002F7132" w:rsidRPr="0083487C" w:rsidRDefault="002F7132" w:rsidP="006A1614">
            <w:pPr>
              <w:jc w:val="center"/>
              <w:rPr>
                <w:rFonts w:ascii="Times New Roman" w:hAnsi="Times New Roman" w:cs="Times New Roman"/>
              </w:rPr>
            </w:pPr>
            <w:r w:rsidRPr="0083487C">
              <w:rPr>
                <w:rFonts w:ascii="Times New Roman" w:hAnsi="Times New Roman" w:cs="Times New Roman"/>
              </w:rPr>
              <w:t>CT/gene signature of EGFR mutation status and Overall survival</w:t>
            </w:r>
          </w:p>
        </w:tc>
      </w:tr>
    </w:tbl>
    <w:p w14:paraId="3BA9F5AE" w14:textId="575BD766" w:rsidR="00330539" w:rsidRDefault="002F7132">
      <w:r w:rsidRPr="00150015">
        <w:rPr>
          <w:rFonts w:ascii="Times New Roman" w:hAnsi="Times New Roman" w:cs="Times New Roman"/>
          <w:sz w:val="20"/>
          <w:szCs w:val="20"/>
          <w:shd w:val="clear" w:color="auto" w:fill="FFFFFF"/>
        </w:rPr>
        <w:t>AHQU</w:t>
      </w:r>
      <w:r w:rsidRPr="00150015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,</w:t>
      </w:r>
      <w:r w:rsidRPr="001500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the Affiliated Hospital of Qingdao University</w:t>
      </w:r>
      <w:r w:rsidRPr="00150015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;</w:t>
      </w:r>
      <w:r w:rsidRPr="001500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SAHSU</w:t>
      </w:r>
      <w:r w:rsidRPr="00150015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,</w:t>
      </w:r>
      <w:r w:rsidRPr="001500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the Second Affiliated Hospital of Soochow University</w:t>
      </w:r>
      <w:r w:rsidRPr="00150015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; </w:t>
      </w:r>
      <w:r w:rsidRPr="009D4858">
        <w:rPr>
          <w:rFonts w:ascii="Times New Roman" w:hAnsi="Times New Roman" w:cs="Times New Roman"/>
          <w:sz w:val="20"/>
          <w:szCs w:val="20"/>
          <w:shd w:val="clear" w:color="auto" w:fill="FFFFFF"/>
        </w:rPr>
        <w:t>TCGA, The Cancer Genome Atlas; CPTAC, Clinical Proteomic Tumor Analysis Consortium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; EGFR, </w:t>
      </w:r>
      <w:r w:rsidRPr="009E4A54">
        <w:rPr>
          <w:rFonts w:ascii="Times New Roman" w:hAnsi="Times New Roman" w:cs="Times New Roman"/>
          <w:sz w:val="20"/>
          <w:szCs w:val="20"/>
          <w:shd w:val="clear" w:color="auto" w:fill="FFFFFF"/>
        </w:rPr>
        <w:t>epidermal growth factor receptor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; CT, </w:t>
      </w:r>
      <w:r w:rsidRPr="009E4A54">
        <w:rPr>
          <w:rFonts w:ascii="Times New Roman" w:hAnsi="Times New Roman" w:cs="Times New Roman"/>
          <w:sz w:val="20"/>
          <w:szCs w:val="20"/>
          <w:shd w:val="clear" w:color="auto" w:fill="FFFFFF"/>
        </w:rPr>
        <w:t>Computed Tomography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.</w:t>
      </w:r>
    </w:p>
    <w:sectPr w:rsidR="003305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0D141" w14:textId="77777777" w:rsidR="00CB2EC0" w:rsidRDefault="00CB2EC0" w:rsidP="002F7132">
      <w:r>
        <w:separator/>
      </w:r>
    </w:p>
  </w:endnote>
  <w:endnote w:type="continuationSeparator" w:id="0">
    <w:p w14:paraId="32D16D5C" w14:textId="77777777" w:rsidR="00CB2EC0" w:rsidRDefault="00CB2EC0" w:rsidP="002F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08BB2" w14:textId="77777777" w:rsidR="00CB2EC0" w:rsidRDefault="00CB2EC0" w:rsidP="002F7132">
      <w:r>
        <w:separator/>
      </w:r>
    </w:p>
  </w:footnote>
  <w:footnote w:type="continuationSeparator" w:id="0">
    <w:p w14:paraId="24EC2933" w14:textId="77777777" w:rsidR="00CB2EC0" w:rsidRDefault="00CB2EC0" w:rsidP="002F7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9C"/>
    <w:rsid w:val="002F7132"/>
    <w:rsid w:val="00327CB3"/>
    <w:rsid w:val="00330539"/>
    <w:rsid w:val="0042599C"/>
    <w:rsid w:val="00CB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1D7E84B-8467-44E2-B826-C80AB556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132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2F7132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1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2F71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713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2F7132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2F7132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  <w:style w:type="table" w:styleId="a7">
    <w:name w:val="Table Grid"/>
    <w:basedOn w:val="a1"/>
    <w:uiPriority w:val="39"/>
    <w:rsid w:val="002F7132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2024-04-08T12:18:00Z</dcterms:created>
  <dcterms:modified xsi:type="dcterms:W3CDTF">2024-04-08T12:19:00Z</dcterms:modified>
</cp:coreProperties>
</file>