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A4EDE7">
      <w:pPr>
        <w:jc w:val="both"/>
        <w:rPr>
          <w:rFonts w:hint="default" w:ascii="Times New Roman" w:hAnsi="Times New Roman" w:cs="Times New Roman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 xml:space="preserve">1 </w:t>
      </w:r>
      <w:r>
        <w:rPr>
          <w:rFonts w:ascii="Times New Roman Regular" w:hAnsi="Times New Roman Regular" w:cs="Times New Roman Regular"/>
          <w:sz w:val="24"/>
          <w:szCs w:val="24"/>
        </w:rPr>
        <w:t>Baseline information of enrolled patients</w:t>
      </w:r>
    </w:p>
    <w:tbl>
      <w:tblPr>
        <w:tblStyle w:val="3"/>
        <w:tblW w:w="8511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4"/>
        <w:gridCol w:w="2268"/>
        <w:gridCol w:w="2268"/>
        <w:gridCol w:w="1701"/>
      </w:tblGrid>
      <w:tr w14:paraId="5E307C9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1F301ED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26ABA68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Non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smoker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2268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64184E3">
            <w:pPr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Smoker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451BC4A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COPD</w:t>
            </w:r>
          </w:p>
        </w:tc>
      </w:tr>
      <w:tr w14:paraId="0BD31C3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FAE6D82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Subjects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7C2D12D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F5EEE6A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B8D5676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 w14:paraId="3EB53FF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A612D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Sex (M/F)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BB74B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/0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CF4E4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/0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02245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/0</w:t>
            </w:r>
          </w:p>
        </w:tc>
      </w:tr>
      <w:tr w14:paraId="6F63D63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A471D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Age (years)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981C0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59.0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6EA73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58.0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CC808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60.0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4.3</w:t>
            </w:r>
          </w:p>
        </w:tc>
      </w:tr>
      <w:tr w14:paraId="6D62342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0A29B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BMI（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kg/m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7B158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4.1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2EB68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23.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4140A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2.6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2.4</w:t>
            </w:r>
          </w:p>
        </w:tc>
      </w:tr>
      <w:tr w14:paraId="7C2F203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DFDA6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Smoking index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46835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95774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915.0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525.4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DD67B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905.0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510.1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 w14:paraId="2689E62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48701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FEV1%pred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EE342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2.3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8.4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FE400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95.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F829C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87.5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11.6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 w14:paraId="4AB99A2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1169F0DD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FEV1/FVC (%)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68F6F782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79.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1DAD48BC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44BCE3D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4.7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4.0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#</w:t>
            </w:r>
          </w:p>
        </w:tc>
      </w:tr>
    </w:tbl>
    <w:p w14:paraId="670202AA"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 w:eastAsiaTheme="minorEastAsia"/>
          <w:lang w:eastAsia="zh-CN"/>
        </w:rPr>
        <w:t xml:space="preserve">Values are presented as mean ± </w:t>
      </w:r>
      <w:r>
        <w:rPr>
          <w:rFonts w:hint="eastAsia" w:ascii="Times New Roman" w:hAnsi="Times New Roman" w:cs="Times New Roman"/>
          <w:lang w:val="en-US" w:eastAsia="zh-CN"/>
        </w:rPr>
        <w:t>SD</w:t>
      </w:r>
      <w:r>
        <w:rPr>
          <w:rFonts w:hint="default" w:ascii="Times New Roman" w:hAnsi="Times New Roman" w:cs="Times New Roman" w:eastAsiaTheme="minorEastAsia"/>
          <w:lang w:eastAsia="zh-CN"/>
        </w:rPr>
        <w:t>. COPD</w:t>
      </w:r>
      <w:r>
        <w:rPr>
          <w:rFonts w:hint="eastAsia" w:ascii="Times New Roman" w:hAnsi="Times New Roman" w:cs="Times New Roman"/>
          <w:lang w:val="en-US" w:eastAsia="zh-CN"/>
        </w:rPr>
        <w:t>,</w:t>
      </w:r>
      <w:r>
        <w:rPr>
          <w:rFonts w:hint="default" w:ascii="Times New Roman" w:hAnsi="Times New Roman" w:cs="Times New Roman" w:eastAsiaTheme="minorEastAsia"/>
          <w:lang w:eastAsia="zh-CN"/>
        </w:rPr>
        <w:t xml:space="preserve"> chronic obstructive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lang w:eastAsia="zh-CN"/>
        </w:rPr>
        <w:t>pulmonary disease; FEV1</w:t>
      </w:r>
      <w:r>
        <w:rPr>
          <w:rFonts w:hint="eastAsia" w:ascii="Times New Roman" w:hAnsi="Times New Roman" w:cs="Times New Roman"/>
          <w:lang w:val="en-US" w:eastAsia="zh-CN"/>
        </w:rPr>
        <w:t>,</w:t>
      </w:r>
      <w:r>
        <w:rPr>
          <w:rFonts w:hint="default" w:ascii="Times New Roman" w:hAnsi="Times New Roman" w:cs="Times New Roman" w:eastAsiaTheme="minorEastAsia"/>
          <w:lang w:eastAsia="zh-CN"/>
        </w:rPr>
        <w:t xml:space="preserve"> forced expiratory volume in </w:t>
      </w:r>
      <w:r>
        <w:rPr>
          <w:rFonts w:hint="eastAsia" w:ascii="Times New Roman" w:hAnsi="Times New Roman" w:cs="Times New Roman"/>
          <w:lang w:val="en-US" w:eastAsia="zh-CN"/>
        </w:rPr>
        <w:t>first</w:t>
      </w:r>
      <w:r>
        <w:rPr>
          <w:rFonts w:hint="default" w:ascii="Times New Roman" w:hAnsi="Times New Roman" w:cs="Times New Roman" w:eastAsiaTheme="minorEastAsia"/>
          <w:lang w:eastAsia="zh-CN"/>
        </w:rPr>
        <w:t xml:space="preserve"> second; FVC</w:t>
      </w:r>
      <w:r>
        <w:rPr>
          <w:rFonts w:hint="eastAsia" w:ascii="Times New Roman" w:hAnsi="Times New Roman" w:cs="Times New Roman"/>
          <w:lang w:val="en-US" w:eastAsia="zh-CN"/>
        </w:rPr>
        <w:t>,</w:t>
      </w:r>
      <w:r>
        <w:rPr>
          <w:rFonts w:hint="default" w:ascii="Times New Roman" w:hAnsi="Times New Roman" w:cs="Times New Roman" w:eastAsiaTheme="minorEastAsia"/>
          <w:lang w:eastAsia="zh-CN"/>
        </w:rPr>
        <w:t xml:space="preserve"> forced vital capacity; M/F</w:t>
      </w:r>
      <w:r>
        <w:rPr>
          <w:rFonts w:hint="eastAsia" w:ascii="Times New Roman" w:hAnsi="Times New Roman" w:cs="Times New Roman"/>
          <w:lang w:val="en-US" w:eastAsia="zh-CN"/>
        </w:rPr>
        <w:t>,</w:t>
      </w:r>
      <w:r>
        <w:rPr>
          <w:rFonts w:hint="default" w:ascii="Times New Roman" w:hAnsi="Times New Roman" w:cs="Times New Roman" w:eastAsiaTheme="minorEastAsia"/>
          <w:lang w:eastAsia="zh-CN"/>
        </w:rPr>
        <w:t xml:space="preserve"> male/female; %pred</w:t>
      </w:r>
      <w:r>
        <w:rPr>
          <w:rFonts w:hint="eastAsia" w:ascii="Times New Roman" w:hAnsi="Times New Roman" w:cs="Times New Roman"/>
          <w:lang w:val="en-US" w:eastAsia="zh-CN"/>
        </w:rPr>
        <w:t xml:space="preserve">, </w:t>
      </w:r>
      <w:r>
        <w:rPr>
          <w:rFonts w:hint="default" w:ascii="Times New Roman" w:hAnsi="Times New Roman" w:cs="Times New Roman" w:eastAsiaTheme="minorEastAsia"/>
          <w:lang w:eastAsia="zh-CN"/>
        </w:rPr>
        <w:t>%predicted</w:t>
      </w:r>
      <w:r>
        <w:rPr>
          <w:rFonts w:hint="eastAsia" w:ascii="Times New Roman" w:hAnsi="Times New Roman" w:cs="Times New Roman"/>
          <w:lang w:val="en-US" w:eastAsia="zh-CN"/>
        </w:rPr>
        <w:t>.</w:t>
      </w:r>
      <w:r>
        <w:rPr>
          <w:rFonts w:hint="default" w:ascii="Times New Roman" w:hAnsi="Times New Roman" w:cs="Times New Roman" w:eastAsiaTheme="minorEastAsia"/>
          <w:lang w:eastAsia="zh-C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>*</w:t>
      </w:r>
      <w:r>
        <w:rPr>
          <w:rFonts w:hint="default" w:ascii="Times New Roman" w:hAnsi="Times New Roman" w:cs="Times New Roman" w:eastAsiaTheme="minorEastAsia"/>
          <w:lang w:eastAsia="zh-CN"/>
        </w:rPr>
        <w:t xml:space="preserve">: </w:t>
      </w:r>
      <w:r>
        <w:rPr>
          <w:rFonts w:hint="default" w:ascii="Times New Roman" w:hAnsi="Times New Roman" w:cs="Times New Roman" w:eastAsiaTheme="minorEastAsia"/>
          <w:i/>
          <w:iCs/>
          <w:lang w:eastAsia="zh-CN"/>
        </w:rPr>
        <w:t>P</w:t>
      </w:r>
      <w:r>
        <w:rPr>
          <w:rFonts w:hint="default" w:ascii="Times New Roman" w:hAnsi="Times New Roman" w:cs="Times New Roman" w:eastAsiaTheme="minorEastAsia"/>
          <w:lang w:eastAsia="zh-CN"/>
        </w:rPr>
        <w:t xml:space="preserve"> &lt; 0</w:t>
      </w:r>
      <w:r>
        <w:rPr>
          <w:rFonts w:hint="eastAsia" w:ascii="Times New Roman" w:hAnsi="Times New Roman" w:cs="Times New Roman"/>
          <w:lang w:val="en-US" w:eastAsia="zh-CN"/>
        </w:rPr>
        <w:t>.</w:t>
      </w:r>
      <w:r>
        <w:rPr>
          <w:rFonts w:hint="default" w:ascii="Times New Roman" w:hAnsi="Times New Roman" w:cs="Times New Roman" w:eastAsiaTheme="minorEastAsia"/>
          <w:lang w:eastAsia="zh-CN"/>
        </w:rPr>
        <w:t>0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default" w:ascii="Times New Roman" w:hAnsi="Times New Roman" w:cs="Times New Roman" w:eastAsiaTheme="minorEastAsia"/>
          <w:lang w:eastAsia="zh-CN"/>
        </w:rPr>
        <w:t xml:space="preserve"> versus the Non-smoker group</w:t>
      </w:r>
      <w:r>
        <w:rPr>
          <w:rFonts w:hint="eastAsia" w:ascii="Times New Roman" w:hAnsi="Times New Roman" w:cs="Times New Roman"/>
          <w:lang w:val="en-US" w:eastAsia="zh-CN"/>
        </w:rPr>
        <w:t>; #</w:t>
      </w:r>
      <w:r>
        <w:rPr>
          <w:rFonts w:hint="default" w:ascii="Times New Roman" w:hAnsi="Times New Roman" w:cs="Times New Roman" w:eastAsiaTheme="minorEastAsia"/>
          <w:lang w:eastAsia="zh-CN"/>
        </w:rPr>
        <w:t xml:space="preserve">: </w:t>
      </w:r>
      <w:r>
        <w:rPr>
          <w:rFonts w:hint="default" w:ascii="Times New Roman" w:hAnsi="Times New Roman" w:cs="Times New Roman" w:eastAsiaTheme="minorEastAsia"/>
          <w:i/>
          <w:iCs/>
          <w:lang w:eastAsia="zh-CN"/>
        </w:rPr>
        <w:t>P</w:t>
      </w:r>
      <w:r>
        <w:rPr>
          <w:rFonts w:hint="default" w:ascii="Times New Roman" w:hAnsi="Times New Roman" w:cs="Times New Roman" w:eastAsiaTheme="minorEastAsia"/>
          <w:lang w:eastAsia="zh-CN"/>
        </w:rPr>
        <w:t xml:space="preserve"> &lt; 0</w:t>
      </w:r>
      <w:r>
        <w:rPr>
          <w:rFonts w:hint="eastAsia" w:ascii="Times New Roman" w:hAnsi="Times New Roman" w:cs="Times New Roman"/>
          <w:lang w:val="en-US" w:eastAsia="zh-CN"/>
        </w:rPr>
        <w:t>.</w:t>
      </w:r>
      <w:r>
        <w:rPr>
          <w:rFonts w:hint="default" w:ascii="Times New Roman" w:hAnsi="Times New Roman" w:cs="Times New Roman" w:eastAsiaTheme="minorEastAsia"/>
          <w:lang w:eastAsia="zh-CN"/>
        </w:rPr>
        <w:t>0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default" w:ascii="Times New Roman" w:hAnsi="Times New Roman" w:cs="Times New Roman" w:eastAsiaTheme="minorEastAsia"/>
          <w:lang w:eastAsia="zh-CN"/>
        </w:rPr>
        <w:t xml:space="preserve"> versus the </w:t>
      </w:r>
      <w:r>
        <w:rPr>
          <w:rFonts w:hint="eastAsia" w:ascii="Times New Roman" w:hAnsi="Times New Roman" w:cs="Times New Roman"/>
          <w:lang w:val="en-US" w:eastAsia="zh-CN"/>
        </w:rPr>
        <w:t>S</w:t>
      </w:r>
      <w:r>
        <w:rPr>
          <w:rFonts w:hint="default" w:ascii="Times New Roman" w:hAnsi="Times New Roman" w:cs="Times New Roman" w:eastAsiaTheme="minorEastAsia"/>
          <w:lang w:eastAsia="zh-CN"/>
        </w:rPr>
        <w:t>moker group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p w14:paraId="7F0BC911">
      <w:pPr>
        <w:rPr>
          <w:rFonts w:hint="eastAsia" w:eastAsiaTheme="minorEastAsia"/>
          <w:lang w:eastAsia="zh-CN"/>
        </w:rPr>
      </w:pPr>
    </w:p>
    <w:p w14:paraId="1E288BF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3813810"/>
            <wp:effectExtent l="0" t="0" r="11430" b="8890"/>
            <wp:docPr id="1" name="图片 1" descr="Figure-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-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81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8167D">
      <w:pPr>
        <w:spacing w:line="480" w:lineRule="auto"/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Figure S1 MTMR14 is down-regulated in BALF macrophages of COPD patients and CS-exposed mice.</w:t>
      </w:r>
    </w:p>
    <w:p w14:paraId="2ADD582B">
      <w:pPr>
        <w:numPr>
          <w:ilvl w:val="0"/>
          <w:numId w:val="0"/>
        </w:numPr>
        <w:spacing w:line="480" w:lineRule="auto"/>
        <w:rPr>
          <w:rFonts w:hint="default" w:ascii="Times New Roman" w:hAnsi="Times New Roman" w:cs="Times New Roman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A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Representative immunofluorescence of MTMR14 of BALF from non-smoker, smoker and COPD. Scale bar = 40 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μ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m, magnification = X400. </w:t>
      </w: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B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Representative immunofluorescence of Mtmr14 of BALF from air- or CS-exposed mice. Scale bar = 40 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μ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m, magnification = X400. COPD, Chronic Obstructive Pulmonary Disease; CS, cigarette smoke.</w:t>
      </w:r>
    </w:p>
    <w:p w14:paraId="2179F748">
      <w:pPr>
        <w:widowControl w:val="0"/>
        <w:numPr>
          <w:ilvl w:val="0"/>
          <w:numId w:val="0"/>
        </w:numPr>
        <w:spacing w:line="480" w:lineRule="auto"/>
        <w:jc w:val="both"/>
        <w:rPr>
          <w:rFonts w:hint="eastAsia" w:ascii="Times New Roman" w:hAnsi="Times New Roman" w:cs="Times New Roman"/>
          <w:sz w:val="22"/>
          <w:szCs w:val="22"/>
          <w:lang w:val="en-US" w:eastAsia="zh-CN"/>
        </w:rPr>
      </w:pPr>
    </w:p>
    <w:p w14:paraId="46A49A32">
      <w:pPr>
        <w:widowControl w:val="0"/>
        <w:numPr>
          <w:ilvl w:val="0"/>
          <w:numId w:val="0"/>
        </w:numPr>
        <w:spacing w:line="480" w:lineRule="auto"/>
        <w:jc w:val="both"/>
        <w:rPr>
          <w:rFonts w:hint="eastAsia" w:ascii="Times New Roman" w:hAnsi="Times New Roman" w:cs="Times New Roman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drawing>
          <wp:inline distT="0" distB="0" distL="114300" distR="114300">
            <wp:extent cx="5271135" cy="5247640"/>
            <wp:effectExtent l="0" t="0" r="12065" b="10160"/>
            <wp:docPr id="6" name="图片 6" descr="Figure-S2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ure-S2_画板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24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05341">
      <w:pPr>
        <w:widowControl w:val="0"/>
        <w:numPr>
          <w:ilvl w:val="0"/>
          <w:numId w:val="0"/>
        </w:numPr>
        <w:spacing w:line="480" w:lineRule="auto"/>
        <w:jc w:val="both"/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Figure S2 The verification of Mtmr14 knockout in transgenic mice.</w:t>
      </w:r>
    </w:p>
    <w:p w14:paraId="4B9D8FE1">
      <w:pPr>
        <w:widowControl w:val="0"/>
        <w:numPr>
          <w:ilvl w:val="0"/>
          <w:numId w:val="0"/>
        </w:numPr>
        <w:spacing w:line="480" w:lineRule="auto"/>
        <w:jc w:val="both"/>
        <w:rPr>
          <w:rFonts w:hint="default" w:ascii="Times New Roman" w:hAnsi="Times New Roman" w:cs="Times New Roman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A-B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Confirmation of Mtmr14-knockout mouse respectively in DNA level and mRNA level. Mice with Mtmr14-/- included No. 1, 4, 5, 8, and 9, while mice with Mtmr14+/- included No. 2, 3, 6, 7, 10, and 11. No. 13 was from WT, and No. 12 was water. The WT mice and Mtmr14-knockout mice were subjected to six-month exposure of cigarette smoke and grouped into Air+WT (n=6), CS+WT (n=6), Air+Mtmr14 KO (n=6) and CS+Mtmr14 KO (n=6). </w:t>
      </w: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C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Co-immunofluorescence of Mtmr14 and F4/80 in lung sections from mice. Scale bar = 40 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μ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m, magnification = X400. Data were expressed as mean 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±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SD. </w:t>
      </w:r>
      <w:r>
        <w:rPr>
          <w:rFonts w:hint="eastAsia" w:ascii="Times New Roman" w:hAnsi="Times New Roman" w:cs="Times New Roman"/>
          <w:i/>
          <w:iCs/>
          <w:sz w:val="22"/>
          <w:szCs w:val="22"/>
          <w:lang w:val="en-US" w:eastAsia="zh-CN"/>
        </w:rPr>
        <w:t>P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-values were calculated using one-way ANOVA followed by Newman-Keuls test or Student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’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s unpaired t-test. *</w:t>
      </w:r>
      <w:r>
        <w:rPr>
          <w:rFonts w:hint="eastAsia" w:ascii="Times New Roman" w:hAnsi="Times New Roman" w:cs="Times New Roman"/>
          <w:i/>
          <w:iCs/>
          <w:sz w:val="22"/>
          <w:szCs w:val="22"/>
          <w:lang w:val="en-US" w:eastAsia="zh-CN"/>
        </w:rPr>
        <w:t>P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&lt; 0.05, and ****</w:t>
      </w:r>
      <w:r>
        <w:rPr>
          <w:rFonts w:hint="eastAsia" w:ascii="Times New Roman" w:hAnsi="Times New Roman" w:cs="Times New Roman"/>
          <w:i/>
          <w:iCs/>
          <w:sz w:val="22"/>
          <w:szCs w:val="22"/>
          <w:lang w:val="en-US" w:eastAsia="zh-CN"/>
        </w:rPr>
        <w:t>P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&lt; 0.0001 represent significant differences. CS, cigarette smoke; KO, knockout; Mtmr14, myotubularin-related protein 14.</w:t>
      </w:r>
    </w:p>
    <w:p w14:paraId="0753A319">
      <w:pPr>
        <w:widowControl w:val="0"/>
        <w:numPr>
          <w:ilvl w:val="0"/>
          <w:numId w:val="0"/>
        </w:numPr>
        <w:spacing w:line="480" w:lineRule="auto"/>
        <w:jc w:val="both"/>
        <w:rPr>
          <w:rFonts w:hint="eastAsia" w:ascii="Times New Roman" w:hAnsi="Times New Roman" w:cs="Times New Roman"/>
          <w:sz w:val="22"/>
          <w:szCs w:val="22"/>
          <w:lang w:val="en-US" w:eastAsia="zh-CN"/>
        </w:rPr>
      </w:pPr>
    </w:p>
    <w:p w14:paraId="44528A17">
      <w:pPr>
        <w:widowControl w:val="0"/>
        <w:numPr>
          <w:ilvl w:val="0"/>
          <w:numId w:val="0"/>
        </w:numPr>
        <w:spacing w:line="480" w:lineRule="auto"/>
        <w:jc w:val="both"/>
        <w:rPr>
          <w:rFonts w:hint="eastAsia" w:ascii="Times New Roman" w:hAnsi="Times New Roman" w:cs="Times New Roman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drawing>
          <wp:inline distT="0" distB="0" distL="114300" distR="114300">
            <wp:extent cx="5272405" cy="4431030"/>
            <wp:effectExtent l="0" t="0" r="10795" b="1270"/>
            <wp:docPr id="3" name="图片 3" descr="Figure-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-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43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56637B">
      <w:pPr>
        <w:widowControl w:val="0"/>
        <w:numPr>
          <w:ilvl w:val="0"/>
          <w:numId w:val="0"/>
        </w:numPr>
        <w:spacing w:line="480" w:lineRule="auto"/>
        <w:jc w:val="both"/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Figure S3 The expression of MTMR14 is unchanged in alveolar epithelium of COPD patients and CSE-stimulated cells.</w:t>
      </w:r>
    </w:p>
    <w:p w14:paraId="710856BA">
      <w:pPr>
        <w:widowControl w:val="0"/>
        <w:numPr>
          <w:ilvl w:val="0"/>
          <w:numId w:val="0"/>
        </w:numPr>
        <w:spacing w:line="480" w:lineRule="auto"/>
        <w:jc w:val="both"/>
        <w:rPr>
          <w:rFonts w:hint="default" w:ascii="Times New Roman" w:hAnsi="Times New Roman" w:cs="Times New Roman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A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Representative immunofluorescence of MTMR14 in alveolar epithelium of lung tissues from patients. Scale bar = 40 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μ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m, magnification = X400</w:t>
      </w:r>
      <w:bookmarkStart w:id="0" w:name="_GoBack"/>
      <w:bookmarkEnd w:id="0"/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B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Western blot analysis of MTMR14 in A549 under different concentrations of CSE. </w:t>
      </w:r>
      <w:r>
        <w:rPr>
          <w:rFonts w:hint="eastAsia" w:ascii="Times New Roman" w:hAnsi="Times New Roman" w:cs="Times New Roman"/>
          <w:i/>
          <w:iCs/>
          <w:sz w:val="22"/>
          <w:szCs w:val="22"/>
          <w:lang w:val="en-US" w:eastAsia="zh-CN"/>
        </w:rPr>
        <w:t>P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-values were calculated using one-way ANOVA followed by Newman-Keuls test or Student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’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s unpaired t-test. ns, not significant. COPD, Chronic Obstructive Pulmonary Disease; CSE, cigarette smoke extract; MTMR14, myotubularin-related protein 14.</w:t>
      </w:r>
    </w:p>
    <w:p w14:paraId="06C9D9CE">
      <w:pPr>
        <w:widowControl w:val="0"/>
        <w:numPr>
          <w:ilvl w:val="0"/>
          <w:numId w:val="0"/>
        </w:numPr>
        <w:spacing w:line="480" w:lineRule="auto"/>
        <w:jc w:val="both"/>
        <w:rPr>
          <w:rFonts w:hint="eastAsia" w:ascii="Times New Roman" w:hAnsi="Times New Roman" w:cs="Times New Roman"/>
          <w:sz w:val="22"/>
          <w:szCs w:val="22"/>
          <w:lang w:val="en-US" w:eastAsia="zh-CN"/>
        </w:rPr>
      </w:pPr>
    </w:p>
    <w:p w14:paraId="7123D4AA">
      <w:pPr>
        <w:jc w:val="both"/>
        <w:rPr>
          <w:rFonts w:hint="default" w:ascii="Times New Roman" w:hAnsi="Times New Roman" w:cs="Times New Roman" w:eastAsiaTheme="minorEastAsia"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S2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Top 10 </w:t>
      </w:r>
      <w:r>
        <w:rPr>
          <w:rFonts w:hint="eastAsia" w:ascii="Times New Roman Regular" w:hAnsi="Times New Roman Regular" w:cs="Times New Roman Regular"/>
          <w:sz w:val="24"/>
          <w:szCs w:val="24"/>
        </w:rPr>
        <w:t>Results of IP-MS for MTMR14 in Lv-MTMR14 infected THP-1</w:t>
      </w:r>
    </w:p>
    <w:tbl>
      <w:tblPr>
        <w:tblStyle w:val="3"/>
        <w:tblW w:w="6237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2268"/>
        <w:gridCol w:w="1701"/>
      </w:tblGrid>
      <w:tr w14:paraId="2335F54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60793F8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Protein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2268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F475C43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Fold Change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5866C4C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Types</w:t>
            </w:r>
          </w:p>
        </w:tc>
      </w:tr>
      <w:tr w14:paraId="13BBE0A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 w14:paraId="42492D36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MTMR14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 w14:paraId="12CADFD4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2156.23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 w14:paraId="46838118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Bait</w:t>
            </w:r>
          </w:p>
        </w:tc>
      </w:tr>
      <w:tr w14:paraId="21E5723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1E51FF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CEP164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3B11CF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100.8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AD474E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Interactor</w:t>
            </w:r>
          </w:p>
        </w:tc>
      </w:tr>
      <w:tr w14:paraId="35D033D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6AF11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HLA-H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869673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85.07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37BDA3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Interactor</w:t>
            </w:r>
          </w:p>
        </w:tc>
      </w:tr>
      <w:tr w14:paraId="03AFA52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638B4F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DCTD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694D75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50.99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636F29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Interactor</w:t>
            </w:r>
          </w:p>
        </w:tc>
      </w:tr>
      <w:tr w14:paraId="72B7427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EC5A54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LMAN2L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06051D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22.1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D9BC3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Interactor</w:t>
            </w:r>
          </w:p>
        </w:tc>
      </w:tr>
      <w:tr w14:paraId="29F0FF2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A0CBB6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TRIM21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85A74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14.2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54FD23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Interactor</w:t>
            </w:r>
          </w:p>
        </w:tc>
      </w:tr>
      <w:tr w14:paraId="60CE0B3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A79EDF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VKORC1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44A1C1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13.5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F9F60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Interactor</w:t>
            </w:r>
          </w:p>
        </w:tc>
      </w:tr>
      <w:tr w14:paraId="35C1EB0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427B7A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PCBP2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5B02F2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13.54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8019C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Interactor</w:t>
            </w:r>
          </w:p>
        </w:tc>
      </w:tr>
      <w:tr w14:paraId="10C308B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338152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NPC2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60762C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12.89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59EF5A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Interactor</w:t>
            </w:r>
          </w:p>
        </w:tc>
      </w:tr>
      <w:tr w14:paraId="13ACBD5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A7A84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UQCRH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A62776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11.9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64481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Interactor</w:t>
            </w:r>
          </w:p>
        </w:tc>
      </w:tr>
      <w:tr w14:paraId="7107B4B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bottom"/>
          </w:tcPr>
          <w:p w14:paraId="21EC6DCE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JUP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bottom"/>
          </w:tcPr>
          <w:p w14:paraId="2CACAA16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11.3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bottom"/>
          </w:tcPr>
          <w:p w14:paraId="7694C058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Interactor</w:t>
            </w:r>
          </w:p>
        </w:tc>
      </w:tr>
    </w:tbl>
    <w:p w14:paraId="66CFCA02">
      <w:pPr>
        <w:widowControl w:val="0"/>
        <w:numPr>
          <w:ilvl w:val="0"/>
          <w:numId w:val="0"/>
        </w:numPr>
        <w:spacing w:line="480" w:lineRule="auto"/>
        <w:jc w:val="both"/>
        <w:rPr>
          <w:rFonts w:hint="eastAsia" w:ascii="Times New Roman" w:hAnsi="Times New Roman" w:cs="Times New Roman"/>
          <w:sz w:val="22"/>
          <w:szCs w:val="2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3F0E2F"/>
    <w:rsid w:val="008E4700"/>
    <w:rsid w:val="032F59B3"/>
    <w:rsid w:val="0C6B1F1B"/>
    <w:rsid w:val="1A3F0E2F"/>
    <w:rsid w:val="2D1260C7"/>
    <w:rsid w:val="2D1E7B7F"/>
    <w:rsid w:val="2FD6558F"/>
    <w:rsid w:val="35CD3B0F"/>
    <w:rsid w:val="380C6F7E"/>
    <w:rsid w:val="39725C4D"/>
    <w:rsid w:val="3C0D13BD"/>
    <w:rsid w:val="3DFF4DD3"/>
    <w:rsid w:val="426E79CE"/>
    <w:rsid w:val="451879E6"/>
    <w:rsid w:val="4A851D59"/>
    <w:rsid w:val="4D2025A6"/>
    <w:rsid w:val="508640C4"/>
    <w:rsid w:val="5361236A"/>
    <w:rsid w:val="5C8D52E0"/>
    <w:rsid w:val="5CA927D0"/>
    <w:rsid w:val="68D974DE"/>
    <w:rsid w:val="6F2F5DBB"/>
    <w:rsid w:val="6F5A087B"/>
    <w:rsid w:val="72DF3089"/>
    <w:rsid w:val="773C202B"/>
    <w:rsid w:val="7A3F4800"/>
    <w:rsid w:val="7E11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rPr>
      <w:rFonts w:ascii="Calibri" w:hAnsi="Calibri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452</Words>
  <Characters>2392</Characters>
  <Lines>0</Lines>
  <Paragraphs>0</Paragraphs>
  <TotalTime>2</TotalTime>
  <ScaleCrop>false</ScaleCrop>
  <LinksUpToDate>false</LinksUpToDate>
  <CharactersWithSpaces>2767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2024-12-30T10:24:00Z</dcterms:created>
  <dc:creator>Jiaheng</dc:creator>
  <cp:lastModifiedBy>Jiaheng</cp:lastModifiedBy>
  <dcterms:modified xsi:type="dcterms:W3CDTF">2025-05-22T11:33:57Z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58EEC64926F24A4D8571CE366594AC53_11</vt:lpwstr>
  </property>
  <property fmtid="{D5CDD505-2E9C-101B-9397-08002B2CF9AE}" pid="4" name="KSOTemplateDocerSaveRecord">
    <vt:lpwstr>eyJoZGlkIjoiYjg0NDQyOWU3ZjdkNzM1YTNlZDMyMzc2YmU1MjVlZmYiLCJ1c2VySWQiOiIyODU2NjcwMjIifQ==</vt:lpwstr>
  </property>
</Properties>
</file>