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8A139" w14:textId="77777777" w:rsidR="001E7434" w:rsidRPr="00D60F83" w:rsidRDefault="001E7434" w:rsidP="001E7434">
      <w:r w:rsidRPr="00893E66">
        <w:rPr>
          <w:rFonts w:cstheme="minorHAnsi"/>
          <w:b/>
          <w:bCs/>
          <w:sz w:val="32"/>
          <w:szCs w:val="32"/>
        </w:rPr>
        <w:t>Aging-Related Signature Stratifies LUAD Prognosis and Uncovers Senescence-Induced Chemoresistance via NF-κB/RELA Activation</w:t>
      </w:r>
    </w:p>
    <w:p w14:paraId="423DD748" w14:textId="77777777" w:rsidR="001E7434" w:rsidRDefault="001E7434" w:rsidP="001E7434">
      <w:pPr>
        <w:rPr>
          <w:b/>
          <w:bCs/>
        </w:rPr>
      </w:pPr>
    </w:p>
    <w:p w14:paraId="5978BB3F" w14:textId="77777777" w:rsidR="001E7434" w:rsidRDefault="001E7434" w:rsidP="001E7434">
      <w:r>
        <w:rPr>
          <w:rFonts w:cstheme="minorHAnsi"/>
          <w:b/>
          <w:bCs/>
          <w:color w:val="000000"/>
          <w:sz w:val="37"/>
          <w:szCs w:val="37"/>
          <w14:ligatures w14:val="standardContextual"/>
        </w:rPr>
        <w:t>Supplemental Figures</w:t>
      </w:r>
    </w:p>
    <w:p w14:paraId="59CDB1F1" w14:textId="3B5F4B74" w:rsidR="00512B53" w:rsidRDefault="00512B53">
      <w:pPr>
        <w:rPr>
          <w:rFonts w:ascii="Times New Roman" w:hAnsi="Times New Roman" w:cs="Times New Roman"/>
        </w:rPr>
      </w:pPr>
    </w:p>
    <w:p w14:paraId="43306223" w14:textId="5D361DF9" w:rsidR="00512B53" w:rsidRDefault="001E743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028D0F9" wp14:editId="51BF69DC">
            <wp:extent cx="5943600" cy="5888355"/>
            <wp:effectExtent l="0" t="0" r="0" b="4445"/>
            <wp:docPr id="2276464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46468" name="图片 2276464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1AEA9" w14:textId="347B0F33" w:rsidR="00512B53" w:rsidRDefault="0000000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sFigure</w:t>
      </w:r>
      <w:r w:rsidR="00F85047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1: Identification of aging-</w:t>
      </w:r>
      <w:r w:rsidR="004E1304">
        <w:rPr>
          <w:rFonts w:ascii="Times New Roman" w:hAnsi="Times New Roman" w:cs="Times New Roman"/>
          <w:b/>
          <w:bCs/>
        </w:rPr>
        <w:t xml:space="preserve">related </w:t>
      </w:r>
      <w:r>
        <w:rPr>
          <w:rFonts w:ascii="Times New Roman" w:hAnsi="Times New Roman" w:cs="Times New Roman"/>
          <w:b/>
          <w:bCs/>
        </w:rPr>
        <w:t>signature genes</w:t>
      </w:r>
      <w:r w:rsidR="004E1304">
        <w:rPr>
          <w:rFonts w:ascii="Times New Roman" w:hAnsi="Times New Roman" w:cs="Times New Roman"/>
          <w:b/>
          <w:bCs/>
        </w:rPr>
        <w:t>.</w:t>
      </w:r>
    </w:p>
    <w:p w14:paraId="370649FC" w14:textId="6B45AFE1" w:rsidR="00512B53" w:rsidRPr="0084373B" w:rsidRDefault="00000000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Upper: </w:t>
      </w:r>
      <w:r>
        <w:rPr>
          <w:rFonts w:ascii="Times New Roman" w:hAnsi="Times New Roman" w:cs="Times New Roman"/>
        </w:rPr>
        <w:t>Venn dia</w:t>
      </w:r>
      <w:r w:rsidRPr="0084373B">
        <w:rPr>
          <w:rFonts w:ascii="Times New Roman" w:hAnsi="Times New Roman" w:cs="Times New Roman"/>
        </w:rPr>
        <w:t>gram of 6523 differentially expressed genes (DEGs</w:t>
      </w:r>
      <w:r w:rsidR="001A17BD" w:rsidRPr="0084373B">
        <w:rPr>
          <w:rFonts w:ascii="Times New Roman" w:hAnsi="Times New Roman" w:cs="Times New Roman"/>
        </w:rPr>
        <w:t xml:space="preserve">; </w:t>
      </w:r>
      <w:r w:rsidR="007B6473" w:rsidRPr="0084373B">
        <w:rPr>
          <w:rFonts w:ascii="Times New Roman" w:hAnsi="Times New Roman" w:cs="Times New Roman"/>
        </w:rPr>
        <w:t>T</w:t>
      </w:r>
      <w:r w:rsidR="001A17BD" w:rsidRPr="0084373B">
        <w:rPr>
          <w:rFonts w:ascii="Times New Roman" w:hAnsi="Times New Roman" w:cs="Times New Roman"/>
        </w:rPr>
        <w:t xml:space="preserve">umor vs. </w:t>
      </w:r>
      <w:r w:rsidR="007B6473" w:rsidRPr="0084373B">
        <w:rPr>
          <w:rFonts w:ascii="Times New Roman" w:hAnsi="Times New Roman" w:cs="Times New Roman"/>
        </w:rPr>
        <w:t>N</w:t>
      </w:r>
      <w:r w:rsidR="001A17BD" w:rsidRPr="0084373B">
        <w:rPr>
          <w:rFonts w:ascii="Times New Roman" w:hAnsi="Times New Roman" w:cs="Times New Roman"/>
        </w:rPr>
        <w:t>ormal</w:t>
      </w:r>
      <w:r w:rsidRPr="0084373B">
        <w:rPr>
          <w:rFonts w:ascii="Times New Roman" w:hAnsi="Times New Roman" w:cs="Times New Roman"/>
        </w:rPr>
        <w:t xml:space="preserve">) and 500 aging-related genes (ARG), revealing 82 overlapping candidates. </w:t>
      </w:r>
      <w:r w:rsidRPr="0084373B">
        <w:rPr>
          <w:rFonts w:ascii="Times New Roman" w:hAnsi="Times New Roman" w:cs="Times New Roman"/>
          <w:i/>
          <w:iCs/>
        </w:rPr>
        <w:t>Lower:</w:t>
      </w:r>
      <w:r w:rsidR="001A17BD" w:rsidRPr="0084373B">
        <w:rPr>
          <w:rFonts w:ascii="Times New Roman" w:hAnsi="Times New Roman" w:cs="Times New Roman"/>
          <w:i/>
          <w:iCs/>
        </w:rPr>
        <w:t xml:space="preserve"> </w:t>
      </w:r>
      <w:r w:rsidRPr="0084373B">
        <w:rPr>
          <w:rFonts w:ascii="Times New Roman" w:hAnsi="Times New Roman" w:cs="Times New Roman"/>
        </w:rPr>
        <w:t xml:space="preserve">Venn diagram </w:t>
      </w:r>
      <w:r w:rsidRPr="0084373B">
        <w:rPr>
          <w:rFonts w:ascii="Times New Roman" w:hAnsi="Times New Roman" w:cs="Times New Roman"/>
        </w:rPr>
        <w:lastRenderedPageBreak/>
        <w:t>of 5538 prognostic genes (COX) and 500 prognostic genes (ARGs), revealing 132 overlapping candidates.</w:t>
      </w:r>
    </w:p>
    <w:p w14:paraId="0751120E" w14:textId="425CA1C0" w:rsidR="00512B53" w:rsidRPr="0084373B" w:rsidRDefault="00000000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4373B">
        <w:rPr>
          <w:rFonts w:ascii="Times New Roman" w:hAnsi="Times New Roman" w:cs="Times New Roman"/>
        </w:rPr>
        <w:t xml:space="preserve">KEGG enrichment analysis of </w:t>
      </w:r>
      <w:r w:rsidR="001A17BD" w:rsidRPr="0084373B">
        <w:rPr>
          <w:rFonts w:ascii="Times New Roman" w:hAnsi="Times New Roman" w:cs="Times New Roman"/>
        </w:rPr>
        <w:t xml:space="preserve">PPI-derived </w:t>
      </w:r>
      <w:r w:rsidRPr="0084373B">
        <w:rPr>
          <w:rFonts w:ascii="Times New Roman" w:hAnsi="Times New Roman" w:cs="Times New Roman"/>
        </w:rPr>
        <w:t>cluster 1 and 2 candidates obtained from protein–protein interaction network analysis.</w:t>
      </w:r>
    </w:p>
    <w:p w14:paraId="4C2E5DD4" w14:textId="5678065F" w:rsidR="00512B53" w:rsidRDefault="00000000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4373B">
        <w:rPr>
          <w:rFonts w:ascii="Times New Roman" w:hAnsi="Times New Roman" w:cs="Times New Roman"/>
        </w:rPr>
        <w:t>3 representative immunohistochemical staining of each group (Tumor</w:t>
      </w:r>
      <w:r w:rsidR="007B6473" w:rsidRPr="0084373B">
        <w:rPr>
          <w:rFonts w:ascii="Times New Roman" w:hAnsi="Times New Roman" w:cs="Times New Roman"/>
        </w:rPr>
        <w:t xml:space="preserve"> vs. Normal</w:t>
      </w:r>
      <w:r w:rsidRPr="0084373B">
        <w:rPr>
          <w:rFonts w:ascii="Times New Roman" w:hAnsi="Times New Roman" w:cs="Times New Roman"/>
        </w:rPr>
        <w:t>) for five signature proteins (H2AX, IGFBP1, TFAP2A, TNFRSF11A and TNFRSF</w:t>
      </w:r>
      <w:r>
        <w:rPr>
          <w:rFonts w:ascii="Times New Roman" w:hAnsi="Times New Roman" w:cs="Times New Roman"/>
        </w:rPr>
        <w:t xml:space="preserve">13C), as retrieved from the Human Protein Atlas. </w:t>
      </w:r>
    </w:p>
    <w:p w14:paraId="29D27771" w14:textId="47D558AD" w:rsidR="00512B53" w:rsidRDefault="001E74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EB7C428" wp14:editId="7E390812">
            <wp:extent cx="5715000" cy="7340600"/>
            <wp:effectExtent l="0" t="0" r="0" b="0"/>
            <wp:docPr id="1132488176" name="图片 2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488176" name="图片 2" descr="图示, 示意图&#10;&#10;AI 生成的内容可能不正确。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CF356" w14:textId="7002DC3C" w:rsidR="00512B53" w:rsidRDefault="0000000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sFigure</w:t>
      </w:r>
      <w:r w:rsidR="00F85047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2: </w:t>
      </w:r>
      <w:r w:rsidR="001E7434">
        <w:rPr>
          <w:rFonts w:ascii="Times New Roman" w:hAnsi="Times New Roman" w:cs="Times New Roman"/>
          <w:b/>
          <w:bCs/>
        </w:rPr>
        <w:t>V</w:t>
      </w:r>
      <w:r>
        <w:rPr>
          <w:rFonts w:ascii="Times New Roman" w:hAnsi="Times New Roman" w:cs="Times New Roman"/>
          <w:b/>
          <w:bCs/>
        </w:rPr>
        <w:t xml:space="preserve">alidation the </w:t>
      </w:r>
      <w:r w:rsidR="001E7434">
        <w:rPr>
          <w:rFonts w:ascii="Times New Roman" w:hAnsi="Times New Roman" w:cs="Times New Roman"/>
          <w:b/>
          <w:bCs/>
        </w:rPr>
        <w:t>aging-related</w:t>
      </w:r>
      <w:r>
        <w:rPr>
          <w:rFonts w:ascii="Times New Roman" w:hAnsi="Times New Roman" w:cs="Times New Roman"/>
          <w:b/>
          <w:bCs/>
        </w:rPr>
        <w:t xml:space="preserve"> signature model </w:t>
      </w:r>
      <w:r w:rsidR="001E7434">
        <w:rPr>
          <w:rFonts w:ascii="Times New Roman" w:hAnsi="Times New Roman" w:cs="Times New Roman"/>
          <w:b/>
          <w:bCs/>
        </w:rPr>
        <w:t>with</w:t>
      </w:r>
      <w:r>
        <w:rPr>
          <w:rFonts w:ascii="Times New Roman" w:hAnsi="Times New Roman" w:cs="Times New Roman"/>
          <w:b/>
          <w:bCs/>
        </w:rPr>
        <w:t xml:space="preserve"> GEO cohort. </w:t>
      </w:r>
    </w:p>
    <w:p w14:paraId="5F4FD014" w14:textId="693EAC9D" w:rsidR="00512B53" w:rsidRPr="0084373B" w:rsidRDefault="00000000">
      <w:pPr>
        <w:spacing w:line="480" w:lineRule="auto"/>
        <w:rPr>
          <w:rFonts w:ascii="Times New Roman" w:hAnsi="Times New Roman" w:cs="Times New Roman"/>
        </w:rPr>
      </w:pPr>
      <w:r w:rsidRPr="0084373B">
        <w:rPr>
          <w:rFonts w:ascii="Times New Roman" w:hAnsi="Times New Roman" w:cs="Times New Roman"/>
        </w:rPr>
        <w:t xml:space="preserve">(A) The box plots showing the 6 genes’ different expression levels between </w:t>
      </w:r>
      <w:r w:rsidR="00454DA8" w:rsidRPr="0084373B">
        <w:rPr>
          <w:rFonts w:ascii="Times New Roman" w:hAnsi="Times New Roman" w:cs="Times New Roman" w:hint="eastAsia"/>
        </w:rPr>
        <w:t>samples from alive (</w:t>
      </w:r>
      <w:r w:rsidR="001A17BD" w:rsidRPr="0084373B">
        <w:rPr>
          <w:rFonts w:ascii="Times New Roman" w:hAnsi="Times New Roman" w:cs="Times New Roman"/>
        </w:rPr>
        <w:t xml:space="preserve">n = </w:t>
      </w:r>
      <w:r w:rsidR="00454DA8" w:rsidRPr="0084373B">
        <w:rPr>
          <w:rFonts w:ascii="Times New Roman" w:hAnsi="Times New Roman" w:cs="Times New Roman" w:hint="eastAsia"/>
        </w:rPr>
        <w:t>182)</w:t>
      </w:r>
      <w:r w:rsidRPr="0084373B">
        <w:rPr>
          <w:rFonts w:ascii="Times New Roman" w:hAnsi="Times New Roman" w:cs="Times New Roman"/>
        </w:rPr>
        <w:t xml:space="preserve"> and </w:t>
      </w:r>
      <w:r w:rsidR="00454DA8" w:rsidRPr="0084373B">
        <w:rPr>
          <w:rFonts w:ascii="Times New Roman" w:hAnsi="Times New Roman" w:cs="Times New Roman" w:hint="eastAsia"/>
        </w:rPr>
        <w:t>dead (</w:t>
      </w:r>
      <w:r w:rsidR="001A17BD" w:rsidRPr="0084373B">
        <w:rPr>
          <w:rFonts w:ascii="Times New Roman" w:hAnsi="Times New Roman" w:cs="Times New Roman"/>
        </w:rPr>
        <w:t xml:space="preserve">n = </w:t>
      </w:r>
      <w:r w:rsidR="00454DA8" w:rsidRPr="0084373B">
        <w:rPr>
          <w:rFonts w:ascii="Times New Roman" w:hAnsi="Times New Roman" w:cs="Times New Roman" w:hint="eastAsia"/>
        </w:rPr>
        <w:t>33)</w:t>
      </w:r>
      <w:r w:rsidRPr="0084373B">
        <w:rPr>
          <w:rFonts w:ascii="Times New Roman" w:hAnsi="Times New Roman" w:cs="Times New Roman"/>
        </w:rPr>
        <w:t xml:space="preserve"> </w:t>
      </w:r>
      <w:r w:rsidR="00454DA8" w:rsidRPr="0084373B">
        <w:rPr>
          <w:rFonts w:ascii="Times New Roman" w:hAnsi="Times New Roman" w:cs="Times New Roman" w:hint="eastAsia"/>
        </w:rPr>
        <w:t>patients</w:t>
      </w:r>
      <w:r w:rsidRPr="0084373B">
        <w:rPr>
          <w:rFonts w:ascii="Times New Roman" w:hAnsi="Times New Roman" w:cs="Times New Roman"/>
        </w:rPr>
        <w:t xml:space="preserve">. </w:t>
      </w:r>
    </w:p>
    <w:p w14:paraId="13EE850E" w14:textId="3F357E7C" w:rsidR="00512B53" w:rsidRPr="0084373B" w:rsidRDefault="00000000">
      <w:pPr>
        <w:spacing w:line="480" w:lineRule="auto"/>
        <w:rPr>
          <w:rFonts w:ascii="Times New Roman" w:hAnsi="Times New Roman" w:cs="Times New Roman"/>
        </w:rPr>
      </w:pPr>
      <w:r w:rsidRPr="0084373B">
        <w:rPr>
          <w:rFonts w:ascii="Times New Roman" w:hAnsi="Times New Roman" w:cs="Times New Roman"/>
        </w:rPr>
        <w:lastRenderedPageBreak/>
        <w:t xml:space="preserve">(B) </w:t>
      </w:r>
      <w:r w:rsidR="001A17BD" w:rsidRPr="0084373B">
        <w:rPr>
          <w:rFonts w:ascii="Times New Roman" w:hAnsi="Times New Roman" w:cs="Times New Roman"/>
        </w:rPr>
        <w:t>Distribution of individual risk scores with the median indicated</w:t>
      </w:r>
      <w:r w:rsidRPr="0084373B">
        <w:rPr>
          <w:rFonts w:ascii="Times New Roman" w:hAnsi="Times New Roman" w:cs="Times New Roman"/>
        </w:rPr>
        <w:t xml:space="preserve">. </w:t>
      </w:r>
    </w:p>
    <w:p w14:paraId="46F86A37" w14:textId="44936E2C" w:rsidR="001A17BD" w:rsidRPr="0084373B" w:rsidRDefault="00000000">
      <w:pPr>
        <w:spacing w:line="480" w:lineRule="auto"/>
        <w:rPr>
          <w:rFonts w:ascii="Times New Roman" w:hAnsi="Times New Roman" w:cs="Times New Roman"/>
        </w:rPr>
      </w:pPr>
      <w:bookmarkStart w:id="0" w:name="OLE_LINK1"/>
      <w:bookmarkStart w:id="1" w:name="OLE_LINK2"/>
      <w:r w:rsidRPr="0084373B">
        <w:rPr>
          <w:rFonts w:ascii="Times New Roman" w:hAnsi="Times New Roman" w:cs="Times New Roman"/>
        </w:rPr>
        <w:t xml:space="preserve">(C) </w:t>
      </w:r>
      <w:r w:rsidR="001A17BD" w:rsidRPr="0084373B">
        <w:rPr>
          <w:rFonts w:ascii="Times New Roman" w:hAnsi="Times New Roman" w:cs="Times New Roman"/>
        </w:rPr>
        <w:t>Scatter plot shows t</w:t>
      </w:r>
      <w:r w:rsidRPr="0084373B">
        <w:rPr>
          <w:rFonts w:ascii="Times New Roman" w:hAnsi="Times New Roman" w:cs="Times New Roman"/>
        </w:rPr>
        <w:t xml:space="preserve">he distribution of patients with their </w:t>
      </w:r>
      <w:r w:rsidR="001A17BD" w:rsidRPr="0084373B">
        <w:rPr>
          <w:rFonts w:ascii="Times New Roman" w:hAnsi="Times New Roman" w:cs="Times New Roman"/>
        </w:rPr>
        <w:t>risk</w:t>
      </w:r>
      <w:r w:rsidRPr="0084373B">
        <w:rPr>
          <w:rFonts w:ascii="Times New Roman" w:hAnsi="Times New Roman" w:cs="Times New Roman"/>
        </w:rPr>
        <w:t xml:space="preserve"> scores and the color showing the survival status.</w:t>
      </w:r>
      <w:r w:rsidR="007B6473" w:rsidRPr="0084373B">
        <w:rPr>
          <w:rFonts w:ascii="Times New Roman" w:hAnsi="Times New Roman" w:cs="Times New Roman"/>
        </w:rPr>
        <w:t xml:space="preserve"> A vertical dashed line at the median separates the low-risk (left) and high-risk (right) groups. The proportions of alive vs. dead differ between groups (χ² test, </w:t>
      </w:r>
      <w:r w:rsidR="007B6473" w:rsidRPr="0084373B">
        <w:rPr>
          <w:rFonts w:ascii="Times New Roman" w:hAnsi="Times New Roman" w:cs="Times New Roman"/>
          <w:i/>
          <w:iCs/>
        </w:rPr>
        <w:t>p</w:t>
      </w:r>
      <w:r w:rsidR="007B6473" w:rsidRPr="0084373B">
        <w:rPr>
          <w:rFonts w:ascii="Times New Roman" w:hAnsi="Times New Roman" w:cs="Times New Roman"/>
        </w:rPr>
        <w:t xml:space="preserve"> = 0.0002).</w:t>
      </w:r>
    </w:p>
    <w:bookmarkEnd w:id="0"/>
    <w:bookmarkEnd w:id="1"/>
    <w:p w14:paraId="4073323E" w14:textId="30073321" w:rsidR="00512B53" w:rsidRPr="0084373B" w:rsidRDefault="00000000">
      <w:pPr>
        <w:spacing w:line="480" w:lineRule="auto"/>
        <w:rPr>
          <w:rFonts w:ascii="Times New Roman" w:hAnsi="Times New Roman" w:cs="Times New Roman"/>
        </w:rPr>
      </w:pPr>
      <w:r w:rsidRPr="0084373B">
        <w:rPr>
          <w:rFonts w:ascii="Times New Roman" w:hAnsi="Times New Roman" w:cs="Times New Roman"/>
        </w:rPr>
        <w:t>(D) Kaplan-Meier curves for patients in the high- and low-risk groups</w:t>
      </w:r>
      <w:r w:rsidR="001A17BD" w:rsidRPr="0084373B">
        <w:rPr>
          <w:rFonts w:ascii="Times New Roman" w:hAnsi="Times New Roman" w:cs="Times New Roman"/>
        </w:rPr>
        <w:t xml:space="preserve"> split by the median risk score</w:t>
      </w:r>
      <w:r w:rsidRPr="0084373B">
        <w:rPr>
          <w:rFonts w:ascii="Times New Roman" w:hAnsi="Times New Roman" w:cs="Times New Roman"/>
        </w:rPr>
        <w:t xml:space="preserve">. </w:t>
      </w:r>
    </w:p>
    <w:p w14:paraId="1E5B4B4B" w14:textId="7DB51499" w:rsidR="00512B53" w:rsidRPr="0084373B" w:rsidRDefault="00000000">
      <w:pPr>
        <w:spacing w:line="480" w:lineRule="auto"/>
        <w:rPr>
          <w:rFonts w:ascii="Times New Roman" w:hAnsi="Times New Roman" w:cs="Times New Roman"/>
        </w:rPr>
      </w:pPr>
      <w:r w:rsidRPr="0084373B">
        <w:rPr>
          <w:rFonts w:ascii="Times New Roman" w:hAnsi="Times New Roman" w:cs="Times New Roman"/>
        </w:rPr>
        <w:t xml:space="preserve">(E) Time-dependent ROC curves for </w:t>
      </w:r>
      <w:r w:rsidR="001A17BD" w:rsidRPr="0084373B">
        <w:rPr>
          <w:rFonts w:ascii="Times New Roman" w:hAnsi="Times New Roman" w:cs="Times New Roman"/>
        </w:rPr>
        <w:t>1-, 3- and 5- year overall survival in the GEO cohort</w:t>
      </w:r>
      <w:r w:rsidRPr="0084373B">
        <w:rPr>
          <w:rFonts w:ascii="Times New Roman" w:hAnsi="Times New Roman" w:cs="Times New Roman"/>
        </w:rPr>
        <w:t xml:space="preserve">. </w:t>
      </w:r>
    </w:p>
    <w:p w14:paraId="2F643CC3" w14:textId="1D2709F1" w:rsidR="00512B53" w:rsidRDefault="00000000">
      <w:pPr>
        <w:spacing w:line="480" w:lineRule="auto"/>
        <w:rPr>
          <w:rFonts w:ascii="Times New Roman" w:hAnsi="Times New Roman" w:cs="Times New Roman"/>
        </w:rPr>
      </w:pPr>
      <w:r w:rsidRPr="0084373B">
        <w:rPr>
          <w:rFonts w:ascii="Times New Roman" w:hAnsi="Times New Roman" w:cs="Times New Roman"/>
        </w:rPr>
        <w:t xml:space="preserve">(F) Box plots showing expression of RELA and RFXAP and LDB1 in high and low </w:t>
      </w:r>
      <w:r w:rsidR="00CA710A" w:rsidRPr="0084373B">
        <w:rPr>
          <w:rFonts w:ascii="Times New Roman" w:hAnsi="Times New Roman" w:cs="Times New Roman"/>
        </w:rPr>
        <w:t>risk</w:t>
      </w:r>
      <w:r w:rsidRPr="0084373B">
        <w:rPr>
          <w:rFonts w:ascii="Times New Roman" w:hAnsi="Times New Roman" w:cs="Times New Roman"/>
        </w:rPr>
        <w:t xml:space="preserve"> gr</w:t>
      </w:r>
      <w:r>
        <w:rPr>
          <w:rFonts w:ascii="Times New Roman" w:hAnsi="Times New Roman" w:cs="Times New Roman"/>
        </w:rPr>
        <w:t>oup</w:t>
      </w:r>
      <w:r w:rsidR="00CA710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</w:t>
      </w:r>
    </w:p>
    <w:p w14:paraId="337BC761" w14:textId="77777777" w:rsidR="00512B53" w:rsidRDefault="00512B53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E9C931B" w14:textId="77777777" w:rsidR="00512B53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7C4357F" w14:textId="77777777" w:rsidR="00512B53" w:rsidRDefault="00512B53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D4515F0" w14:textId="1897FAFB" w:rsidR="00512B53" w:rsidRDefault="001E743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98439E4" wp14:editId="7548A042">
            <wp:extent cx="5511800" cy="5715000"/>
            <wp:effectExtent l="0" t="0" r="0" b="0"/>
            <wp:docPr id="599600409" name="图片 3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00409" name="图片 3" descr="图表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778FE" w14:textId="38C7D94A" w:rsidR="00512B53" w:rsidRDefault="0000000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sFigure</w:t>
      </w:r>
      <w:r w:rsidR="00F85047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3: Quantitative analysis of Figure 6D co-localization situation and Chip-seq analysis for the downstream targets of RELA.</w:t>
      </w:r>
    </w:p>
    <w:p w14:paraId="12999C31" w14:textId="1559F3C4" w:rsidR="00512B53" w:rsidRDefault="00000000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Sector graph </w:t>
      </w:r>
      <w:r>
        <w:rPr>
          <w:rFonts w:ascii="Times New Roman" w:eastAsia="Times New Roman" w:hAnsi="Times New Roman" w:cs="Times New Roman"/>
          <w:color w:val="222222"/>
          <w:spacing w:val="2"/>
        </w:rPr>
        <w:t>quantif</w:t>
      </w:r>
      <w:r w:rsidR="00CA710A">
        <w:rPr>
          <w:rFonts w:ascii="Times New Roman" w:eastAsia="Times New Roman" w:hAnsi="Times New Roman" w:cs="Times New Roman"/>
          <w:color w:val="222222"/>
          <w:spacing w:val="2"/>
        </w:rPr>
        <w:t>y</w:t>
      </w:r>
      <w:r>
        <w:rPr>
          <w:rFonts w:ascii="Times New Roman" w:eastAsia="Times New Roman" w:hAnsi="Times New Roman" w:cs="Times New Roman"/>
          <w:color w:val="222222"/>
          <w:spacing w:val="2"/>
        </w:rPr>
        <w:t>i</w:t>
      </w:r>
      <w:r w:rsidR="00916708">
        <w:rPr>
          <w:rFonts w:ascii="Times New Roman" w:eastAsia="Times New Roman" w:hAnsi="Times New Roman" w:cs="Times New Roman" w:hint="eastAsia"/>
          <w:color w:val="222222"/>
          <w:spacing w:val="2"/>
        </w:rPr>
        <w:t>ng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overlap between senescent cells and those with NF-κB pathway activation</w:t>
      </w:r>
      <w:r w:rsidR="00CA710A"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 w:rsidR="00CA710A" w:rsidRPr="00CA710A">
        <w:rPr>
          <w:rFonts w:ascii="Times New Roman" w:eastAsia="Times New Roman" w:hAnsi="Times New Roman" w:cs="Times New Roman"/>
          <w:color w:val="222222"/>
          <w:spacing w:val="2"/>
        </w:rPr>
        <w:t>as defined by gene-set activity scores</w:t>
      </w:r>
      <w:r>
        <w:rPr>
          <w:rFonts w:ascii="Times New Roman" w:eastAsia="Times New Roman" w:hAnsi="Times New Roman" w:cs="Times New Roman"/>
          <w:color w:val="222222"/>
          <w:spacing w:val="2"/>
        </w:rPr>
        <w:t>.</w:t>
      </w:r>
    </w:p>
    <w:p w14:paraId="2A09B747" w14:textId="5A48C92A" w:rsidR="00512B53" w:rsidRPr="00C75B6C" w:rsidRDefault="00000000" w:rsidP="00C75B6C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222222"/>
          <w:spacing w:val="2"/>
        </w:rPr>
        <w:t>H</w:t>
      </w:r>
      <w:r w:rsidR="004E1304">
        <w:rPr>
          <w:rFonts w:ascii="Times New Roman" w:eastAsia="Times New Roman" w:hAnsi="Times New Roman" w:cs="Times New Roman"/>
          <w:color w:val="222222"/>
          <w:spacing w:val="2"/>
        </w:rPr>
        <w:t>ea</w:t>
      </w:r>
      <w:r>
        <w:rPr>
          <w:rFonts w:ascii="Times New Roman" w:eastAsia="Times New Roman" w:hAnsi="Times New Roman" w:cs="Times New Roman"/>
          <w:color w:val="222222"/>
          <w:spacing w:val="2"/>
        </w:rPr>
        <w:t>tmap</w:t>
      </w:r>
      <w:r w:rsidR="004E1304">
        <w:rPr>
          <w:rFonts w:ascii="Times New Roman" w:eastAsia="Times New Roman" w:hAnsi="Times New Roman" w:cs="Times New Roman"/>
          <w:color w:val="222222"/>
          <w:spacing w:val="2"/>
        </w:rPr>
        <w:t xml:space="preserve"> and metagene plots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show</w:t>
      </w:r>
      <w:r w:rsidR="00916708">
        <w:rPr>
          <w:rFonts w:ascii="Times New Roman" w:eastAsia="Times New Roman" w:hAnsi="Times New Roman" w:cs="Times New Roman" w:hint="eastAsia"/>
          <w:color w:val="222222"/>
          <w:spacing w:val="2"/>
        </w:rPr>
        <w:t>ing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 w:rsidR="00CA710A" w:rsidRPr="00CA710A">
        <w:rPr>
          <w:rFonts w:ascii="Times New Roman" w:eastAsia="Times New Roman" w:hAnsi="Times New Roman" w:cs="Times New Roman"/>
          <w:color w:val="222222"/>
          <w:spacing w:val="2"/>
        </w:rPr>
        <w:t xml:space="preserve">RELA ChIP–seq signal </w:t>
      </w:r>
      <w:r w:rsidRPr="00CA710A">
        <w:rPr>
          <w:rFonts w:ascii="Times New Roman" w:eastAsia="Times New Roman" w:hAnsi="Times New Roman" w:cs="Times New Roman"/>
          <w:color w:val="222222"/>
          <w:spacing w:val="2"/>
        </w:rPr>
        <w:t xml:space="preserve">enrichment </w:t>
      </w:r>
      <w:r w:rsidR="00CA710A">
        <w:rPr>
          <w:rFonts w:ascii="Times New Roman" w:eastAsia="Times New Roman" w:hAnsi="Times New Roman" w:cs="Times New Roman"/>
          <w:color w:val="222222"/>
          <w:spacing w:val="2"/>
        </w:rPr>
        <w:t>around gene promoter region. S</w:t>
      </w:r>
      <w:r w:rsidR="00CA710A" w:rsidRPr="00CA710A">
        <w:rPr>
          <w:rFonts w:ascii="Times New Roman" w:eastAsia="Times New Roman" w:hAnsi="Times New Roman" w:cs="Times New Roman"/>
          <w:color w:val="222222"/>
          <w:spacing w:val="2"/>
        </w:rPr>
        <w:t>ignal was normalized and aggregated across peaks</w:t>
      </w:r>
      <w:r w:rsidR="00C75B6C">
        <w:rPr>
          <w:rFonts w:ascii="Times New Roman" w:eastAsia="Times New Roman" w:hAnsi="Times New Roman" w:cs="Times New Roman"/>
          <w:color w:val="222222"/>
          <w:spacing w:val="2"/>
        </w:rPr>
        <w:t>.</w:t>
      </w:r>
    </w:p>
    <w:p w14:paraId="51C8F077" w14:textId="0DD2C859" w:rsidR="00512B53" w:rsidRDefault="00C75B6C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C75B6C">
        <w:rPr>
          <w:rFonts w:ascii="Times New Roman" w:hAnsi="Times New Roman" w:cs="Times New Roman"/>
        </w:rPr>
        <w:lastRenderedPageBreak/>
        <w:t>Genome browser</w:t>
      </w:r>
      <w:r>
        <w:rPr>
          <w:rFonts w:ascii="Times New Roman" w:hAnsi="Times New Roman" w:cs="Times New Roman"/>
        </w:rPr>
        <w:t xml:space="preserve"> s</w:t>
      </w:r>
      <w:r w:rsidR="004E1304">
        <w:rPr>
          <w:rFonts w:ascii="Times New Roman" w:hAnsi="Times New Roman" w:cs="Times New Roman"/>
        </w:rPr>
        <w:t>napshots of RELA</w:t>
      </w:r>
      <w:r>
        <w:rPr>
          <w:rFonts w:ascii="Times New Roman" w:hAnsi="Times New Roman" w:cs="Times New Roman"/>
        </w:rPr>
        <w:t xml:space="preserve"> </w:t>
      </w:r>
      <w:r w:rsidR="004E1304">
        <w:rPr>
          <w:rFonts w:ascii="Times New Roman" w:hAnsi="Times New Roman" w:cs="Times New Roman"/>
        </w:rPr>
        <w:t xml:space="preserve">ChIP-seq signal </w:t>
      </w:r>
      <w:r>
        <w:rPr>
          <w:rFonts w:ascii="Times New Roman" w:hAnsi="Times New Roman" w:cs="Times New Roman"/>
        </w:rPr>
        <w:t>at the</w:t>
      </w:r>
      <w:r w:rsidR="004E1304">
        <w:rPr>
          <w:rFonts w:ascii="Times New Roman" w:hAnsi="Times New Roman" w:cs="Times New Roman"/>
        </w:rPr>
        <w:t xml:space="preserve"> BIRC3 and BBC3 transcription </w:t>
      </w:r>
      <w:r>
        <w:rPr>
          <w:rFonts w:ascii="Times New Roman" w:hAnsi="Times New Roman" w:cs="Times New Roman"/>
        </w:rPr>
        <w:t>loci</w:t>
      </w:r>
      <w:r w:rsidR="004E1304">
        <w:rPr>
          <w:rFonts w:ascii="Times New Roman" w:hAnsi="Times New Roman" w:cs="Times New Roman"/>
        </w:rPr>
        <w:t>.</w:t>
      </w:r>
    </w:p>
    <w:p w14:paraId="231247FD" w14:textId="1471DFB4" w:rsidR="00512B53" w:rsidRDefault="00512B53">
      <w:pPr>
        <w:rPr>
          <w:rFonts w:ascii="Times New Roman" w:hAnsi="Times New Roman" w:cs="Times New Roman"/>
        </w:rPr>
      </w:pPr>
    </w:p>
    <w:p w14:paraId="0F6080AA" w14:textId="63B3D476" w:rsidR="00512B53" w:rsidRDefault="001E743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9270314" wp14:editId="06EC6220">
            <wp:extent cx="5943600" cy="3435350"/>
            <wp:effectExtent l="0" t="0" r="0" b="6350"/>
            <wp:docPr id="1433079184" name="图片 5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079184" name="图片 5" descr="图形用户界面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4C5BD" w14:textId="50E4BD8E" w:rsidR="00512B53" w:rsidRDefault="0000000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sFigure</w:t>
      </w:r>
      <w:r w:rsidR="00F85047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4: LASSO regression of 37 candidates and predictive performance comparison with Cox regression.</w:t>
      </w:r>
    </w:p>
    <w:p w14:paraId="77929E2D" w14:textId="54776166" w:rsidR="00512B53" w:rsidRDefault="00000000">
      <w:pPr>
        <w:spacing w:line="48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(A) LASSO coefficient plot </w:t>
      </w:r>
      <w:r w:rsidR="00916708">
        <w:rPr>
          <w:rFonts w:ascii="Times New Roman" w:hAnsi="Times New Roman" w:cs="Times New Roman"/>
        </w:rPr>
        <w:t>showing</w:t>
      </w:r>
      <w:r>
        <w:rPr>
          <w:rFonts w:ascii="Times New Roman" w:hAnsi="Times New Roman" w:cs="Times New Roman"/>
        </w:rPr>
        <w:t xml:space="preserve"> 37 genes regression coefficients variation curve.</w:t>
      </w:r>
    </w:p>
    <w:p w14:paraId="4ECB1F3B" w14:textId="2A719BF5" w:rsidR="00512B53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LASSO partial likelihood deviance plot </w:t>
      </w:r>
      <w:r w:rsidR="00916708">
        <w:rPr>
          <w:rFonts w:ascii="Times New Roman" w:hAnsi="Times New Roman" w:cs="Times New Roman"/>
        </w:rPr>
        <w:t>showing</w:t>
      </w:r>
      <w:r>
        <w:rPr>
          <w:rFonts w:ascii="Times New Roman" w:hAnsi="Times New Roman" w:cs="Times New Roman"/>
        </w:rPr>
        <w:t xml:space="preserve"> that change in mean squared error</w:t>
      </w:r>
      <w:r w:rsidR="00BB69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(MSE) with respect to Log(λ), and we chose the value of λ when the MSE was minimum.</w:t>
      </w:r>
    </w:p>
    <w:p w14:paraId="6179F013" w14:textId="2103C8E7" w:rsidR="00512B53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 Forest plot show</w:t>
      </w:r>
      <w:r w:rsidR="00916708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β coefficients, hazard ratios (HR) with 95% confidence intervals, and P values. IGFBP1, CCL20, TFAP2A and TNFRSF11A are associated with increased risk (HR &gt; 1, red), while TNFRSF13C is protective (HR &lt; 1, blue).</w:t>
      </w:r>
    </w:p>
    <w:p w14:paraId="1DFBFA59" w14:textId="5F314D44" w:rsidR="00512B53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 Bar plot show</w:t>
      </w:r>
      <w:r w:rsidR="00916708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the consistency of risk classification on 489 cases using LASSO and Cox regression.</w:t>
      </w:r>
    </w:p>
    <w:p w14:paraId="66BFDBF5" w14:textId="12A75788" w:rsidR="00512B53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(E) </w:t>
      </w:r>
      <w:r w:rsidR="000229BC" w:rsidRPr="000229BC">
        <w:rPr>
          <w:rFonts w:ascii="Times New Roman" w:hAnsi="Times New Roman" w:cs="Times New Roman"/>
        </w:rPr>
        <w:t>Time-dependent ROC curves demonstrating the prognostic performance of the LASSO signature at 1, 3, and 5 years.</w:t>
      </w:r>
    </w:p>
    <w:sectPr w:rsidR="00512B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D89B8"/>
    <w:multiLevelType w:val="singleLevel"/>
    <w:tmpl w:val="47DD89B8"/>
    <w:lvl w:ilvl="0">
      <w:start w:val="1"/>
      <w:numFmt w:val="upperLetter"/>
      <w:suff w:val="space"/>
      <w:lvlText w:val="(%1)"/>
      <w:lvlJc w:val="left"/>
    </w:lvl>
  </w:abstractNum>
  <w:abstractNum w:abstractNumId="1" w15:restartNumberingAfterBreak="0">
    <w:nsid w:val="55652574"/>
    <w:multiLevelType w:val="singleLevel"/>
    <w:tmpl w:val="55652574"/>
    <w:lvl w:ilvl="0">
      <w:start w:val="1"/>
      <w:numFmt w:val="upperLetter"/>
      <w:suff w:val="space"/>
      <w:lvlText w:val="(%1)"/>
      <w:lvlJc w:val="left"/>
    </w:lvl>
  </w:abstractNum>
  <w:num w:numId="1" w16cid:durableId="190385093">
    <w:abstractNumId w:val="1"/>
  </w:num>
  <w:num w:numId="2" w16cid:durableId="201511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oNotDisplayPageBoundaries/>
  <w:bordersDoNotSurroundHeader/>
  <w:bordersDoNotSurroundFooter/>
  <w:proofState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D1"/>
    <w:rsid w:val="000229BC"/>
    <w:rsid w:val="00176BEE"/>
    <w:rsid w:val="001A17BD"/>
    <w:rsid w:val="001E7434"/>
    <w:rsid w:val="00347BD1"/>
    <w:rsid w:val="00454DA8"/>
    <w:rsid w:val="004E1304"/>
    <w:rsid w:val="004E5C5A"/>
    <w:rsid w:val="00512B53"/>
    <w:rsid w:val="005A313D"/>
    <w:rsid w:val="007B6473"/>
    <w:rsid w:val="0084373B"/>
    <w:rsid w:val="00850D11"/>
    <w:rsid w:val="00916708"/>
    <w:rsid w:val="00A83D8D"/>
    <w:rsid w:val="00BB69A5"/>
    <w:rsid w:val="00C75B6C"/>
    <w:rsid w:val="00CA710A"/>
    <w:rsid w:val="00D60F83"/>
    <w:rsid w:val="00D713EC"/>
    <w:rsid w:val="00E35B6B"/>
    <w:rsid w:val="00F85047"/>
    <w:rsid w:val="00FE5C5A"/>
    <w:rsid w:val="08C56328"/>
    <w:rsid w:val="1448037D"/>
    <w:rsid w:val="1B87282B"/>
    <w:rsid w:val="1F332879"/>
    <w:rsid w:val="20B816B5"/>
    <w:rsid w:val="2E6657BC"/>
    <w:rsid w:val="2EA2760D"/>
    <w:rsid w:val="33276094"/>
    <w:rsid w:val="41D67B20"/>
    <w:rsid w:val="45DF038C"/>
    <w:rsid w:val="4BCC7CA0"/>
    <w:rsid w:val="4DE5642A"/>
    <w:rsid w:val="5436085F"/>
    <w:rsid w:val="56864267"/>
    <w:rsid w:val="684B364A"/>
    <w:rsid w:val="78CD54E5"/>
    <w:rsid w:val="7C04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7227FB"/>
  <w15:docId w15:val="{CD25B885-866A-E049-9D21-AC97B7D4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</w:style>
  <w:style w:type="character" w:styleId="a4">
    <w:name w:val="Strong"/>
    <w:basedOn w:val="a0"/>
    <w:uiPriority w:val="22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 越</dc:creator>
  <cp:lastModifiedBy>Dong Yue</cp:lastModifiedBy>
  <cp:revision>15</cp:revision>
  <dcterms:created xsi:type="dcterms:W3CDTF">2022-06-03T09:51:00Z</dcterms:created>
  <dcterms:modified xsi:type="dcterms:W3CDTF">2025-08-16T18:01:00Z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eyJoZGlkIjoiYTU3MjAzOGI1ZWM1NjI3YTE0MjIzZDIwNTMwM2NhZjEiLCJ1c2VySWQiOiIzNjM1Nzg3NTUifQ==</vt:lpwstr>
  </property>
  <property fmtid="{D5CDD505-2E9C-101B-9397-08002B2CF9AE}" pid="3" name="KSOProductBuildVer">
    <vt:lpwstr>2052-12.1.0.21541</vt:lpwstr>
  </property>
  <property fmtid="{D5CDD505-2E9C-101B-9397-08002B2CF9AE}" pid="4" name="ICV">
    <vt:lpwstr>4BE9A6F8A2694D939B2C65CA6774F3F7_12</vt:lpwstr>
  </property>
</Properties>
</file>