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B4D42" w14:textId="29821EA9" w:rsidR="00156FBA" w:rsidRPr="00DA341F" w:rsidRDefault="00A82A54" w:rsidP="00156FBA">
      <w:pPr>
        <w:rPr>
          <w:rFonts w:ascii="Verdana" w:hAnsi="Verdana"/>
          <w:b/>
          <w:sz w:val="24"/>
        </w:rPr>
      </w:pPr>
      <w:r>
        <w:rPr>
          <w:rFonts w:ascii="Verdana" w:hAnsi="Verdana"/>
          <w:b/>
          <w:sz w:val="24"/>
        </w:rPr>
        <w:t>Supplement to “</w:t>
      </w:r>
      <w:r w:rsidR="00B9521C" w:rsidRPr="00DA341F">
        <w:rPr>
          <w:rFonts w:ascii="Verdana" w:hAnsi="Verdana"/>
          <w:b/>
          <w:sz w:val="24"/>
        </w:rPr>
        <w:t>C</w:t>
      </w:r>
      <w:r w:rsidR="00133696" w:rsidRPr="00DA341F">
        <w:rPr>
          <w:rFonts w:ascii="Verdana" w:hAnsi="Verdana"/>
          <w:b/>
          <w:sz w:val="24"/>
        </w:rPr>
        <w:t xml:space="preserve">ancer risk </w:t>
      </w:r>
      <w:r w:rsidR="00B9521C" w:rsidRPr="00DA341F">
        <w:rPr>
          <w:rFonts w:ascii="Verdana" w:hAnsi="Verdana"/>
          <w:b/>
          <w:sz w:val="24"/>
        </w:rPr>
        <w:t xml:space="preserve">in </w:t>
      </w:r>
      <w:r w:rsidR="00156FBA" w:rsidRPr="00DA341F">
        <w:rPr>
          <w:rFonts w:ascii="Verdana" w:hAnsi="Verdana"/>
          <w:b/>
          <w:sz w:val="24"/>
        </w:rPr>
        <w:t>patients with pulmonary fibrosis and a rare telomere related gene variant</w:t>
      </w:r>
      <w:r>
        <w:rPr>
          <w:rFonts w:ascii="Verdana" w:hAnsi="Verdana"/>
          <w:b/>
          <w:sz w:val="24"/>
        </w:rPr>
        <w:t>”</w:t>
      </w:r>
    </w:p>
    <w:p w14:paraId="092FB6F8" w14:textId="1D0E0F3E" w:rsidR="00156FBA" w:rsidRPr="00DA341F" w:rsidRDefault="00DA341F" w:rsidP="00156FBA">
      <w:pPr>
        <w:rPr>
          <w:rFonts w:ascii="Verdana" w:hAnsi="Verdana"/>
          <w:sz w:val="20"/>
          <w:szCs w:val="20"/>
          <w:lang w:val="nl-NL"/>
        </w:rPr>
      </w:pPr>
      <w:r w:rsidRPr="00444383">
        <w:rPr>
          <w:rFonts w:ascii="Verdana" w:hAnsi="Verdana"/>
          <w:sz w:val="20"/>
          <w:szCs w:val="20"/>
          <w:lang w:val="nl-NL"/>
        </w:rPr>
        <w:t>Joanne J. van der Vis</w:t>
      </w:r>
      <w:r w:rsidRPr="00444383">
        <w:rPr>
          <w:rFonts w:ascii="Verdana" w:hAnsi="Verdana"/>
          <w:sz w:val="20"/>
          <w:szCs w:val="20"/>
          <w:vertAlign w:val="superscript"/>
          <w:lang w:val="nl-NL"/>
        </w:rPr>
        <w:t>1,2*</w:t>
      </w:r>
      <w:r w:rsidR="00156FBA" w:rsidRPr="00DA341F">
        <w:rPr>
          <w:rFonts w:ascii="Verdana" w:hAnsi="Verdana"/>
          <w:sz w:val="20"/>
          <w:szCs w:val="20"/>
          <w:lang w:val="nl-NL"/>
        </w:rPr>
        <w:t xml:space="preserve">, Martijn T. K. Maus, Charlotte I. de Bie, Jasper J. van der </w:t>
      </w:r>
      <w:proofErr w:type="spellStart"/>
      <w:r w:rsidR="00156FBA" w:rsidRPr="00DA341F">
        <w:rPr>
          <w:rFonts w:ascii="Verdana" w:hAnsi="Verdana"/>
          <w:sz w:val="20"/>
          <w:szCs w:val="20"/>
          <w:lang w:val="nl-NL"/>
        </w:rPr>
        <w:t>Smagt</w:t>
      </w:r>
      <w:proofErr w:type="spellEnd"/>
      <w:r w:rsidR="00156FBA" w:rsidRPr="00DA341F">
        <w:rPr>
          <w:rFonts w:ascii="Verdana" w:hAnsi="Verdana"/>
          <w:sz w:val="20"/>
          <w:szCs w:val="20"/>
          <w:lang w:val="nl-NL"/>
        </w:rPr>
        <w:t xml:space="preserve">, Laura G. M. </w:t>
      </w:r>
      <w:proofErr w:type="spellStart"/>
      <w:r w:rsidR="00156FBA" w:rsidRPr="00DA341F">
        <w:rPr>
          <w:rFonts w:ascii="Verdana" w:hAnsi="Verdana"/>
          <w:sz w:val="20"/>
          <w:szCs w:val="20"/>
          <w:lang w:val="nl-NL"/>
        </w:rPr>
        <w:t>Daenen</w:t>
      </w:r>
      <w:proofErr w:type="spellEnd"/>
      <w:r w:rsidR="00156FBA" w:rsidRPr="00DA341F">
        <w:rPr>
          <w:rFonts w:ascii="Verdana" w:hAnsi="Verdana"/>
          <w:sz w:val="20"/>
          <w:szCs w:val="20"/>
          <w:lang w:val="nl-NL"/>
        </w:rPr>
        <w:t>, Matthijs</w:t>
      </w:r>
      <w:r w:rsidR="00333A30" w:rsidRPr="00DA341F">
        <w:rPr>
          <w:rFonts w:ascii="Verdana" w:hAnsi="Verdana"/>
          <w:sz w:val="20"/>
          <w:szCs w:val="20"/>
          <w:lang w:val="nl-NL"/>
        </w:rPr>
        <w:t xml:space="preserve"> F.M. van Oosterhout, </w:t>
      </w:r>
      <w:r w:rsidR="00156FBA" w:rsidRPr="00DA341F">
        <w:rPr>
          <w:rFonts w:ascii="Verdana" w:hAnsi="Verdana"/>
          <w:sz w:val="20"/>
          <w:szCs w:val="20"/>
          <w:lang w:val="nl-NL"/>
        </w:rPr>
        <w:t>Jan C. Grutters and Coline H. M. van Moorsel</w:t>
      </w:r>
    </w:p>
    <w:p w14:paraId="4CB68A8E" w14:textId="77777777" w:rsidR="00DA341F" w:rsidRPr="00DA341F" w:rsidRDefault="00DA341F" w:rsidP="00DA341F">
      <w:pPr>
        <w:autoSpaceDE w:val="0"/>
        <w:autoSpaceDN w:val="0"/>
        <w:adjustRightInd w:val="0"/>
        <w:spacing w:after="0" w:line="276" w:lineRule="auto"/>
        <w:rPr>
          <w:rFonts w:ascii="Verdana" w:hAnsi="Verdana" w:cstheme="minorHAnsi"/>
          <w:sz w:val="20"/>
          <w:szCs w:val="20"/>
        </w:rPr>
      </w:pPr>
      <w:r w:rsidRPr="00DA341F">
        <w:rPr>
          <w:rFonts w:ascii="Verdana" w:hAnsi="Verdana" w:cstheme="minorHAnsi"/>
          <w:sz w:val="20"/>
          <w:szCs w:val="20"/>
          <w:vertAlign w:val="superscript"/>
        </w:rPr>
        <w:t>1.</w:t>
      </w:r>
      <w:r w:rsidRPr="00DA341F">
        <w:rPr>
          <w:rFonts w:ascii="Verdana" w:hAnsi="Verdana" w:cstheme="minorHAnsi"/>
          <w:sz w:val="20"/>
          <w:szCs w:val="20"/>
        </w:rPr>
        <w:t xml:space="preserve"> ILD </w:t>
      </w:r>
      <w:proofErr w:type="spellStart"/>
      <w:r w:rsidRPr="00DA341F">
        <w:rPr>
          <w:rFonts w:ascii="Verdana" w:hAnsi="Verdana" w:cstheme="minorHAnsi"/>
          <w:sz w:val="20"/>
          <w:szCs w:val="20"/>
        </w:rPr>
        <w:t>Center</w:t>
      </w:r>
      <w:proofErr w:type="spellEnd"/>
      <w:r w:rsidRPr="00DA341F">
        <w:rPr>
          <w:rFonts w:ascii="Verdana" w:hAnsi="Verdana" w:cstheme="minorHAnsi"/>
          <w:sz w:val="20"/>
          <w:szCs w:val="20"/>
        </w:rPr>
        <w:t xml:space="preserve"> of Excellence, member of European Reference Network-Lung, St Antonius Hospital, Nieuwegein, the Netherlands</w:t>
      </w:r>
    </w:p>
    <w:p w14:paraId="11EE3EEF" w14:textId="3D75E8A3" w:rsidR="00DA341F" w:rsidRPr="00DA341F" w:rsidRDefault="00DA341F" w:rsidP="00DA341F">
      <w:pPr>
        <w:autoSpaceDE w:val="0"/>
        <w:autoSpaceDN w:val="0"/>
        <w:adjustRightInd w:val="0"/>
        <w:spacing w:after="0" w:line="276" w:lineRule="auto"/>
        <w:rPr>
          <w:rFonts w:ascii="Verdana" w:hAnsi="Verdana" w:cstheme="minorHAnsi"/>
          <w:sz w:val="20"/>
          <w:szCs w:val="20"/>
        </w:rPr>
      </w:pPr>
      <w:r w:rsidRPr="00DA341F">
        <w:rPr>
          <w:rFonts w:ascii="Verdana" w:hAnsi="Verdana" w:cstheme="minorHAnsi"/>
          <w:sz w:val="20"/>
          <w:szCs w:val="20"/>
          <w:vertAlign w:val="superscript"/>
        </w:rPr>
        <w:t>2.</w:t>
      </w:r>
      <w:r w:rsidRPr="00DA341F">
        <w:rPr>
          <w:rFonts w:ascii="Verdana" w:hAnsi="Verdana" w:cstheme="minorHAnsi"/>
          <w:sz w:val="20"/>
          <w:szCs w:val="20"/>
        </w:rPr>
        <w:t xml:space="preserve"> Department of Clinical Chemistry, St. Antonius Hospital, Nieuwegein, </w:t>
      </w:r>
      <w:proofErr w:type="gramStart"/>
      <w:r w:rsidRPr="00DA341F">
        <w:rPr>
          <w:rFonts w:ascii="Verdana" w:hAnsi="Verdana" w:cstheme="minorHAnsi"/>
          <w:sz w:val="20"/>
          <w:szCs w:val="20"/>
        </w:rPr>
        <w:t>The</w:t>
      </w:r>
      <w:proofErr w:type="gramEnd"/>
      <w:r w:rsidRPr="00DA341F">
        <w:rPr>
          <w:rFonts w:ascii="Verdana" w:hAnsi="Verdana" w:cstheme="minorHAnsi"/>
          <w:sz w:val="20"/>
          <w:szCs w:val="20"/>
        </w:rPr>
        <w:t xml:space="preserve"> Netherlands</w:t>
      </w:r>
    </w:p>
    <w:p w14:paraId="67D9286B" w14:textId="77777777" w:rsidR="00DA341F" w:rsidRPr="00DA341F" w:rsidRDefault="00DA341F" w:rsidP="00DA341F">
      <w:pPr>
        <w:spacing w:after="0" w:line="360" w:lineRule="auto"/>
        <w:rPr>
          <w:rFonts w:ascii="Verdana" w:hAnsi="Verdana"/>
          <w:sz w:val="20"/>
          <w:szCs w:val="20"/>
        </w:rPr>
      </w:pPr>
      <w:r w:rsidRPr="00DA341F">
        <w:rPr>
          <w:rFonts w:ascii="Verdana" w:hAnsi="Verdana"/>
          <w:sz w:val="20"/>
          <w:szCs w:val="20"/>
        </w:rPr>
        <w:t>*Corresponding author:</w:t>
      </w:r>
    </w:p>
    <w:p w14:paraId="6F6A9B6A" w14:textId="10F074E7" w:rsidR="00DA341F" w:rsidRPr="00DA341F" w:rsidRDefault="00DA341F" w:rsidP="00DA341F">
      <w:pPr>
        <w:autoSpaceDE w:val="0"/>
        <w:autoSpaceDN w:val="0"/>
        <w:adjustRightInd w:val="0"/>
        <w:spacing w:after="0" w:line="276" w:lineRule="auto"/>
        <w:rPr>
          <w:rFonts w:ascii="Verdana" w:hAnsi="Verdana" w:cstheme="minorHAnsi"/>
          <w:sz w:val="20"/>
          <w:szCs w:val="20"/>
        </w:rPr>
      </w:pPr>
      <w:r w:rsidRPr="00DA341F">
        <w:rPr>
          <w:rFonts w:ascii="Verdana" w:hAnsi="Verdana"/>
          <w:sz w:val="20"/>
          <w:szCs w:val="20"/>
        </w:rPr>
        <w:t>E-mail: a.vandervis@antoniusziekenhuis.nl</w:t>
      </w:r>
    </w:p>
    <w:p w14:paraId="7C0019DE" w14:textId="2AED5AE7" w:rsidR="00156FBA" w:rsidRDefault="00156FBA" w:rsidP="001838E4">
      <w:pPr>
        <w:rPr>
          <w:b/>
          <w:caps/>
          <w:lang w:val="en-US"/>
        </w:rPr>
      </w:pPr>
    </w:p>
    <w:p w14:paraId="6EC51021" w14:textId="06F211C4" w:rsidR="00156FBA" w:rsidRPr="00DA341F" w:rsidRDefault="00A82A54" w:rsidP="001838E4">
      <w:pPr>
        <w:rPr>
          <w:rFonts w:ascii="Verdana" w:hAnsi="Verdana"/>
          <w:b/>
          <w:caps/>
          <w:sz w:val="20"/>
          <w:szCs w:val="20"/>
          <w:lang w:val="en-US"/>
        </w:rPr>
      </w:pPr>
      <w:r>
        <w:rPr>
          <w:rFonts w:ascii="Verdana" w:hAnsi="Verdana"/>
          <w:b/>
          <w:caps/>
          <w:sz w:val="20"/>
          <w:szCs w:val="20"/>
          <w:lang w:val="en-US"/>
        </w:rPr>
        <w:t>Supplementary Methods</w:t>
      </w:r>
    </w:p>
    <w:p w14:paraId="1F10643C" w14:textId="09D4772E" w:rsidR="00C97B14" w:rsidRPr="00DA341F" w:rsidRDefault="00C97B14" w:rsidP="00023260">
      <w:pPr>
        <w:rPr>
          <w:rFonts w:ascii="Verdana" w:hAnsi="Verdana"/>
          <w:b/>
          <w:sz w:val="20"/>
          <w:szCs w:val="20"/>
          <w:lang w:val="en-US"/>
        </w:rPr>
      </w:pPr>
      <w:r w:rsidRPr="00DA341F">
        <w:rPr>
          <w:rFonts w:ascii="Verdana" w:hAnsi="Verdana"/>
          <w:b/>
          <w:sz w:val="20"/>
          <w:szCs w:val="20"/>
          <w:lang w:val="en-US"/>
        </w:rPr>
        <w:t>Telomere length</w:t>
      </w:r>
    </w:p>
    <w:p w14:paraId="52E21B4D" w14:textId="64B3281E" w:rsidR="00C97B14" w:rsidRDefault="00C97B14" w:rsidP="00C97B14">
      <w:pPr>
        <w:spacing w:line="480" w:lineRule="auto"/>
        <w:jc w:val="both"/>
        <w:rPr>
          <w:rFonts w:ascii="Verdana" w:hAnsi="Verdana"/>
          <w:sz w:val="20"/>
          <w:szCs w:val="20"/>
          <w:lang w:val="en-US"/>
        </w:rPr>
      </w:pPr>
      <w:r w:rsidRPr="00DA341F">
        <w:rPr>
          <w:rFonts w:ascii="Verdana" w:hAnsi="Verdana"/>
          <w:sz w:val="20"/>
          <w:szCs w:val="20"/>
          <w:lang w:val="en-US"/>
        </w:rPr>
        <w:t xml:space="preserve">Telomere length was measured in DNA from </w:t>
      </w:r>
      <w:r w:rsidR="005174C0">
        <w:rPr>
          <w:rFonts w:ascii="Verdana" w:hAnsi="Verdana"/>
          <w:sz w:val="20"/>
          <w:szCs w:val="20"/>
          <w:lang w:val="en-US"/>
        </w:rPr>
        <w:t xml:space="preserve">total </w:t>
      </w:r>
      <w:r w:rsidRPr="00DA341F">
        <w:rPr>
          <w:rFonts w:ascii="Verdana" w:hAnsi="Verdana"/>
          <w:sz w:val="20"/>
          <w:szCs w:val="20"/>
          <w:lang w:val="en-US"/>
        </w:rPr>
        <w:t xml:space="preserve">peripheral blood by quantitative PCR (qPCR) by determining T/S ratio as described previously </w:t>
      </w:r>
      <w:r w:rsidRPr="00DA341F">
        <w:rPr>
          <w:rFonts w:ascii="Verdana" w:hAnsi="Verdana"/>
          <w:sz w:val="20"/>
          <w:szCs w:val="20"/>
          <w:lang w:val="en-US"/>
        </w:rPr>
        <w:fldChar w:fldCharType="begin" w:fldLock="1"/>
      </w:r>
      <w:r w:rsidR="003025A1" w:rsidRPr="00DA341F">
        <w:rPr>
          <w:rFonts w:ascii="Verdana" w:hAnsi="Verdana"/>
          <w:sz w:val="20"/>
          <w:szCs w:val="20"/>
          <w:lang w:val="en-US"/>
        </w:rPr>
        <w:instrText>ADDIN CSL_CITATION {"citationItems":[{"id":"ITEM-1","itemData":{"DOI":"10.1378/chest.14-3078","ISSN":"19313543","abstract":"BACKGROUND Interstitial lung disease (ILD) is a heterogeneous group of rare diseases that primarily affect the pulmonary interstitium. Studies have implicated a role for telomere length (TL) maintenance in ILD, particularly in idiopathic interstitial pneumonia (IIP). Here, we measure TL in a wide spectrum of sporadic and familial cohorts of ILD and compare TL between patient cohorts and control subjects. METHODS A multiplex quantitative polymerase chain reaction method was used to measure TL in 173 healthy subjects and 359 patients with various ILDs, including familial interstitial pneumonia (FIP). The FIP cohort was divided into patients carrying TERT mutations, patients carrying SFTPA2 or SFTPC mutations, and patients without a proven mutation (FIP-no mutation). RESULTS TL in all cases of ILD was significantly shorter compared with those of control subjects (P range: .038 to &lt; .0001). Furthermore, TL in patients with idiopathic pulmonary fibrosis (IPF) was significantly shorter than in patients with other IIPs (P = .002) and in patients with sarcoidosis (P &lt; .0001). Within the FIP cohort, patients in the FIP-telomerase reverse transcriptase (TERT) group had the shortest telomeres (P &lt; .0001), and those in the FIP-no mutation group had TL comparable to that of patients with IPF (P = .049). Remarkably, TL of patients with FIP-surfactant protein (SFTP) was significantly longer than in patients with IPF, but similar to that observed in patients with other sporadic IIPs. CONCLUSIONS The results show telomere shortening across all ILD diagnoses. The difference in TL between the FIP-TERT and FIP-SFTP groups indicates the distinction between acquired and innate telomere shortening. Short TL in the IPF and FIP-no mutation groups is indicative of an innate telomere-biology defect, while a stress-induced, acquired telomere shortening might be the underlying process for the other ILD diagnoses.","author":[{"dropping-particle":"","family":"Snetselaar","given":"Reinier","non-dropping-particle":"","parse-names":false,"suffix":""},{"dropping-particle":"","family":"Moorsel","given":"Coline H.M.","non-dropping-particle":"Van","parse-names":false,"suffix":""},{"dropping-particle":"","family":"Kazemier","given":"Karin M.","non-dropping-particle":"","parse-names":false,"suffix":""},{"dropping-particle":"","family":"Vis","given":"Joanne J.","non-dropping-particle":"Van Der","parse-names":false,"suffix":""},{"dropping-particle":"","family":"Zanen","given":"Pieter","non-dropping-particle":"","parse-names":false,"suffix":""},{"dropping-particle":"","family":"Oosterhout","given":"Matthijs F.M.","non-dropping-particle":"Van","parse-names":false,"suffix":""},{"dropping-particle":"","family":"Grutters","given":"Jan C.","non-dropping-particle":"","parse-names":false,"suffix":""}],"container-title":"Chest","id":"ITEM-1","issue":"4","issued":{"date-parts":[["2015"]]},"page":"1011-1018","title":"Telomere length in interstitial lung diseases","type":"article-journal","volume":"148"},"uris":["http://www.mendeley.com/documents/?uuid=81f6fa7b-b6bd-4be4-8800-ed675b456e7f"]},{"id":"ITEM-2","itemData":{"DOI":"10.1093/nar/gkn1027","ISSN":"03051048","abstract":"The current quantitative polymerase chain reaction (QPCR) assay of telomere length measures telomere (T) signals in experimental DNA samples in one set of reaction wells, and single copy gene (S) signals in separate wells, in comparison to a reference DNA, to yield relative T/S ratios that are proportional to average telomere length. Multiplexing this assay is desirable, because variation in the amount of DNA pipetted would no longer contribute to variation in T/S, since T and S would be collected within each reaction, from the same input DNA. Multiplexing also increases throughput and lowers costs, since half as many reactions are needed. Here, we present the first multiplexed QPCR method for telomere length measurement. Remarkably, a single fluorescent DNA-intercalating dye is sufficient in this system, because T signals can be collected in early cycles, before S signals rise above baseline, and S signals can be collected at a temperature that fully melts the telomere product, sending its signal to baseline. The correlation of T/S ratios with Terminal Restriction Fragment (TRF) lengths measured by Southern blot was stronger with this monochrome multiplex QPCR method (R(2) = 0.844) than with our original singleplex method (R(2) = 0.677). Multiplex T/S results from independent runs on different days were highly reproducible (R(2) = 0.91).","author":[{"dropping-particle":"","family":"Cawthon","given":"Richard M.","non-dropping-particle":"","parse-names":false,"suffix":""}],"container-title":"Nucleic Acids Research","id":"ITEM-2","issue":"3","issued":{"date-parts":[["2009"]]},"page":"1-7","title":"Telomere length measurement by a novel monochrome multiplex quantitative PCR method","type":"article-journal","volume":"37"},"uris":["http://www.mendeley.com/documents/?uuid=96083be5-4a8b-4e75-9197-01506ecb8cfa"]}],"mendeley":{"formattedCitation":"(1,2)","plainTextFormattedCitation":"(1,2)","previouslyFormattedCitation":"(1,2)"},"properties":{"noteIndex":0},"schema":"https://github.com/citation-style-language/schema/raw/master/csl-citation.json"}</w:instrText>
      </w:r>
      <w:r w:rsidRPr="00DA341F">
        <w:rPr>
          <w:rFonts w:ascii="Verdana" w:hAnsi="Verdana"/>
          <w:sz w:val="20"/>
          <w:szCs w:val="20"/>
          <w:lang w:val="en-US"/>
        </w:rPr>
        <w:fldChar w:fldCharType="separate"/>
      </w:r>
      <w:r w:rsidR="00D26819" w:rsidRPr="00DA341F">
        <w:rPr>
          <w:rFonts w:ascii="Verdana" w:hAnsi="Verdana"/>
          <w:noProof/>
          <w:sz w:val="20"/>
          <w:szCs w:val="20"/>
          <w:lang w:val="en-US"/>
        </w:rPr>
        <w:t>(1,2)</w:t>
      </w:r>
      <w:r w:rsidRPr="00DA341F">
        <w:rPr>
          <w:rFonts w:ascii="Verdana" w:hAnsi="Verdana"/>
          <w:sz w:val="20"/>
          <w:szCs w:val="20"/>
          <w:lang w:val="en-US"/>
        </w:rPr>
        <w:fldChar w:fldCharType="end"/>
      </w:r>
      <w:r w:rsidRPr="00DA341F">
        <w:rPr>
          <w:rFonts w:ascii="Verdana" w:hAnsi="Verdana"/>
          <w:sz w:val="20"/>
          <w:szCs w:val="20"/>
          <w:lang w:val="en-US"/>
        </w:rPr>
        <w:t>. As a reference cohort T/S ratios for 164 healthy individuals with an age ranging between 20 and 70 years of age was determined. Age-adjusted normal values for the T/S ratio were calculated by determining the best-fitting linear regression line through the healthy control data, and percentiles were derived from the regression line. Telomere length adjusted for age (T/S</w:t>
      </w:r>
      <w:r w:rsidRPr="00DA341F">
        <w:rPr>
          <w:rFonts w:ascii="Verdana" w:hAnsi="Verdana"/>
          <w:sz w:val="20"/>
          <w:szCs w:val="20"/>
          <w:vertAlign w:val="subscript"/>
          <w:lang w:val="en-US"/>
        </w:rPr>
        <w:t>age adjusted</w:t>
      </w:r>
      <w:r w:rsidRPr="00DA341F">
        <w:rPr>
          <w:rFonts w:ascii="Verdana" w:hAnsi="Verdana"/>
          <w:sz w:val="20"/>
          <w:szCs w:val="20"/>
          <w:lang w:val="en-US"/>
        </w:rPr>
        <w:t>) was calculated by the difference between observed T/S ratio an</w:t>
      </w:r>
      <w:r w:rsidR="00A82A54">
        <w:rPr>
          <w:rFonts w:ascii="Verdana" w:hAnsi="Verdana"/>
          <w:sz w:val="20"/>
          <w:szCs w:val="20"/>
          <w:lang w:val="en-US"/>
        </w:rPr>
        <w:t>d the age adjusted normal value.</w:t>
      </w:r>
      <w:r w:rsidR="00E734D2" w:rsidRPr="00E734D2">
        <w:t xml:space="preserve"> </w:t>
      </w:r>
      <w:r w:rsidR="00E734D2" w:rsidRPr="00E734D2">
        <w:rPr>
          <w:rFonts w:ascii="Verdana" w:hAnsi="Verdana"/>
          <w:sz w:val="20"/>
          <w:szCs w:val="20"/>
          <w:lang w:val="en-US"/>
        </w:rPr>
        <w:t>Since telomere length was measured in total leukocytes, including myeloid-derived cells, the elevated cell turnover seen in myelodysplastic syndrome could have influenced the observed telomere shortening.</w:t>
      </w:r>
    </w:p>
    <w:p w14:paraId="213C29A0" w14:textId="77777777" w:rsidR="00A90576" w:rsidRPr="0074108D" w:rsidRDefault="00A90576" w:rsidP="00A90576">
      <w:pPr>
        <w:spacing w:line="480" w:lineRule="auto"/>
        <w:jc w:val="both"/>
        <w:rPr>
          <w:rFonts w:ascii="Verdana" w:hAnsi="Verdana"/>
          <w:b/>
          <w:sz w:val="20"/>
          <w:szCs w:val="20"/>
        </w:rPr>
      </w:pPr>
      <w:r w:rsidRPr="0074108D">
        <w:rPr>
          <w:rFonts w:ascii="Verdana" w:hAnsi="Verdana"/>
          <w:b/>
          <w:sz w:val="20"/>
          <w:szCs w:val="20"/>
        </w:rPr>
        <w:t>Genetic analysis</w:t>
      </w:r>
    </w:p>
    <w:p w14:paraId="1C15972D" w14:textId="3F880B0A" w:rsidR="00A90576" w:rsidRDefault="004F3B6E" w:rsidP="00A90576">
      <w:pPr>
        <w:spacing w:line="480" w:lineRule="auto"/>
        <w:jc w:val="both"/>
        <w:rPr>
          <w:rFonts w:ascii="Verdana" w:hAnsi="Verdana"/>
          <w:sz w:val="20"/>
          <w:szCs w:val="20"/>
          <w:lang w:val="en-US"/>
        </w:rPr>
      </w:pPr>
      <w:r w:rsidRPr="00375083">
        <w:rPr>
          <w:rFonts w:ascii="Verdana" w:hAnsi="Verdana" w:cs="Helvetica"/>
          <w:color w:val="000000" w:themeColor="text1"/>
          <w:spacing w:val="2"/>
          <w:sz w:val="20"/>
          <w:szCs w:val="20"/>
          <w:lang w:val="en-US"/>
        </w:rPr>
        <w:t xml:space="preserve">In all patients genetic analysis for germline rare telomere related gene variants was performed in DNA isolated from total peripheral blood. </w:t>
      </w:r>
      <w:r w:rsidR="00A90576" w:rsidRPr="00A870EC">
        <w:rPr>
          <w:rFonts w:ascii="Verdana" w:hAnsi="Verdana"/>
          <w:sz w:val="20"/>
          <w:szCs w:val="20"/>
          <w:lang w:val="en-US"/>
        </w:rPr>
        <w:t xml:space="preserve">Patients diagnosed prior to 2018 were initially screened for rare variants in </w:t>
      </w:r>
      <w:r w:rsidR="00A90576" w:rsidRPr="00A870EC">
        <w:rPr>
          <w:rFonts w:ascii="Verdana" w:hAnsi="Verdana"/>
          <w:i/>
          <w:sz w:val="20"/>
          <w:szCs w:val="20"/>
          <w:lang w:val="en-US"/>
        </w:rPr>
        <w:t>TERT</w:t>
      </w:r>
      <w:r w:rsidR="00A90576" w:rsidRPr="00A870EC">
        <w:rPr>
          <w:rFonts w:ascii="Verdana" w:hAnsi="Verdana"/>
          <w:sz w:val="20"/>
          <w:szCs w:val="20"/>
          <w:lang w:val="en-US"/>
        </w:rPr>
        <w:t xml:space="preserve"> and </w:t>
      </w:r>
      <w:r w:rsidR="00A90576" w:rsidRPr="00A870EC">
        <w:rPr>
          <w:rFonts w:ascii="Verdana" w:hAnsi="Verdana"/>
          <w:i/>
          <w:sz w:val="20"/>
          <w:szCs w:val="20"/>
          <w:lang w:val="en-US"/>
        </w:rPr>
        <w:t>TERC</w:t>
      </w:r>
      <w:r w:rsidR="00A90576" w:rsidRPr="00A870EC">
        <w:rPr>
          <w:rFonts w:ascii="Verdana" w:hAnsi="Verdana"/>
          <w:sz w:val="20"/>
          <w:szCs w:val="20"/>
          <w:lang w:val="en-US"/>
        </w:rPr>
        <w:t xml:space="preserve"> by Sanger sequencing (n=25).If</w:t>
      </w:r>
      <w:r w:rsidR="00A90576">
        <w:rPr>
          <w:rFonts w:ascii="Verdana" w:hAnsi="Verdana"/>
          <w:sz w:val="20"/>
          <w:szCs w:val="20"/>
          <w:lang w:val="en-US"/>
        </w:rPr>
        <w:t xml:space="preserve"> no rare variant was identified in these genes, whole exome sequencing (WES) was subsequently performed (n=102). WES data was analyzed for single nucleotide variants and small insertions and deletions in a panel consisting of telomere related genes associated with adult FPF, including </w:t>
      </w:r>
      <w:r w:rsidR="00A90576">
        <w:rPr>
          <w:rFonts w:ascii="Verdana" w:hAnsi="Verdana"/>
          <w:i/>
          <w:sz w:val="20"/>
          <w:szCs w:val="20"/>
          <w:lang w:val="en-US"/>
        </w:rPr>
        <w:t xml:space="preserve">ACD, DKC1, NAF1, , PARN, POT1, RTEL1, TERC, TERT, TINF2, </w:t>
      </w:r>
      <w:r w:rsidR="00A90576">
        <w:rPr>
          <w:rFonts w:ascii="Verdana" w:hAnsi="Verdana"/>
          <w:sz w:val="20"/>
          <w:szCs w:val="20"/>
          <w:lang w:val="en-US"/>
        </w:rPr>
        <w:t>and</w:t>
      </w:r>
      <w:r w:rsidR="00A90576">
        <w:rPr>
          <w:rFonts w:ascii="Verdana" w:hAnsi="Verdana"/>
          <w:i/>
          <w:sz w:val="20"/>
          <w:szCs w:val="20"/>
          <w:lang w:val="en-US"/>
        </w:rPr>
        <w:t xml:space="preserve"> ZCCHC8</w:t>
      </w:r>
      <w:r w:rsidR="00A90576">
        <w:rPr>
          <w:rFonts w:ascii="Verdana" w:hAnsi="Verdana"/>
          <w:sz w:val="20"/>
          <w:szCs w:val="20"/>
          <w:lang w:val="en-US"/>
        </w:rPr>
        <w:t xml:space="preserve">. When a disease-causing variant was identified in the </w:t>
      </w:r>
      <w:proofErr w:type="spellStart"/>
      <w:r w:rsidR="00A90576">
        <w:rPr>
          <w:rFonts w:ascii="Verdana" w:hAnsi="Verdana"/>
          <w:sz w:val="20"/>
          <w:szCs w:val="20"/>
          <w:lang w:val="en-US"/>
        </w:rPr>
        <w:t>proband</w:t>
      </w:r>
      <w:proofErr w:type="spellEnd"/>
      <w:r w:rsidR="00A90576">
        <w:rPr>
          <w:rFonts w:ascii="Verdana" w:hAnsi="Verdana"/>
          <w:sz w:val="20"/>
          <w:szCs w:val="20"/>
          <w:lang w:val="en-US"/>
        </w:rPr>
        <w:t xml:space="preserve"> of a </w:t>
      </w:r>
      <w:r w:rsidR="00A90576">
        <w:rPr>
          <w:rFonts w:ascii="Verdana" w:hAnsi="Verdana"/>
          <w:sz w:val="20"/>
          <w:szCs w:val="20"/>
          <w:lang w:val="en-US"/>
        </w:rPr>
        <w:lastRenderedPageBreak/>
        <w:t xml:space="preserve">family, cascade testing was performed in affected relatives, targeting only the identified familial variant (n=50). All genetic analyses were performed in DNA isolated from total peripheral blood. </w:t>
      </w:r>
    </w:p>
    <w:p w14:paraId="1FA5857D" w14:textId="0EC0A593" w:rsidR="0044377D" w:rsidRPr="00BA0A24" w:rsidRDefault="0044377D" w:rsidP="0044377D">
      <w:pPr>
        <w:spacing w:line="480" w:lineRule="auto"/>
        <w:jc w:val="both"/>
        <w:rPr>
          <w:rFonts w:ascii="Verdana" w:eastAsia="Times New Roman" w:hAnsi="Verdana" w:cstheme="minorHAnsi"/>
          <w:color w:val="000000"/>
          <w:sz w:val="20"/>
          <w:szCs w:val="20"/>
          <w:lang w:val="en-US" w:eastAsia="nl-NL"/>
        </w:rPr>
      </w:pPr>
      <w:r w:rsidRPr="00BA0A24">
        <w:rPr>
          <w:rFonts w:ascii="Verdana" w:eastAsia="Times New Roman" w:hAnsi="Verdana" w:cstheme="minorHAnsi"/>
          <w:color w:val="000000"/>
          <w:sz w:val="20"/>
          <w:szCs w:val="20"/>
          <w:lang w:val="en-US" w:eastAsia="nl-NL"/>
        </w:rPr>
        <w:t>Results of the cytological, cytogenetic, and molecular classification of MDS were obtained from laboratory reports included in the patient charts</w:t>
      </w:r>
      <w:r w:rsidR="00FC03F8">
        <w:rPr>
          <w:rFonts w:ascii="Verdana" w:eastAsia="Times New Roman" w:hAnsi="Verdana" w:cstheme="minorHAnsi"/>
          <w:color w:val="000000"/>
          <w:sz w:val="20"/>
          <w:szCs w:val="20"/>
          <w:lang w:val="en-US" w:eastAsia="nl-NL"/>
        </w:rPr>
        <w:t xml:space="preserve"> (table E5</w:t>
      </w:r>
      <w:r w:rsidR="00AE2142">
        <w:rPr>
          <w:rFonts w:ascii="Verdana" w:eastAsia="Times New Roman" w:hAnsi="Verdana" w:cstheme="minorHAnsi"/>
          <w:color w:val="000000"/>
          <w:sz w:val="20"/>
          <w:szCs w:val="20"/>
          <w:lang w:val="en-US" w:eastAsia="nl-NL"/>
        </w:rPr>
        <w:t>)</w:t>
      </w:r>
      <w:r w:rsidRPr="00BA0A24">
        <w:rPr>
          <w:rFonts w:ascii="Verdana" w:eastAsia="Times New Roman" w:hAnsi="Verdana" w:cstheme="minorHAnsi"/>
          <w:color w:val="000000"/>
          <w:sz w:val="20"/>
          <w:szCs w:val="20"/>
          <w:lang w:val="en-US" w:eastAsia="nl-NL"/>
        </w:rPr>
        <w:t xml:space="preserve">. </w:t>
      </w:r>
    </w:p>
    <w:p w14:paraId="6AD03A33" w14:textId="77777777" w:rsidR="00A82A54" w:rsidRPr="00DA341F" w:rsidRDefault="00A82A54" w:rsidP="00A82A54">
      <w:pPr>
        <w:spacing w:line="480" w:lineRule="auto"/>
        <w:jc w:val="both"/>
        <w:rPr>
          <w:rFonts w:ascii="Verdana" w:hAnsi="Verdana"/>
          <w:b/>
          <w:sz w:val="20"/>
          <w:szCs w:val="20"/>
          <w:lang w:val="en-US"/>
        </w:rPr>
      </w:pPr>
      <w:r w:rsidRPr="00DA341F">
        <w:rPr>
          <w:rFonts w:ascii="Verdana" w:hAnsi="Verdana"/>
          <w:b/>
          <w:sz w:val="20"/>
          <w:szCs w:val="20"/>
          <w:lang w:val="en-US"/>
        </w:rPr>
        <w:t>Cancer types</w:t>
      </w:r>
    </w:p>
    <w:p w14:paraId="5155AC50" w14:textId="77777777" w:rsidR="00A82A54" w:rsidRDefault="00A82A54" w:rsidP="00A82A54">
      <w:pPr>
        <w:spacing w:line="480" w:lineRule="auto"/>
        <w:jc w:val="both"/>
        <w:rPr>
          <w:rFonts w:ascii="Verdana" w:hAnsi="Verdana"/>
          <w:sz w:val="20"/>
          <w:szCs w:val="20"/>
          <w:lang w:val="en-US"/>
        </w:rPr>
      </w:pPr>
      <w:r w:rsidRPr="00DA341F">
        <w:rPr>
          <w:rFonts w:ascii="Verdana" w:hAnsi="Verdana"/>
          <w:sz w:val="20"/>
          <w:szCs w:val="20"/>
          <w:lang w:val="en-US"/>
        </w:rPr>
        <w:t xml:space="preserve">The Netherlands Cancer Register (NCR) registered cancer types include invasive cancer types, and the non-invasive cancer </w:t>
      </w:r>
      <w:proofErr w:type="gramStart"/>
      <w:r w:rsidRPr="00DA341F">
        <w:rPr>
          <w:rFonts w:ascii="Verdana" w:hAnsi="Verdana"/>
          <w:sz w:val="20"/>
          <w:szCs w:val="20"/>
          <w:lang w:val="en-US"/>
        </w:rPr>
        <w:t>types</w:t>
      </w:r>
      <w:proofErr w:type="gramEnd"/>
      <w:r w:rsidRPr="00DA341F">
        <w:rPr>
          <w:rFonts w:ascii="Verdana" w:hAnsi="Verdana"/>
          <w:sz w:val="20"/>
          <w:szCs w:val="20"/>
          <w:lang w:val="en-US"/>
        </w:rPr>
        <w:t xml:space="preserve"> ductal carcinoma in situ (DCIS) and upper tract</w:t>
      </w:r>
      <w:r>
        <w:rPr>
          <w:rFonts w:ascii="Verdana" w:hAnsi="Verdana"/>
          <w:sz w:val="20"/>
          <w:szCs w:val="20"/>
          <w:lang w:val="en-US"/>
        </w:rPr>
        <w:t xml:space="preserve"> urothelial carcinoma. In our TBD-PF</w:t>
      </w:r>
      <w:r w:rsidRPr="00DA341F">
        <w:rPr>
          <w:rFonts w:ascii="Verdana" w:hAnsi="Verdana"/>
          <w:sz w:val="20"/>
          <w:szCs w:val="20"/>
          <w:lang w:val="en-US"/>
        </w:rPr>
        <w:t xml:space="preserve"> cohort basal cell carcinoma (BCC) was noted 9 times, yet excluded from analysis due to well-known under registration and absence of BCC in the NCR </w:t>
      </w:r>
    </w:p>
    <w:p w14:paraId="473E3A14" w14:textId="77777777" w:rsidR="0053132B" w:rsidRPr="00DA341F" w:rsidRDefault="0053132B" w:rsidP="004679E5">
      <w:pPr>
        <w:spacing w:line="480" w:lineRule="auto"/>
        <w:jc w:val="both"/>
        <w:rPr>
          <w:rFonts w:ascii="Verdana" w:hAnsi="Verdana"/>
          <w:b/>
          <w:sz w:val="20"/>
          <w:szCs w:val="20"/>
          <w:lang w:val="en-US"/>
        </w:rPr>
      </w:pPr>
      <w:r w:rsidRPr="00DA341F">
        <w:rPr>
          <w:rFonts w:ascii="Verdana" w:hAnsi="Verdana"/>
          <w:b/>
          <w:sz w:val="20"/>
          <w:szCs w:val="20"/>
          <w:lang w:val="en-US"/>
        </w:rPr>
        <w:t>Statistical analysis</w:t>
      </w:r>
    </w:p>
    <w:p w14:paraId="3946FAB1" w14:textId="2D995E0F" w:rsidR="004679E5" w:rsidRPr="00DA341F" w:rsidRDefault="004679E5" w:rsidP="004679E5">
      <w:pPr>
        <w:spacing w:line="480" w:lineRule="auto"/>
        <w:jc w:val="both"/>
        <w:rPr>
          <w:rFonts w:ascii="Verdana" w:hAnsi="Verdana"/>
          <w:sz w:val="20"/>
          <w:szCs w:val="20"/>
          <w:lang w:val="en-US"/>
        </w:rPr>
      </w:pPr>
      <w:r w:rsidRPr="00DA341F">
        <w:rPr>
          <w:rFonts w:ascii="Verdana" w:hAnsi="Verdana"/>
          <w:sz w:val="20"/>
          <w:szCs w:val="20"/>
          <w:lang w:val="en-US"/>
        </w:rPr>
        <w:t>Study data were collected and managed using research redcap electronic data capture (</w:t>
      </w:r>
      <w:proofErr w:type="spellStart"/>
      <w:r w:rsidRPr="00DA341F">
        <w:rPr>
          <w:rFonts w:ascii="Verdana" w:hAnsi="Verdana"/>
          <w:sz w:val="20"/>
          <w:szCs w:val="20"/>
          <w:lang w:val="en-US"/>
        </w:rPr>
        <w:t>REDCap</w:t>
      </w:r>
      <w:proofErr w:type="spellEnd"/>
      <w:r w:rsidRPr="00DA341F">
        <w:rPr>
          <w:rFonts w:ascii="Verdana" w:hAnsi="Verdana"/>
          <w:sz w:val="20"/>
          <w:szCs w:val="20"/>
          <w:lang w:val="en-US"/>
        </w:rPr>
        <w:t xml:space="preserve">, </w:t>
      </w:r>
      <w:proofErr w:type="spellStart"/>
      <w:r w:rsidRPr="00DA341F">
        <w:rPr>
          <w:rFonts w:ascii="Verdana" w:hAnsi="Verdana"/>
          <w:sz w:val="20"/>
          <w:szCs w:val="20"/>
          <w:lang w:val="en-US"/>
        </w:rPr>
        <w:t>VanderBilt</w:t>
      </w:r>
      <w:proofErr w:type="spellEnd"/>
      <w:r w:rsidRPr="00DA341F">
        <w:rPr>
          <w:rFonts w:ascii="Verdana" w:hAnsi="Verdana"/>
          <w:sz w:val="20"/>
          <w:szCs w:val="20"/>
          <w:lang w:val="en-US"/>
        </w:rPr>
        <w:t xml:space="preserve"> University, Nashville, TN)</w:t>
      </w:r>
      <w:r w:rsidR="00EA0DF7" w:rsidRPr="00DA341F">
        <w:rPr>
          <w:rFonts w:ascii="Verdana" w:hAnsi="Verdana"/>
          <w:sz w:val="20"/>
          <w:szCs w:val="20"/>
          <w:lang w:val="en-US"/>
        </w:rPr>
        <w:t xml:space="preserve"> software hosted at our institute</w:t>
      </w:r>
      <w:r w:rsidRPr="00DA341F">
        <w:rPr>
          <w:rFonts w:ascii="Verdana" w:hAnsi="Verdana"/>
          <w:sz w:val="20"/>
          <w:szCs w:val="20"/>
          <w:lang w:val="en-US"/>
        </w:rPr>
        <w:t xml:space="preserve">. The statistical analysis was performed using SPSS29 (IBM Corp., Armonk, NY) and </w:t>
      </w:r>
      <w:proofErr w:type="spellStart"/>
      <w:r w:rsidRPr="00DA341F">
        <w:rPr>
          <w:rFonts w:ascii="Verdana" w:hAnsi="Verdana"/>
          <w:sz w:val="20"/>
          <w:szCs w:val="20"/>
          <w:lang w:val="en-US"/>
        </w:rPr>
        <w:t>GraphPad</w:t>
      </w:r>
      <w:proofErr w:type="spellEnd"/>
      <w:r w:rsidRPr="00DA341F">
        <w:rPr>
          <w:rFonts w:ascii="Verdana" w:hAnsi="Verdana"/>
          <w:sz w:val="20"/>
          <w:szCs w:val="20"/>
          <w:lang w:val="en-US"/>
        </w:rPr>
        <w:t xml:space="preserve"> Prismv.8 (</w:t>
      </w:r>
      <w:proofErr w:type="spellStart"/>
      <w:r w:rsidRPr="00DA341F">
        <w:rPr>
          <w:rFonts w:ascii="Verdana" w:hAnsi="Verdana"/>
          <w:sz w:val="20"/>
          <w:szCs w:val="20"/>
          <w:lang w:val="en-US"/>
        </w:rPr>
        <w:t>Graphpad</w:t>
      </w:r>
      <w:proofErr w:type="spellEnd"/>
      <w:r w:rsidRPr="00DA341F">
        <w:rPr>
          <w:rFonts w:ascii="Verdana" w:hAnsi="Verdana"/>
          <w:sz w:val="20"/>
          <w:szCs w:val="20"/>
          <w:lang w:val="en-US"/>
        </w:rPr>
        <w:t xml:space="preserve"> software</w:t>
      </w:r>
      <w:r w:rsidR="00F008F1">
        <w:rPr>
          <w:rFonts w:ascii="Verdana" w:hAnsi="Verdana"/>
          <w:sz w:val="20"/>
          <w:szCs w:val="20"/>
          <w:lang w:val="en-US"/>
        </w:rPr>
        <w:t xml:space="preserve"> INC., San Diego, CA). To analyz</w:t>
      </w:r>
      <w:r w:rsidRPr="00DA341F">
        <w:rPr>
          <w:rFonts w:ascii="Verdana" w:hAnsi="Verdana"/>
          <w:sz w:val="20"/>
          <w:szCs w:val="20"/>
          <w:lang w:val="en-US"/>
        </w:rPr>
        <w:t xml:space="preserve">e differences between groups, Pearson Chi square test, Fisher exact test, Mann-Whitney U-test and independent t-test were used, as appropriate. The Kaplan-Meier method with </w:t>
      </w:r>
      <w:r w:rsidR="00F008F1">
        <w:rPr>
          <w:rFonts w:ascii="Verdana" w:hAnsi="Verdana"/>
          <w:sz w:val="20"/>
          <w:szCs w:val="20"/>
          <w:lang w:val="en-US"/>
        </w:rPr>
        <w:t>log-rank test was used to analyz</w:t>
      </w:r>
      <w:r w:rsidRPr="00DA341F">
        <w:rPr>
          <w:rFonts w:ascii="Verdana" w:hAnsi="Verdana"/>
          <w:sz w:val="20"/>
          <w:szCs w:val="20"/>
          <w:lang w:val="en-US"/>
        </w:rPr>
        <w:t xml:space="preserve">e transplant-free survival time after pulmonary fibrosis diagnosis, both lung transplantation and death were considered as events. Differences with a p-value &lt;0.05 were considered statistically significant. </w:t>
      </w:r>
    </w:p>
    <w:p w14:paraId="6FDF3CB0" w14:textId="62282385" w:rsidR="00A82A54" w:rsidRDefault="00A82A54" w:rsidP="004679E5">
      <w:pPr>
        <w:spacing w:line="480" w:lineRule="auto"/>
        <w:jc w:val="both"/>
        <w:rPr>
          <w:rFonts w:ascii="Verdana" w:hAnsi="Verdana"/>
          <w:sz w:val="20"/>
          <w:szCs w:val="20"/>
          <w:lang w:val="en-US"/>
        </w:rPr>
      </w:pPr>
    </w:p>
    <w:p w14:paraId="38E7A1A0" w14:textId="6B5233D9" w:rsidR="00A82A54" w:rsidRPr="00DA341F" w:rsidRDefault="008B0858" w:rsidP="004679E5">
      <w:pPr>
        <w:spacing w:line="480" w:lineRule="auto"/>
        <w:jc w:val="both"/>
        <w:rPr>
          <w:rFonts w:ascii="Verdana" w:hAnsi="Verdana"/>
          <w:sz w:val="20"/>
          <w:szCs w:val="20"/>
          <w:lang w:val="en-US"/>
        </w:rPr>
      </w:pPr>
      <w:r>
        <w:rPr>
          <w:rFonts w:ascii="Verdana" w:hAnsi="Verdana"/>
          <w:b/>
          <w:caps/>
          <w:sz w:val="20"/>
          <w:szCs w:val="20"/>
          <w:lang w:val="en-US"/>
        </w:rPr>
        <w:t>Supplementary results</w:t>
      </w:r>
    </w:p>
    <w:p w14:paraId="157F1561" w14:textId="28B00F1B" w:rsidR="00951ADB" w:rsidRPr="00BA0A24" w:rsidRDefault="00951ADB">
      <w:pPr>
        <w:rPr>
          <w:rFonts w:ascii="Verdana" w:hAnsi="Verdana"/>
          <w:sz w:val="20"/>
          <w:szCs w:val="20"/>
          <w:lang w:val="en-US"/>
        </w:rPr>
      </w:pPr>
    </w:p>
    <w:p w14:paraId="05404E9C" w14:textId="28590802" w:rsidR="00415CAD" w:rsidRPr="00444383" w:rsidRDefault="008C2E80">
      <w:pPr>
        <w:rPr>
          <w:rFonts w:ascii="Verdana" w:hAnsi="Verdana"/>
          <w:sz w:val="20"/>
          <w:szCs w:val="20"/>
          <w:lang w:val="nl-NL"/>
        </w:rPr>
      </w:pPr>
      <w:r>
        <w:rPr>
          <w:rFonts w:ascii="Verdana" w:hAnsi="Verdana"/>
          <w:noProof/>
          <w:sz w:val="20"/>
          <w:szCs w:val="20"/>
          <w:lang w:val="nl-NL" w:eastAsia="nl-NL"/>
        </w:rPr>
        <w:lastRenderedPageBreak/>
        <w:drawing>
          <wp:inline distT="0" distB="0" distL="0" distR="0" wp14:anchorId="6ED75C80" wp14:editId="58334827">
            <wp:extent cx="5731510" cy="546036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E1.png.tif"/>
                    <pic:cNvPicPr/>
                  </pic:nvPicPr>
                  <pic:blipFill>
                    <a:blip r:embed="rId6">
                      <a:extLst>
                        <a:ext uri="{28A0092B-C50C-407E-A947-70E740481C1C}">
                          <a14:useLocalDpi xmlns:a14="http://schemas.microsoft.com/office/drawing/2010/main" val="0"/>
                        </a:ext>
                      </a:extLst>
                    </a:blip>
                    <a:stretch>
                      <a:fillRect/>
                    </a:stretch>
                  </pic:blipFill>
                  <pic:spPr>
                    <a:xfrm>
                      <a:off x="0" y="0"/>
                      <a:ext cx="5731510" cy="5460365"/>
                    </a:xfrm>
                    <a:prstGeom prst="rect">
                      <a:avLst/>
                    </a:prstGeom>
                  </pic:spPr>
                </pic:pic>
              </a:graphicData>
            </a:graphic>
          </wp:inline>
        </w:drawing>
      </w:r>
    </w:p>
    <w:p w14:paraId="5E078FEA" w14:textId="3D87A032" w:rsidR="00415CAD" w:rsidRDefault="00415CAD">
      <w:pPr>
        <w:rPr>
          <w:rFonts w:ascii="Verdana" w:hAnsi="Verdana"/>
          <w:sz w:val="20"/>
          <w:szCs w:val="20"/>
          <w:lang w:val="en-US"/>
        </w:rPr>
      </w:pPr>
    </w:p>
    <w:p w14:paraId="78D156B2" w14:textId="50506CB5" w:rsidR="00E02DA9" w:rsidRDefault="00415CAD" w:rsidP="00415CAD">
      <w:pPr>
        <w:spacing w:line="240" w:lineRule="auto"/>
        <w:rPr>
          <w:rFonts w:ascii="Verdana" w:hAnsi="Verdana"/>
          <w:b/>
          <w:sz w:val="20"/>
          <w:szCs w:val="20"/>
        </w:rPr>
      </w:pPr>
      <w:r>
        <w:rPr>
          <w:rFonts w:ascii="Verdana" w:hAnsi="Verdana"/>
          <w:b/>
          <w:sz w:val="20"/>
          <w:szCs w:val="20"/>
        </w:rPr>
        <w:t xml:space="preserve">Fig E1 Telomere length in </w:t>
      </w:r>
      <w:r w:rsidR="0013138A">
        <w:rPr>
          <w:rFonts w:ascii="Verdana" w:hAnsi="Verdana"/>
          <w:b/>
          <w:sz w:val="20"/>
          <w:szCs w:val="20"/>
        </w:rPr>
        <w:t>total</w:t>
      </w:r>
      <w:r w:rsidR="00AA3ABE">
        <w:rPr>
          <w:rFonts w:ascii="Verdana" w:hAnsi="Verdana"/>
          <w:b/>
          <w:sz w:val="20"/>
          <w:szCs w:val="20"/>
        </w:rPr>
        <w:t xml:space="preserve"> leukocytes in</w:t>
      </w:r>
      <w:r w:rsidR="0013138A">
        <w:rPr>
          <w:rFonts w:ascii="Verdana" w:hAnsi="Verdana"/>
          <w:b/>
          <w:sz w:val="20"/>
          <w:szCs w:val="20"/>
        </w:rPr>
        <w:t xml:space="preserve"> </w:t>
      </w:r>
      <w:r>
        <w:rPr>
          <w:rFonts w:ascii="Verdana" w:hAnsi="Verdana"/>
          <w:b/>
          <w:sz w:val="20"/>
          <w:szCs w:val="20"/>
        </w:rPr>
        <w:t>peripheral blood and transplant-free survival in rare TRG-variant carrying patients with PF as major telomere biology disease manifestation (TBD-PF) stratified by cancer presence</w:t>
      </w:r>
      <w:r>
        <w:rPr>
          <w:rFonts w:ascii="Verdana" w:hAnsi="Verdana"/>
          <w:sz w:val="20"/>
          <w:szCs w:val="20"/>
        </w:rPr>
        <w:t>. A. Telomere length of TBD-PF patients without cancer (n=155, green triangles), with myelodysplastic syndrome (MDS, n=</w:t>
      </w:r>
      <w:r w:rsidR="006A3207">
        <w:rPr>
          <w:rFonts w:ascii="Verdana" w:hAnsi="Verdana"/>
          <w:sz w:val="20"/>
          <w:szCs w:val="20"/>
        </w:rPr>
        <w:t>6</w:t>
      </w:r>
      <w:r w:rsidR="00284483">
        <w:rPr>
          <w:rFonts w:ascii="Verdana" w:hAnsi="Verdana"/>
          <w:sz w:val="20"/>
          <w:szCs w:val="20"/>
        </w:rPr>
        <w:t xml:space="preserve"> (of which 5 were measured during MDS</w:t>
      </w:r>
      <w:r>
        <w:rPr>
          <w:rFonts w:ascii="Verdana" w:hAnsi="Verdana"/>
          <w:sz w:val="20"/>
          <w:szCs w:val="20"/>
        </w:rPr>
        <w:t>, red dots), and with solid cancer (n=14, blue rectangles) measured by quantitative PCR assay (T/S ratio) plotted against age. The solid line indicates the 50</w:t>
      </w:r>
      <w:r>
        <w:rPr>
          <w:rFonts w:ascii="Verdana" w:hAnsi="Verdana"/>
          <w:sz w:val="20"/>
          <w:szCs w:val="20"/>
          <w:vertAlign w:val="superscript"/>
        </w:rPr>
        <w:t>th</w:t>
      </w:r>
      <w:r>
        <w:rPr>
          <w:rFonts w:ascii="Verdana" w:hAnsi="Verdana"/>
          <w:sz w:val="20"/>
          <w:szCs w:val="20"/>
        </w:rPr>
        <w:t xml:space="preserve"> percentile of control subjects; the lower dotted lines indicate the 1</w:t>
      </w:r>
      <w:r>
        <w:rPr>
          <w:rFonts w:ascii="Verdana" w:hAnsi="Verdana"/>
          <w:sz w:val="20"/>
          <w:szCs w:val="20"/>
          <w:vertAlign w:val="superscript"/>
        </w:rPr>
        <w:t>st</w:t>
      </w:r>
      <w:r>
        <w:rPr>
          <w:rFonts w:ascii="Verdana" w:hAnsi="Verdana"/>
          <w:sz w:val="20"/>
          <w:szCs w:val="20"/>
        </w:rPr>
        <w:t xml:space="preserve"> and 10</w:t>
      </w:r>
      <w:r>
        <w:rPr>
          <w:rFonts w:ascii="Verdana" w:hAnsi="Verdana"/>
          <w:sz w:val="20"/>
          <w:szCs w:val="20"/>
          <w:vertAlign w:val="superscript"/>
        </w:rPr>
        <w:t>th</w:t>
      </w:r>
      <w:r>
        <w:rPr>
          <w:rFonts w:ascii="Verdana" w:hAnsi="Verdana"/>
          <w:sz w:val="20"/>
          <w:szCs w:val="20"/>
        </w:rPr>
        <w:t xml:space="preserve"> percentile of control subjects. B. Telomere length adjusted for age calculated by the difference between observed T/S ratio and the age adjusted normal value (T/S</w:t>
      </w:r>
      <w:r>
        <w:rPr>
          <w:rFonts w:ascii="Verdana" w:hAnsi="Verdana"/>
          <w:sz w:val="20"/>
          <w:szCs w:val="20"/>
          <w:vertAlign w:val="subscript"/>
        </w:rPr>
        <w:t>age adjusted</w:t>
      </w:r>
      <w:r>
        <w:rPr>
          <w:rFonts w:ascii="Verdana" w:hAnsi="Verdana"/>
          <w:sz w:val="20"/>
          <w:szCs w:val="20"/>
        </w:rPr>
        <w:t>) for TBD-PF patients without cancer (n=155) versus  with cancer (solid cancer n=14; MDS n=</w:t>
      </w:r>
      <w:r w:rsidR="006A3207">
        <w:rPr>
          <w:rFonts w:ascii="Verdana" w:hAnsi="Verdana"/>
          <w:sz w:val="20"/>
          <w:szCs w:val="20"/>
        </w:rPr>
        <w:t>6</w:t>
      </w:r>
      <w:r>
        <w:rPr>
          <w:rFonts w:ascii="Verdana" w:hAnsi="Verdana"/>
          <w:sz w:val="20"/>
          <w:szCs w:val="20"/>
        </w:rPr>
        <w:t>)) (-0.272 vs -0.2</w:t>
      </w:r>
      <w:r w:rsidR="006A3207">
        <w:rPr>
          <w:rFonts w:ascii="Verdana" w:hAnsi="Verdana"/>
          <w:sz w:val="20"/>
          <w:szCs w:val="20"/>
        </w:rPr>
        <w:t>35</w:t>
      </w:r>
      <w:r>
        <w:rPr>
          <w:rFonts w:ascii="Verdana" w:hAnsi="Verdana"/>
          <w:sz w:val="20"/>
          <w:szCs w:val="20"/>
        </w:rPr>
        <w:t>, p=0.</w:t>
      </w:r>
      <w:r w:rsidR="006A3207">
        <w:rPr>
          <w:rFonts w:ascii="Verdana" w:hAnsi="Verdana"/>
          <w:sz w:val="20"/>
          <w:szCs w:val="20"/>
        </w:rPr>
        <w:t>2</w:t>
      </w:r>
      <w:r>
        <w:rPr>
          <w:rFonts w:ascii="Verdana" w:hAnsi="Verdana"/>
          <w:sz w:val="20"/>
          <w:szCs w:val="20"/>
        </w:rPr>
        <w:t>2). C. Kaplan-Meier survival curve showing a median transplant-free survival of TBD-PF patients without cancer of 2.6 years (95%CI 1.8-3.5; n=152, green line) versus TBD-PF patients with cancer of 3.0 years (95%CI 2.0-4.0; n=21, blue line), p=0.9, vertical bars indicate censored</w:t>
      </w:r>
      <w:r>
        <w:rPr>
          <w:rFonts w:ascii="Verdana" w:hAnsi="Verdana"/>
          <w:b/>
          <w:sz w:val="20"/>
          <w:szCs w:val="20"/>
        </w:rPr>
        <w:t xml:space="preserve"> </w:t>
      </w:r>
    </w:p>
    <w:p w14:paraId="50804DC1" w14:textId="77777777" w:rsidR="00E02DA9" w:rsidRDefault="00E02DA9">
      <w:pPr>
        <w:rPr>
          <w:rFonts w:ascii="Verdana" w:hAnsi="Verdana"/>
          <w:b/>
          <w:sz w:val="20"/>
          <w:szCs w:val="20"/>
        </w:rPr>
      </w:pPr>
      <w:r>
        <w:rPr>
          <w:rFonts w:ascii="Verdana" w:hAnsi="Verdana"/>
          <w:b/>
          <w:sz w:val="20"/>
          <w:szCs w:val="20"/>
        </w:rPr>
        <w:br w:type="page"/>
      </w:r>
    </w:p>
    <w:p w14:paraId="3E62A26F" w14:textId="4EA7ABF0" w:rsidR="005D06C4" w:rsidRPr="00E02DA9" w:rsidRDefault="00E02DA9" w:rsidP="00E02DA9">
      <w:pPr>
        <w:tabs>
          <w:tab w:val="left" w:pos="8789"/>
        </w:tabs>
        <w:rPr>
          <w:rFonts w:ascii="Verdana" w:hAnsi="Verdana" w:cstheme="minorHAnsi"/>
          <w:sz w:val="20"/>
          <w:szCs w:val="20"/>
        </w:rPr>
      </w:pPr>
      <w:r w:rsidRPr="00DA341F">
        <w:rPr>
          <w:rFonts w:ascii="Verdana" w:hAnsi="Verdana" w:cstheme="minorHAnsi"/>
          <w:b/>
          <w:sz w:val="20"/>
          <w:szCs w:val="20"/>
        </w:rPr>
        <w:lastRenderedPageBreak/>
        <w:t>Table E1.</w:t>
      </w:r>
      <w:r w:rsidRPr="00DA341F">
        <w:rPr>
          <w:rFonts w:ascii="Verdana" w:hAnsi="Verdana" w:cstheme="minorHAnsi"/>
          <w:sz w:val="20"/>
          <w:szCs w:val="20"/>
        </w:rPr>
        <w:t xml:space="preserve"> Rare variants in telomere related genes in patients with pulmonary fibrosis included in this study</w:t>
      </w:r>
    </w:p>
    <w:tbl>
      <w:tblPr>
        <w:tblpPr w:leftFromText="142" w:rightFromText="142" w:topFromText="170" w:vertAnchor="text" w:horzAnchor="page" w:tblpX="852" w:tblpY="285"/>
        <w:tblW w:w="10513" w:type="dxa"/>
        <w:tblLayout w:type="fixed"/>
        <w:tblCellMar>
          <w:left w:w="70" w:type="dxa"/>
          <w:right w:w="70" w:type="dxa"/>
        </w:tblCellMar>
        <w:tblLook w:val="04A0" w:firstRow="1" w:lastRow="0" w:firstColumn="1" w:lastColumn="0" w:noHBand="0" w:noVBand="1"/>
      </w:tblPr>
      <w:tblGrid>
        <w:gridCol w:w="1098"/>
        <w:gridCol w:w="1591"/>
        <w:gridCol w:w="1701"/>
        <w:gridCol w:w="1507"/>
        <w:gridCol w:w="940"/>
        <w:gridCol w:w="761"/>
        <w:gridCol w:w="850"/>
        <w:gridCol w:w="2065"/>
      </w:tblGrid>
      <w:tr w:rsidR="005C5BE9" w:rsidRPr="006E42E0" w14:paraId="47D4DE6F" w14:textId="77777777" w:rsidTr="00E02DA9">
        <w:trPr>
          <w:trHeight w:val="70"/>
        </w:trPr>
        <w:tc>
          <w:tcPr>
            <w:tcW w:w="1098" w:type="dxa"/>
            <w:tcBorders>
              <w:top w:val="single" w:sz="4" w:space="0" w:color="auto"/>
              <w:left w:val="single" w:sz="4" w:space="0" w:color="auto"/>
              <w:bottom w:val="single" w:sz="4" w:space="0" w:color="auto"/>
              <w:right w:val="nil"/>
            </w:tcBorders>
            <w:shd w:val="clear" w:color="000000" w:fill="DDEBF7"/>
            <w:vAlign w:val="bottom"/>
            <w:hideMark/>
          </w:tcPr>
          <w:p w14:paraId="4D9DE4F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Gene</w:t>
            </w:r>
          </w:p>
        </w:tc>
        <w:tc>
          <w:tcPr>
            <w:tcW w:w="1591" w:type="dxa"/>
            <w:tcBorders>
              <w:top w:val="single" w:sz="4" w:space="0" w:color="auto"/>
              <w:left w:val="nil"/>
              <w:bottom w:val="single" w:sz="4" w:space="0" w:color="auto"/>
              <w:right w:val="nil"/>
            </w:tcBorders>
            <w:shd w:val="clear" w:color="000000" w:fill="DDEBF7"/>
            <w:vAlign w:val="bottom"/>
            <w:hideMark/>
          </w:tcPr>
          <w:p w14:paraId="3D65AA8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proofErr w:type="spellStart"/>
            <w:r w:rsidRPr="006E42E0">
              <w:rPr>
                <w:rFonts w:ascii="Verdana" w:eastAsia="Times New Roman" w:hAnsi="Verdana" w:cs="Arial"/>
                <w:color w:val="000000"/>
                <w:sz w:val="16"/>
                <w:szCs w:val="20"/>
                <w:lang w:val="nl-NL" w:eastAsia="nl-NL"/>
              </w:rPr>
              <w:t>Mutation</w:t>
            </w:r>
            <w:proofErr w:type="spellEnd"/>
          </w:p>
        </w:tc>
        <w:tc>
          <w:tcPr>
            <w:tcW w:w="1701" w:type="dxa"/>
            <w:tcBorders>
              <w:top w:val="single" w:sz="4" w:space="0" w:color="auto"/>
              <w:left w:val="nil"/>
              <w:bottom w:val="single" w:sz="4" w:space="0" w:color="auto"/>
              <w:right w:val="nil"/>
            </w:tcBorders>
            <w:shd w:val="clear" w:color="000000" w:fill="DDEBF7"/>
            <w:vAlign w:val="bottom"/>
            <w:hideMark/>
          </w:tcPr>
          <w:p w14:paraId="004BCBD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Transcript</w:t>
            </w:r>
          </w:p>
        </w:tc>
        <w:tc>
          <w:tcPr>
            <w:tcW w:w="1507" w:type="dxa"/>
            <w:tcBorders>
              <w:top w:val="single" w:sz="4" w:space="0" w:color="auto"/>
              <w:left w:val="nil"/>
              <w:bottom w:val="single" w:sz="4" w:space="0" w:color="auto"/>
              <w:right w:val="nil"/>
            </w:tcBorders>
            <w:shd w:val="clear" w:color="000000" w:fill="DDEBF7"/>
            <w:vAlign w:val="bottom"/>
            <w:hideMark/>
          </w:tcPr>
          <w:p w14:paraId="76D8E0C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Effect on </w:t>
            </w:r>
            <w:proofErr w:type="spellStart"/>
            <w:r w:rsidRPr="006E42E0">
              <w:rPr>
                <w:rFonts w:ascii="Verdana" w:eastAsia="Times New Roman" w:hAnsi="Verdana" w:cs="Arial"/>
                <w:color w:val="000000"/>
                <w:sz w:val="16"/>
                <w:szCs w:val="20"/>
                <w:lang w:val="nl-NL" w:eastAsia="nl-NL"/>
              </w:rPr>
              <w:t>protein</w:t>
            </w:r>
            <w:proofErr w:type="spellEnd"/>
          </w:p>
        </w:tc>
        <w:tc>
          <w:tcPr>
            <w:tcW w:w="940" w:type="dxa"/>
            <w:tcBorders>
              <w:top w:val="single" w:sz="4" w:space="0" w:color="auto"/>
              <w:left w:val="nil"/>
              <w:bottom w:val="single" w:sz="4" w:space="0" w:color="auto"/>
              <w:right w:val="nil"/>
            </w:tcBorders>
            <w:shd w:val="clear" w:color="000000" w:fill="DDEBF7"/>
            <w:vAlign w:val="bottom"/>
            <w:hideMark/>
          </w:tcPr>
          <w:p w14:paraId="7934506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ACMG </w:t>
            </w:r>
            <w:proofErr w:type="spellStart"/>
            <w:r w:rsidRPr="006E42E0">
              <w:rPr>
                <w:rFonts w:ascii="Verdana" w:eastAsia="Times New Roman" w:hAnsi="Verdana" w:cs="Arial"/>
                <w:color w:val="000000"/>
                <w:sz w:val="16"/>
                <w:szCs w:val="20"/>
                <w:lang w:val="nl-NL" w:eastAsia="nl-NL"/>
              </w:rPr>
              <w:t>classification</w:t>
            </w:r>
            <w:proofErr w:type="spellEnd"/>
          </w:p>
        </w:tc>
        <w:tc>
          <w:tcPr>
            <w:tcW w:w="761" w:type="dxa"/>
            <w:tcBorders>
              <w:top w:val="single" w:sz="4" w:space="0" w:color="auto"/>
              <w:left w:val="nil"/>
              <w:bottom w:val="single" w:sz="4" w:space="0" w:color="auto"/>
              <w:right w:val="nil"/>
            </w:tcBorders>
            <w:shd w:val="clear" w:color="000000" w:fill="DDEBF7"/>
            <w:vAlign w:val="bottom"/>
            <w:hideMark/>
          </w:tcPr>
          <w:p w14:paraId="66FCFE9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proofErr w:type="spellStart"/>
            <w:r w:rsidRPr="006E42E0">
              <w:rPr>
                <w:rFonts w:ascii="Verdana" w:eastAsia="Times New Roman" w:hAnsi="Verdana" w:cs="Arial"/>
                <w:color w:val="000000"/>
                <w:sz w:val="16"/>
                <w:szCs w:val="20"/>
                <w:lang w:val="nl-NL" w:eastAsia="nl-NL"/>
              </w:rPr>
              <w:t>Number</w:t>
            </w:r>
            <w:proofErr w:type="spellEnd"/>
            <w:r w:rsidRPr="006E42E0">
              <w:rPr>
                <w:rFonts w:ascii="Verdana" w:eastAsia="Times New Roman" w:hAnsi="Verdana" w:cs="Arial"/>
                <w:color w:val="000000"/>
                <w:sz w:val="16"/>
                <w:szCs w:val="20"/>
                <w:lang w:val="nl-NL" w:eastAsia="nl-NL"/>
              </w:rPr>
              <w:t xml:space="preserve"> of families</w:t>
            </w:r>
          </w:p>
        </w:tc>
        <w:tc>
          <w:tcPr>
            <w:tcW w:w="850" w:type="dxa"/>
            <w:tcBorders>
              <w:top w:val="single" w:sz="4" w:space="0" w:color="auto"/>
              <w:left w:val="nil"/>
              <w:bottom w:val="single" w:sz="4" w:space="0" w:color="auto"/>
              <w:right w:val="nil"/>
            </w:tcBorders>
            <w:shd w:val="clear" w:color="000000" w:fill="DDEBF7"/>
            <w:vAlign w:val="bottom"/>
            <w:hideMark/>
          </w:tcPr>
          <w:p w14:paraId="12BFE73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proofErr w:type="spellStart"/>
            <w:r w:rsidRPr="006E42E0">
              <w:rPr>
                <w:rFonts w:ascii="Verdana" w:eastAsia="Times New Roman" w:hAnsi="Verdana" w:cs="Arial"/>
                <w:color w:val="000000"/>
                <w:sz w:val="16"/>
                <w:szCs w:val="20"/>
                <w:lang w:val="nl-NL" w:eastAsia="nl-NL"/>
              </w:rPr>
              <w:t>Number</w:t>
            </w:r>
            <w:proofErr w:type="spellEnd"/>
            <w:r w:rsidRPr="006E42E0">
              <w:rPr>
                <w:rFonts w:ascii="Verdana" w:eastAsia="Times New Roman" w:hAnsi="Verdana" w:cs="Arial"/>
                <w:color w:val="000000"/>
                <w:sz w:val="16"/>
                <w:szCs w:val="20"/>
                <w:lang w:val="nl-NL" w:eastAsia="nl-NL"/>
              </w:rPr>
              <w:t xml:space="preserve"> of </w:t>
            </w:r>
            <w:proofErr w:type="spellStart"/>
            <w:r w:rsidRPr="006E42E0">
              <w:rPr>
                <w:rFonts w:ascii="Verdana" w:eastAsia="Times New Roman" w:hAnsi="Verdana" w:cs="Arial"/>
                <w:color w:val="000000"/>
                <w:sz w:val="16"/>
                <w:szCs w:val="20"/>
                <w:lang w:val="nl-NL" w:eastAsia="nl-NL"/>
              </w:rPr>
              <w:t>patients</w:t>
            </w:r>
            <w:proofErr w:type="spellEnd"/>
          </w:p>
        </w:tc>
        <w:tc>
          <w:tcPr>
            <w:tcW w:w="2065" w:type="dxa"/>
            <w:tcBorders>
              <w:top w:val="single" w:sz="4" w:space="0" w:color="auto"/>
              <w:left w:val="nil"/>
              <w:bottom w:val="single" w:sz="4" w:space="0" w:color="auto"/>
              <w:right w:val="single" w:sz="4" w:space="0" w:color="auto"/>
            </w:tcBorders>
            <w:shd w:val="clear" w:color="000000" w:fill="DDEBF7"/>
            <w:vAlign w:val="bottom"/>
            <w:hideMark/>
          </w:tcPr>
          <w:p w14:paraId="6715BBD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proofErr w:type="spellStart"/>
            <w:r w:rsidRPr="006E42E0">
              <w:rPr>
                <w:rFonts w:ascii="Verdana" w:eastAsia="Times New Roman" w:hAnsi="Verdana" w:cs="Arial"/>
                <w:color w:val="000000"/>
                <w:sz w:val="16"/>
                <w:szCs w:val="20"/>
                <w:lang w:val="nl-NL" w:eastAsia="nl-NL"/>
              </w:rPr>
              <w:t>References</w:t>
            </w:r>
            <w:proofErr w:type="spellEnd"/>
          </w:p>
        </w:tc>
      </w:tr>
      <w:tr w:rsidR="005C5BE9" w:rsidRPr="006E42E0" w14:paraId="51158827" w14:textId="77777777" w:rsidTr="00E02DA9">
        <w:tc>
          <w:tcPr>
            <w:tcW w:w="1098" w:type="dxa"/>
            <w:tcBorders>
              <w:top w:val="nil"/>
              <w:left w:val="single" w:sz="4" w:space="0" w:color="auto"/>
              <w:bottom w:val="nil"/>
              <w:right w:val="nil"/>
            </w:tcBorders>
            <w:shd w:val="clear" w:color="auto" w:fill="auto"/>
            <w:noWrap/>
            <w:vAlign w:val="bottom"/>
            <w:hideMark/>
          </w:tcPr>
          <w:p w14:paraId="4C66174C"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ACD</w:t>
            </w:r>
          </w:p>
        </w:tc>
        <w:tc>
          <w:tcPr>
            <w:tcW w:w="1591" w:type="dxa"/>
            <w:tcBorders>
              <w:top w:val="nil"/>
              <w:left w:val="nil"/>
              <w:bottom w:val="nil"/>
              <w:right w:val="nil"/>
            </w:tcBorders>
            <w:shd w:val="clear" w:color="auto" w:fill="auto"/>
            <w:noWrap/>
            <w:vAlign w:val="bottom"/>
            <w:hideMark/>
          </w:tcPr>
          <w:p w14:paraId="0398A9B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c.46C&gt;A</w:t>
            </w:r>
          </w:p>
        </w:tc>
        <w:tc>
          <w:tcPr>
            <w:tcW w:w="1701" w:type="dxa"/>
            <w:tcBorders>
              <w:top w:val="nil"/>
              <w:left w:val="nil"/>
              <w:bottom w:val="nil"/>
              <w:right w:val="nil"/>
            </w:tcBorders>
            <w:shd w:val="clear" w:color="auto" w:fill="auto"/>
            <w:noWrap/>
            <w:vAlign w:val="bottom"/>
            <w:hideMark/>
          </w:tcPr>
          <w:p w14:paraId="12B267B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NM_001082486.2</w:t>
            </w:r>
          </w:p>
        </w:tc>
        <w:tc>
          <w:tcPr>
            <w:tcW w:w="1507" w:type="dxa"/>
            <w:tcBorders>
              <w:top w:val="nil"/>
              <w:left w:val="nil"/>
              <w:bottom w:val="nil"/>
              <w:right w:val="nil"/>
            </w:tcBorders>
            <w:shd w:val="clear" w:color="auto" w:fill="auto"/>
            <w:noWrap/>
            <w:vAlign w:val="bottom"/>
            <w:hideMark/>
          </w:tcPr>
          <w:p w14:paraId="6141490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p.(Leu16Arg)</w:t>
            </w:r>
          </w:p>
        </w:tc>
        <w:tc>
          <w:tcPr>
            <w:tcW w:w="940" w:type="dxa"/>
            <w:tcBorders>
              <w:top w:val="nil"/>
              <w:left w:val="nil"/>
              <w:bottom w:val="nil"/>
              <w:right w:val="nil"/>
            </w:tcBorders>
            <w:shd w:val="clear" w:color="auto" w:fill="auto"/>
            <w:noWrap/>
            <w:vAlign w:val="bottom"/>
            <w:hideMark/>
          </w:tcPr>
          <w:p w14:paraId="209B1C7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79A0887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E9FA7F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6DFAFF0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3C98590A" w14:textId="77777777" w:rsidTr="00E02DA9">
        <w:tc>
          <w:tcPr>
            <w:tcW w:w="1098" w:type="dxa"/>
            <w:tcBorders>
              <w:top w:val="nil"/>
              <w:left w:val="single" w:sz="4" w:space="0" w:color="auto"/>
              <w:bottom w:val="nil"/>
              <w:right w:val="nil"/>
            </w:tcBorders>
            <w:shd w:val="clear" w:color="000000" w:fill="DDEBF7"/>
            <w:noWrap/>
            <w:vAlign w:val="bottom"/>
            <w:hideMark/>
          </w:tcPr>
          <w:p w14:paraId="42152266"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ACD</w:t>
            </w:r>
          </w:p>
        </w:tc>
        <w:tc>
          <w:tcPr>
            <w:tcW w:w="1591" w:type="dxa"/>
            <w:tcBorders>
              <w:top w:val="nil"/>
              <w:left w:val="nil"/>
              <w:bottom w:val="nil"/>
              <w:right w:val="nil"/>
            </w:tcBorders>
            <w:shd w:val="clear" w:color="000000" w:fill="DDEBF7"/>
            <w:noWrap/>
            <w:vAlign w:val="bottom"/>
            <w:hideMark/>
          </w:tcPr>
          <w:p w14:paraId="3FD581E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c.215C&gt;A</w:t>
            </w:r>
          </w:p>
        </w:tc>
        <w:tc>
          <w:tcPr>
            <w:tcW w:w="1701" w:type="dxa"/>
            <w:tcBorders>
              <w:top w:val="nil"/>
              <w:left w:val="nil"/>
              <w:bottom w:val="nil"/>
              <w:right w:val="nil"/>
            </w:tcBorders>
            <w:shd w:val="clear" w:color="000000" w:fill="DDEBF7"/>
            <w:noWrap/>
            <w:vAlign w:val="bottom"/>
            <w:hideMark/>
          </w:tcPr>
          <w:p w14:paraId="7CE5C63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NM_001082486.1</w:t>
            </w:r>
          </w:p>
        </w:tc>
        <w:tc>
          <w:tcPr>
            <w:tcW w:w="1507" w:type="dxa"/>
            <w:tcBorders>
              <w:top w:val="nil"/>
              <w:left w:val="nil"/>
              <w:bottom w:val="nil"/>
              <w:right w:val="nil"/>
            </w:tcBorders>
            <w:shd w:val="clear" w:color="000000" w:fill="DDEBF7"/>
            <w:noWrap/>
            <w:vAlign w:val="bottom"/>
            <w:hideMark/>
          </w:tcPr>
          <w:p w14:paraId="15F1645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p.(Ala72Glu)</w:t>
            </w:r>
          </w:p>
        </w:tc>
        <w:tc>
          <w:tcPr>
            <w:tcW w:w="940" w:type="dxa"/>
            <w:tcBorders>
              <w:top w:val="nil"/>
              <w:left w:val="nil"/>
              <w:bottom w:val="nil"/>
              <w:right w:val="nil"/>
            </w:tcBorders>
            <w:shd w:val="clear" w:color="000000" w:fill="DDEBF7"/>
            <w:noWrap/>
            <w:vAlign w:val="bottom"/>
            <w:hideMark/>
          </w:tcPr>
          <w:p w14:paraId="68A391A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6617C66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392243B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728D94F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13993003.00809-2019","ISSN":"13993003","author":[{"dropping-particle":"","family":"Hoffman","given":"T.W.","non-dropping-particle":"","parse-names":false,"suffix":""},{"dropping-particle":"","family":"Vis","given":"J.J.","non-dropping-particle":"Van Der","parse-names":false,"suffix":""},{"dropping-particle":"","family":"Smagt","given":"J.J.","non-dropping-particle":"Van Der","parse-names":false,"suffix":""},{"dropping-particle":"","family":"Massink","given":"M.P.G.","non-dropping-particle":"","parse-names":false,"suffix":""},{"dropping-particle":"","family":"Grutters","given":"J.C.","non-dropping-particle":"","parse-names":false,"suffix":""},{"dropping-particle":"","family":"Moorsel","given":"C.H.M.","non-dropping-particle":"Van","parse-names":false,"suffix":""}],"container-title":"European Respiratory Journal","id":"ITEM-1","issue":"6","issued":{"date-parts":[["2019"]]},"title":"Pulmonary fibrosis linked to variants in the ACD gene, encoding the telomere protein TPP1","type":"article-journal","volume":"54"},"uris":["http://www.mendeley.com/documents/?uuid=e4d0bd38-cf7d-31dc-a0a9-f466e85ee8e1"]}],"mendeley":{"formattedCitation":"(3)","plainTextFormattedCitation":"(3)","previouslyFormattedCitation":"(3)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w:t>
            </w:r>
            <w:r w:rsidRPr="006E42E0">
              <w:rPr>
                <w:rFonts w:ascii="Verdana" w:eastAsia="Times New Roman" w:hAnsi="Verdana" w:cs="Arial"/>
                <w:color w:val="000000"/>
                <w:sz w:val="16"/>
                <w:szCs w:val="20"/>
                <w:lang w:val="nl-NL" w:eastAsia="nl-NL"/>
              </w:rPr>
              <w:fldChar w:fldCharType="end"/>
            </w:r>
          </w:p>
        </w:tc>
      </w:tr>
      <w:tr w:rsidR="005C5BE9" w:rsidRPr="006E42E0" w14:paraId="0699A292" w14:textId="77777777" w:rsidTr="00E02DA9">
        <w:tc>
          <w:tcPr>
            <w:tcW w:w="1098" w:type="dxa"/>
            <w:tcBorders>
              <w:top w:val="nil"/>
              <w:left w:val="single" w:sz="4" w:space="0" w:color="auto"/>
              <w:bottom w:val="nil"/>
              <w:right w:val="nil"/>
            </w:tcBorders>
            <w:shd w:val="clear" w:color="auto" w:fill="auto"/>
            <w:noWrap/>
            <w:vAlign w:val="bottom"/>
            <w:hideMark/>
          </w:tcPr>
          <w:p w14:paraId="3B9CACF9"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ACD</w:t>
            </w:r>
          </w:p>
        </w:tc>
        <w:tc>
          <w:tcPr>
            <w:tcW w:w="1591" w:type="dxa"/>
            <w:tcBorders>
              <w:top w:val="nil"/>
              <w:left w:val="nil"/>
              <w:bottom w:val="nil"/>
              <w:right w:val="nil"/>
            </w:tcBorders>
            <w:shd w:val="clear" w:color="auto" w:fill="auto"/>
            <w:noWrap/>
            <w:vAlign w:val="bottom"/>
            <w:hideMark/>
          </w:tcPr>
          <w:p w14:paraId="04A4AC3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c.250_252del</w:t>
            </w:r>
          </w:p>
        </w:tc>
        <w:tc>
          <w:tcPr>
            <w:tcW w:w="1701" w:type="dxa"/>
            <w:tcBorders>
              <w:top w:val="nil"/>
              <w:left w:val="nil"/>
              <w:bottom w:val="nil"/>
              <w:right w:val="nil"/>
            </w:tcBorders>
            <w:shd w:val="clear" w:color="auto" w:fill="auto"/>
            <w:noWrap/>
            <w:vAlign w:val="bottom"/>
            <w:hideMark/>
          </w:tcPr>
          <w:p w14:paraId="3C6F991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NM_001082486.2</w:t>
            </w:r>
          </w:p>
        </w:tc>
        <w:tc>
          <w:tcPr>
            <w:tcW w:w="1507" w:type="dxa"/>
            <w:tcBorders>
              <w:top w:val="nil"/>
              <w:left w:val="nil"/>
              <w:bottom w:val="nil"/>
              <w:right w:val="nil"/>
            </w:tcBorders>
            <w:shd w:val="clear" w:color="auto" w:fill="auto"/>
            <w:noWrap/>
            <w:vAlign w:val="bottom"/>
            <w:hideMark/>
          </w:tcPr>
          <w:p w14:paraId="204FE7E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p.(Lys84del)</w:t>
            </w:r>
          </w:p>
        </w:tc>
        <w:tc>
          <w:tcPr>
            <w:tcW w:w="940" w:type="dxa"/>
            <w:tcBorders>
              <w:top w:val="nil"/>
              <w:left w:val="nil"/>
              <w:bottom w:val="nil"/>
              <w:right w:val="nil"/>
            </w:tcBorders>
            <w:shd w:val="clear" w:color="auto" w:fill="auto"/>
            <w:noWrap/>
            <w:vAlign w:val="bottom"/>
            <w:hideMark/>
          </w:tcPr>
          <w:p w14:paraId="34809B1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44CB1CE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3F205EF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auto" w:fill="auto"/>
            <w:noWrap/>
            <w:vAlign w:val="bottom"/>
            <w:hideMark/>
          </w:tcPr>
          <w:p w14:paraId="57E851D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{"citationItems":[{"id":"ITEM-1","itemData":{"DOI":"10.1182/BLOOD-2014-08-596445","ISSN":"15280020","PMID":"25205116","abstract":"Telomerase is a ribonucleoprotein enzyme that is necessary for overcoming telomere shortening In human germ and stem cells. Mutations in telomerase or other telomeremaintenance proteins can lead to diseases characterized by depletion of hematopoietic stem cells and bone marrowfailure (BMF). Telomerase localization to telomeres requires an interaction with a region on the surface of the telomere-binding protein TPP1 known as the TEL patch. Here, we Identify a family with aplastic anemia and other related hematopoietic disorders in which a 1-amino-acid deletion In the TEL patch of TPP1 (ΔK170) segregates with disease. All family members carrying this mutation, but not those with wild-type TPP1, have short telomeres. When introduced into 293T cells, TPP1 with the ΔK170 mutation is able to localize to telomeres but fails to recruit telomerase to telomeres, supporting a causal relationship between this TPP1 mutation and bone marrow disorders. ACD/TPP1 is thus a newly identified telomere-related gene in which mutations cause aplastic anemia and related BMF disorders. (Blood. 2014;124(18):2767-2774)","author":[{"dropping-particle":"","family":"Guo","given":"Yiran","non-dropping-particle":"","parse-names":false,"suffix":""},{"dropping-particle":"","family":"Kartawinata","given":"Melissa","non-dropping-particle":"","parse-names":false,"suffix":""},{"dropping-particle":"","family":"Li","given":"Jiankang","non-dropping-particle":"","parse-names":false,"suffix":""},{"dropping-particle":"","family":"Pickett","given":"Hilda A.","non-dropping-particle":"","parse-names":false,"suffix":""},{"dropping-particle":"","family":"Teo","given":"Juliana","non-dropping-particle":"","parse-names":false,"suffix":""},{"dropping-particle":"","family":"Kilo","given":"Tatjana","non-dropping-particle":"","parse-names":false,"suffix":""},{"dropping-particle":"","family":"Barbaro","given":"Pasquale M.","non-dropping-particle":"","parse-names":false,"suffix":""},{"dropping-particle":"","family":"Keating","given":"Brendan","non-dropping-particle":"","parse-names":false,"suffix":""},{"dropping-particle":"","family":"Chen","given":"Yulan","non-dropping-particle":"","parse-names":false,"suffix":""},{"dropping-particle":"","family":"Tian","given":"Lifeng","non-dropping-particle":"","parse-names":false,"suffix":""},{"dropping-particle":"","family":"Al-Odaib","given":"Ahmad","non-dropping-particle":"","parse-names":false,"suffix":""},{"dropping-particle":"","family":"Reddel","given":"Roger R.","non-dropping-particle":"","parse-names":false,"suffix":""},{"dropping-particle":"","family":"Christodoulou","given":"John","non-dropping-particle":"","parse-names":false,"suffix":""},{"dropping-particle":"","family":"Xu","given":"Xun","non-dropping-particle":"","parse-names":false,"suffix":""},{"dropping-particle":"","family":"Hakonarson","given":"Hakon","non-dropping-particle":"","parse-names":false,"suffix":""},{"dropping-particle":"","family":"Bryan","given":"Tracy M.","non-dropping-particle":"","parse-names":false,"suffix":""}],"container-title":"Blood","id":"ITEM-1","issue":"18","issued":{"date-parts":[["2014","10","30"]]},"page":"2767","publisher":"American Society of Hematology","title":"Inherited bone marrow failure associated with germline mutation of ACD, the gene encoding telomere protein TPP1","type":"article-journal","volume":"124"},"uris":["http://www.mendeley.com/documents/?uuid=b565b81c-f0d3-3eb7-9fbe-1d95133cf133"]},{"id":"ITEM-2","itemData":{"DOI":"10.1101/GAD.248567.114","ISSN":"15495477","PMID":"25233904","abstract":"Germline mutations in telomere biology genes cause dyskeratosis congenita (DC), an inherited bone marrow failure and cancer predisposition syndrome. DC is a clinically heterogeneous disorder diagnosed by the triad of dysplastic nails, abnormal skin pigmentation, and oral leukoplakia; Hoyeraal-Hreidarsson syndrome (HH), a clinically severe variant of DC, also includes cerebellar hypoplasia, immunodeficiency, and intrauterine growth retardation. Approximately 70% of DC cases are associated with a germline mutation in one of nine genes, the products of which are all involved in telomere biology. Using exome sequencing, we identified mutations in Adrenocortical Dysplasia Homolog (ACD) (encoding TPP1), a component of the telomeric shelterin complex, in one family affected by HH. The proband inherited a deletion from his father and a missense mutation from his mother, resulting in extremely short telomeres and a severe clinical phenotype. Characterization of the mutations revealed that the single-amino-acid deletion affecting the TEL patch surface of the TPP1 protein significantly compromises both telomerase recruitment and processivity, while the missense mutation in the TIN2-binding region of TPP1 is not as clearly deleterious to TPP1 function. Our results emphasize the critical roles of the TEL patch in proper stem cell function and demonstrate that TPP1 is the second shelterin component (in addition to TIN2) to be implicated in DC.","author":[{"dropping-particle":"","family":"Kocak","given":"Hande","non-dropping-particle":"","parse-names":false,"suffix":""},{"dropping-particle":"","family":"Ballew","given":"Bari J.","non-dropping-particle":"","parse-names":false,"suffix":""},{"dropping-particle":"","family":"Bisht","given":"Kamlesh","non-dropping-particle":"","parse-names":false,"suffix":""},{"dropping-particle":"","family":"Eggebeen","given":"Rebecca","non-dropping-particle":"","parse-names":false,"suffix":""},{"dropping-particle":"","family":"Hicks","given":"Belynda D.","non-dropping-particle":"","parse-names":false,"suffix":""},{"dropping-particle":"","family":"Suman","given":"Shalabh","non-dropping-particle":"","parse-names":false,"suffix":""},{"dropping-particle":"","family":"O'Neil","given":"Adri","non-dropping-particle":"","parse-names":false,"suffix":""},{"dropping-particle":"","family":"Giri","given":"Neelam","non-dropping-particle":"","parse-names":false,"suffix":""},{"dropping-particle":"","family":"Bass","given":"Sara","non-dropping-particle":"","parse-names":false,"suffix":""},{"dropping-particle":"","family":"Boland","given":"Joseph","non-dropping-particle":"","parse-names":false,"suffix":""},{"dropping-particle":"","family":"Burdett","given":"Laurie","non-dropping-particle":"","parse-names":false,"suffix":""},{"dropping-particle":"","family":"Chowdhury","given":"Salma","non-dropping-particle":"","parse-names":false,"suffix":""},{"dropping-particle":"","family":"Cullen","given":"Michael","non-dropping-particle":"","parse-names":false,"suffix":""},{"dropping-particle":"","family":"Dagnall","given":"Casey","non-dropping-particle":"","parse-names":false,"suffix":""},{"dropping-particle":"","family":"Higson","given":"Herbert","non-dropping-particle":"","parse-names":false,"suffix":""},{"dropping-particle":"","family":"Hutchinson","given":"Amy A.","non-dropping-particle":"","parse-names":false,"suffix":""},{"dropping-particle":"","family":"Jones","given":"Kristine","non-dropping-particle":"","parse-names":false,"suffix":""},{"dropping-particle":"","family":"Larson","given":"Sally","non-dropping-particle":"","parse-names":false,"suffix":""},{"dropping-particle":"","family":"Lashley","given":"Kerrie","non-dropping-particle":"","parse-names":false,"suffix":""},{"dropping-particle":"","family":"Lee","given":"Hyo Jung","non-dropping-particle":"","parse-names":false,"suffix":""},{"dropping-particle":"","family":"Luo","given":"Wen","non-dropping-particle":"","parse-names":false,"suffix":""},{"dropping-particle":"","family":"Malasky","given":"Michael","non-dropping-particle":"","parse-names":false,"suffix":""},{"dropping-particle":"","family":"Manning","given":"Michelle","non-dropping-particle":"","parse-names":false,"suffix":""},{"dropping-particle":"","family":"Mitchell","given":"Jason","non-dropping-particle":"","parse-names":false,"suffix":""},{"dropping-particle":"","family":"Roberson","given":"David","non-dropping-particle":"","parse-names":false,"suffix":""},{"dropping-particle":"","family":"Vogt","given":"Aurelie","non-dropping-particle":"","parse-names":false,"suffix":""},{"dropping-particle":"","family":"Wang","given":"Mingyi","non-dropping-particle":"","parse-names":false,"suffix":""},{"dropping-particle":"","family":"Yeager","given":"Meredith","non-dropping-particle":"","parse-names":false,"suffix":""},{"dropping-particle":"","family":"Zhang","given":"Xijun","non-dropping-particle":"","parse-names":false,"suffix":""},{"dropping-particle":"","family":"Caporaso","given":"Neil E.","non-dropping-particle":"","parse-names":false,"suffix":""},{"dropping-particle":"","family":"Chanock","given":"Stephen J.","non-dropping-particle":"","parse-names":false,"suffix":""},{"dropping-particle":"","family":"Greene","given":"Mark H.","non-dropping-particle":"","parse-names":false,"suffix":""},{"dropping-particle":"","family":"Goldin","given":"Lynn R.","non-dropping-particle":"","parse-names":false,"suffix":""},{"dropping-particle":"","family":"Goldstein","given":"Alisa M.","non-dropping-particle":"","parse-names":false,"suffix":""},{"dropping-particle":"","family":"Hildesheim","given":"Allan","non-dropping-particle":"","parse-names":false,"suffix":""},{"dropping-particle":"","family":"Hu","given":"Nan","non-dropping-particle":"","parse-names":false,"suffix":""},{"dropping-particle":"","family":"Landi","given":"Maria Teresa","non-dropping-particle":"","parse-names":false,"suffix":""},{"dropping-particle":"","family":"Loud","given":"Jennifer","non-dropping-particle":"","parse-names":false,"suffix":""},{"dropping-particle":"","family":"Mai","given":"Phuong L.","non-dropping-particle":"","parse-names":false,"suffix":""},{"dropping-particle":"","family":"McMaster","given":"Mary L.","non-dropping-particle":"","parse-names":false,"suffix":""},{"dropping-particle":"","family":"Mirabello","given":"Lisa","non-dropping-particle":"","parse-names":false,"suffix":""},{"dropping-particle":"","family":"Morton","given":"Lindsay","non-dropping-particle":"","parse-names":false,"suffix":""},{"dropping-particle":"","family":"Parry","given":"Dilys","non-dropping-particle":"","parse-names":false,"suffix":""},{"dropping-particle":"","family":"Pathak","given":"Anand","non-dropping-particle":"","parse-names":false,"suffix":""},{"dropping-particle":"","family":"Rotunno","given":"Melissa","non-dropping-particle":"","parse-names":false,"suffix":""},{"dropping-particle":"","family":"Stewart","given":"Douglas R.","non-dropping-particle":"","parse-names":false,"suffix":""},{"dropping-particle":"","family":"Taylor","given":"Phil","non-dropping-particle":"","parse-names":false,"suffix":""},{"dropping-particle":"","family":"Tobias","given":"Geoffrey S.","non-dropping-particle":"","parse-names":false,"suffix":""},{"dropping-particle":"","family":"Tucker","given":"Margaret A.","non-dropping-particle":"","parse-names":false,"suffix":""},{"dropping-particle":"","family":"Wong","given":"Jeannette","non-dropping-particle":"","parse-names":false,"suffix":""},{"dropping-particle":"","family":"Yang","given":"Xiaohong R.","non-dropping-particle":"","parse-names":false,"suffix":""},{"dropping-particle":"","family":"Yu","given":"Guoqin","non-dropping-particle":"","parse-names":false,"suffix":""},{"dropping-particle":"","family":"Maillard","given":"Ivan","non-dropping-particle":"","parse-names":false,"suffix":""},{"dropping-particle":"","family":"Alter","given":"Blanche P.","non-dropping-particle":"","parse-names":false,"suffix":""},{"dropping-particle":"","family":"Keegan","given":"Catherine E.","non-dropping-particle":"","parse-names":false,"suffix":""},{"dropping-particle":"","family":"Nandakumar","given":"Jayakrishnan","non-dropping-particle":"","parse-names":false,"suffix":""},{"dropping-particle":"","family":"Savage","given":"Sharon A.","non-dropping-particle":"","parse-names":false,"suffix":""}],"container-title":"Genes &amp; Development","id":"ITEM-2","issue":"19","issued":{"date-parts":[["2014","10","1"]]},"page":"2090","publisher":"Cold Spring Harbor Laboratory Press","title":"Hoyeraal-Hreidarsson syndrome caused by a germline mutation in the TEL patch of the telomere protein TPP1","type":"article-journal","volume":"28"},"uris":["http://www.mendeley.com/documents/?uuid=b524326b-36dc-39f9-ab41-e87ec32fd69c"]},{"id":"ITEM-3","itemData":{"DOI":"10.1183/13993003.00809-2019","ISSN":"13993003","author":[{"dropping-particle":"","family":"Hoffman","given":"T.W.","non-dropping-particle":"","parse-names":false,"suffix":""},{"dropping-particle":"","family":"Vis","given":"J.J.","non-dropping-particle":"Van Der","parse-names":false,"suffix":""},{"dropping-particle":"","family":"Smagt","given":"J.J.","non-dropping-particle":"Van Der","parse-names":false,"suffix":""},{"dropping-particle":"","family":"Massink","given":"M.P.G.","non-dropping-particle":"","parse-names":false,"suffix":""},{"dropping-particle":"","family":"Grutters","given":"J.C.","non-dropping-particle":"","parse-names":false,"suffix":""},{"dropping-particle":"","family":"Moorsel","given":"C.H.M.","non-dropping-particle":"Van","parse-names":false,"suffix":""}],"container-title":"European Respiratory Journal","id":"ITEM-3","issue":"6","issued":{"date-parts":[["2019"]]},"title":"Pulmonary fibrosis linked to variants in the ACD gene, encoding the telomere protein TPP1","type":"article-journal","volume":"54"},"uris":["http://www.mendeley.com/documents/?uuid=e4d0bd38-cf7d-31dc-a0a9-f466e85ee8e1"]}],"mendeley":{"formattedCitation":"(3–5)","plainTextFormattedCitation":"(3–5)","previouslyFormattedCitation":"(3–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(3–5)</w:t>
            </w:r>
            <w:r w:rsidRPr="006E42E0">
              <w:rPr>
                <w:rFonts w:ascii="Verdana" w:eastAsia="Times New Roman" w:hAnsi="Verdana" w:cs="Arial"/>
                <w:color w:val="000000"/>
                <w:sz w:val="16"/>
                <w:szCs w:val="20"/>
                <w:lang w:val="nl-NL" w:eastAsia="nl-NL"/>
              </w:rPr>
              <w:fldChar w:fldCharType="end"/>
            </w:r>
            <w:r w:rsidRPr="006E42E0">
              <w:rPr>
                <w:rFonts w:ascii="Verdana" w:eastAsia="Times New Roman" w:hAnsi="Verdana" w:cs="Arial"/>
                <w:color w:val="000000"/>
                <w:sz w:val="16"/>
                <w:szCs w:val="20"/>
                <w:lang w:val="nl-NL" w:eastAsia="nl-NL"/>
              </w:rPr>
              <w:t xml:space="preserve"> </w:t>
            </w:r>
          </w:p>
        </w:tc>
      </w:tr>
      <w:tr w:rsidR="005C5BE9" w:rsidRPr="006E42E0" w14:paraId="277AAB24" w14:textId="77777777" w:rsidTr="00E02DA9">
        <w:tc>
          <w:tcPr>
            <w:tcW w:w="1098" w:type="dxa"/>
            <w:tcBorders>
              <w:top w:val="nil"/>
              <w:left w:val="single" w:sz="4" w:space="0" w:color="auto"/>
              <w:bottom w:val="single" w:sz="4" w:space="0" w:color="auto"/>
              <w:right w:val="nil"/>
            </w:tcBorders>
            <w:shd w:val="clear" w:color="000000" w:fill="DDEBF7"/>
            <w:noWrap/>
            <w:vAlign w:val="bottom"/>
            <w:hideMark/>
          </w:tcPr>
          <w:p w14:paraId="4EFE6440"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ACD</w:t>
            </w:r>
          </w:p>
        </w:tc>
        <w:tc>
          <w:tcPr>
            <w:tcW w:w="1591" w:type="dxa"/>
            <w:tcBorders>
              <w:top w:val="nil"/>
              <w:left w:val="nil"/>
              <w:bottom w:val="single" w:sz="4" w:space="0" w:color="auto"/>
              <w:right w:val="nil"/>
            </w:tcBorders>
            <w:shd w:val="clear" w:color="000000" w:fill="DDEBF7"/>
            <w:noWrap/>
            <w:vAlign w:val="bottom"/>
            <w:hideMark/>
          </w:tcPr>
          <w:p w14:paraId="1058C15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c.250A&gt;G</w:t>
            </w:r>
          </w:p>
        </w:tc>
        <w:tc>
          <w:tcPr>
            <w:tcW w:w="1701" w:type="dxa"/>
            <w:tcBorders>
              <w:top w:val="nil"/>
              <w:left w:val="nil"/>
              <w:bottom w:val="single" w:sz="4" w:space="0" w:color="auto"/>
              <w:right w:val="nil"/>
            </w:tcBorders>
            <w:shd w:val="clear" w:color="000000" w:fill="DDEBF7"/>
            <w:noWrap/>
            <w:vAlign w:val="bottom"/>
            <w:hideMark/>
          </w:tcPr>
          <w:p w14:paraId="37FE1B7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NM_001082486.2</w:t>
            </w:r>
          </w:p>
        </w:tc>
        <w:tc>
          <w:tcPr>
            <w:tcW w:w="1507" w:type="dxa"/>
            <w:tcBorders>
              <w:top w:val="nil"/>
              <w:left w:val="nil"/>
              <w:bottom w:val="single" w:sz="4" w:space="0" w:color="auto"/>
              <w:right w:val="nil"/>
            </w:tcBorders>
            <w:shd w:val="clear" w:color="000000" w:fill="DDEBF7"/>
            <w:noWrap/>
            <w:vAlign w:val="bottom"/>
            <w:hideMark/>
          </w:tcPr>
          <w:p w14:paraId="2A71986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p.(Lys84Glu)</w:t>
            </w:r>
          </w:p>
        </w:tc>
        <w:tc>
          <w:tcPr>
            <w:tcW w:w="940" w:type="dxa"/>
            <w:tcBorders>
              <w:top w:val="nil"/>
              <w:left w:val="nil"/>
              <w:bottom w:val="single" w:sz="4" w:space="0" w:color="auto"/>
              <w:right w:val="nil"/>
            </w:tcBorders>
            <w:shd w:val="clear" w:color="000000" w:fill="DDEBF7"/>
            <w:noWrap/>
            <w:vAlign w:val="bottom"/>
            <w:hideMark/>
          </w:tcPr>
          <w:p w14:paraId="62F062E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single" w:sz="4" w:space="0" w:color="auto"/>
              <w:right w:val="nil"/>
            </w:tcBorders>
            <w:shd w:val="clear" w:color="000000" w:fill="DDEBF7"/>
            <w:noWrap/>
            <w:vAlign w:val="bottom"/>
            <w:hideMark/>
          </w:tcPr>
          <w:p w14:paraId="3B0F670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850" w:type="dxa"/>
            <w:tcBorders>
              <w:top w:val="nil"/>
              <w:left w:val="nil"/>
              <w:bottom w:val="single" w:sz="4" w:space="0" w:color="auto"/>
              <w:right w:val="nil"/>
            </w:tcBorders>
            <w:shd w:val="clear" w:color="000000" w:fill="DDEBF7"/>
            <w:noWrap/>
            <w:vAlign w:val="bottom"/>
            <w:hideMark/>
          </w:tcPr>
          <w:p w14:paraId="58F03DF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3</w:t>
            </w:r>
          </w:p>
        </w:tc>
        <w:tc>
          <w:tcPr>
            <w:tcW w:w="2065" w:type="dxa"/>
            <w:tcBorders>
              <w:top w:val="nil"/>
              <w:left w:val="nil"/>
              <w:bottom w:val="single" w:sz="4" w:space="0" w:color="auto"/>
              <w:right w:val="single" w:sz="4" w:space="0" w:color="auto"/>
            </w:tcBorders>
            <w:shd w:val="clear" w:color="000000" w:fill="DDEBF7"/>
            <w:noWrap/>
            <w:vAlign w:val="bottom"/>
            <w:hideMark/>
          </w:tcPr>
          <w:p w14:paraId="13866FC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13993003.00809-2019","ISSN":"13993003","author":[{"dropping-particle":"","family":"Hoffman","given":"T.W.","non-dropping-particle":"","parse-names":false,"suffix":""},{"dropping-particle":"","family":"Vis","given":"J.J.","non-dropping-particle":"Van Der","parse-names":false,"suffix":""},{"dropping-particle":"","family":"Smagt","given":"J.J.","non-dropping-particle":"Van Der","parse-names":false,"suffix":""},{"dropping-particle":"","family":"Massink","given":"M.P.G.","non-dropping-particle":"","parse-names":false,"suffix":""},{"dropping-particle":"","family":"Grutters","given":"J.C.","non-dropping-particle":"","parse-names":false,"suffix":""},{"dropping-particle":"","family":"Moorsel","given":"C.H.M.","non-dropping-particle":"Van","parse-names":false,"suffix":""}],"container-title":"European Respiratory Journal","id":"ITEM-1","issue":"6","issued":{"date-parts":[["2019"]]},"title":"Pulmonary fibrosis linked to variants in the ACD gene, encoding the telomere protein TPP1","type":"article-journal","volume":"54"},"uris":["http://www.mendeley.com/documents/?uuid=e4d0bd38-cf7d-31dc-a0a9-f466e85ee8e1"]}],"mendeley":{"formattedCitation":"(3)","plainTextFormattedCitation":"(3)","previouslyFormattedCitation":"(3)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w:t>
            </w:r>
            <w:r w:rsidRPr="006E42E0">
              <w:rPr>
                <w:rFonts w:ascii="Verdana" w:eastAsia="Times New Roman" w:hAnsi="Verdana" w:cs="Arial"/>
                <w:color w:val="000000"/>
                <w:sz w:val="16"/>
                <w:szCs w:val="20"/>
                <w:lang w:val="nl-NL" w:eastAsia="nl-NL"/>
              </w:rPr>
              <w:fldChar w:fldCharType="end"/>
            </w:r>
          </w:p>
        </w:tc>
      </w:tr>
      <w:tr w:rsidR="005C5BE9" w:rsidRPr="006E42E0" w14:paraId="5C71078B" w14:textId="77777777" w:rsidTr="00E02DA9">
        <w:tc>
          <w:tcPr>
            <w:tcW w:w="1098" w:type="dxa"/>
            <w:tcBorders>
              <w:top w:val="nil"/>
              <w:left w:val="single" w:sz="4" w:space="0" w:color="auto"/>
              <w:bottom w:val="nil"/>
              <w:right w:val="nil"/>
            </w:tcBorders>
            <w:shd w:val="clear" w:color="auto" w:fill="auto"/>
            <w:noWrap/>
            <w:vAlign w:val="bottom"/>
            <w:hideMark/>
          </w:tcPr>
          <w:p w14:paraId="28043E00"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nil"/>
              <w:right w:val="nil"/>
            </w:tcBorders>
            <w:shd w:val="clear" w:color="auto" w:fill="auto"/>
            <w:noWrap/>
            <w:vAlign w:val="bottom"/>
            <w:hideMark/>
          </w:tcPr>
          <w:p w14:paraId="45CB492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c.98C&gt;T</w:t>
            </w:r>
          </w:p>
        </w:tc>
        <w:tc>
          <w:tcPr>
            <w:tcW w:w="1701" w:type="dxa"/>
            <w:tcBorders>
              <w:top w:val="nil"/>
              <w:left w:val="nil"/>
              <w:bottom w:val="nil"/>
              <w:right w:val="nil"/>
            </w:tcBorders>
            <w:shd w:val="clear" w:color="auto" w:fill="auto"/>
            <w:noWrap/>
            <w:vAlign w:val="bottom"/>
            <w:hideMark/>
          </w:tcPr>
          <w:p w14:paraId="22C193F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NM_001134477.2</w:t>
            </w:r>
          </w:p>
        </w:tc>
        <w:tc>
          <w:tcPr>
            <w:tcW w:w="1507" w:type="dxa"/>
            <w:tcBorders>
              <w:top w:val="nil"/>
              <w:left w:val="nil"/>
              <w:bottom w:val="nil"/>
              <w:right w:val="nil"/>
            </w:tcBorders>
            <w:shd w:val="clear" w:color="auto" w:fill="auto"/>
            <w:noWrap/>
            <w:vAlign w:val="bottom"/>
            <w:hideMark/>
          </w:tcPr>
          <w:p w14:paraId="775632C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p.(Pro33Leu)</w:t>
            </w:r>
          </w:p>
        </w:tc>
        <w:tc>
          <w:tcPr>
            <w:tcW w:w="940" w:type="dxa"/>
            <w:tcBorders>
              <w:top w:val="nil"/>
              <w:left w:val="nil"/>
              <w:bottom w:val="nil"/>
              <w:right w:val="nil"/>
            </w:tcBorders>
            <w:shd w:val="clear" w:color="auto" w:fill="auto"/>
            <w:noWrap/>
            <w:vAlign w:val="bottom"/>
            <w:hideMark/>
          </w:tcPr>
          <w:p w14:paraId="40E8255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24EE257F"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3</w:t>
            </w:r>
          </w:p>
        </w:tc>
        <w:tc>
          <w:tcPr>
            <w:tcW w:w="850" w:type="dxa"/>
            <w:tcBorders>
              <w:top w:val="nil"/>
              <w:left w:val="nil"/>
              <w:bottom w:val="nil"/>
              <w:right w:val="nil"/>
            </w:tcBorders>
            <w:shd w:val="clear" w:color="auto" w:fill="auto"/>
            <w:noWrap/>
            <w:vAlign w:val="bottom"/>
            <w:hideMark/>
          </w:tcPr>
          <w:p w14:paraId="5F21424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5</w:t>
            </w:r>
          </w:p>
        </w:tc>
        <w:tc>
          <w:tcPr>
            <w:tcW w:w="2065" w:type="dxa"/>
            <w:tcBorders>
              <w:top w:val="nil"/>
              <w:left w:val="nil"/>
              <w:bottom w:val="nil"/>
              <w:right w:val="single" w:sz="4" w:space="0" w:color="auto"/>
            </w:tcBorders>
            <w:shd w:val="clear" w:color="auto" w:fill="auto"/>
            <w:noWrap/>
            <w:vAlign w:val="bottom"/>
            <w:hideMark/>
          </w:tcPr>
          <w:p w14:paraId="19F80F5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{"citationItems":[{"id":"ITEM-1","itemData":{"DOI":"10.1016/S2213-2600(18)30135-8","ISSN":"22132619","PMID":"29891356","abstract":"Background: Idiopathic pulmonary fibrosis (IPF) risk has a strong genetic component. Studies have implicated variations at several loci, including TERT, surfactant genes, and a single nucleotide polymorphism at chr11p15 (rs35705950) in the intergenic region between TOLLIP and MUC5B. Patients with IPF who have risk alleles at rs35705950 have longer survival from the time of IPF diagnosis than do patients homozygous for the non-risk allele, whereas patients with shorter telomeres have shorter survival times. We aimed to assess whether rare protein-altering variants in genes regulating telomere length are enriched in patients with IPF homozygous for the non-risk alleles at rs35705950. Methods: Between Nov 1, 2014, and Nov 1, 2016, we assessed blood samples from patients aged 40 years or older and of European ancestry with sporadic IPF from three international phase 3 clinical trials (INSPIRE, CAPACITY, ASCEND), one phase 2 study (RIFF), and US-based observational studies (Vanderbilt Clinical Interstitial Lung Disease Registry and the UCSF Interstitial Lung Disease Clinic registry cohorts) at the Broad Institute (Cambridge, MA, USA) and Human Longevity (San Diego, CA, USA). We also assessed blood samples from non-IPF controls in several clinical trials. We did whole-genome sequencing to assess telomere length and identify rare protein-altering variants, stratified by rs35705950 genotype. We also assessed rare functional variation in TERT exons and compared telomere length and disease progression across genotypes. Findings: We assessed samples from 1510 patients with IPF and 1874 non-IPF controls. 30 (3%) of 1046 patients with an rs35705950 risk allele had a rare protein-altering variant in TERT compared with 34 (7%) of 464 non-risk allele carriers (odds ratio 0·40 [95% CI 0·24–0·66], p=0·00039). Subsequent analyses identified enrichment of rare protein-altering variants in PARN and RTEL1, and rare variation in TERC in patients with IPF compared with controls. We expanded our study population to provide a more accurate estimation of rare variant frequency in these four loci, and to calculate telomere length. The proportion of patients with at least one rare variant in TERT, PARN, TERC, or RTEL1 was higher in patients with IPF than in controls (149 [9%] of 1739 patients vs 205 [2%] of 8645 controls, p=2·44 × 10−8). Patients with IPF who had a variant in any of the four identified telomerase component genes had telomeres that were 3·69–16·10% shorter than pati…","author":[{"dropping-particle":"","family":"Dressen","given":"Amy","non-dropping-particle":"","parse-names":false,"suffix":""},{"dropping-particle":"","family":"Abbas","given":"Alexander R.","non-dropping-particle":"","parse-names":false,"suffix":""},{"dropping-particle":"","family":"Cabanski","given":"Christopher","non-dropping-particle":"","parse-names":false,"suffix":""},{"dropping-particle":"","family":"Reeder","given":"Janina","non-dropping-particle":"","parse-names":false,"suffix":""},{"dropping-particle":"","family":"Ramalingam","given":"Thirumalai R.","non-dropping-particle":"","parse-names":false,"suffix":""},{"dropping-particle":"","family":"Neighbors","given":"Margaret","non-dropping-particle":"","parse-names":false,"suffix":""},{"dropping-particle":"","family":"Bhangale","given":"Tushar R.","non-dropping-particle":"","parse-names":false,"suffix":""},{"dropping-particle":"","family":"Brauer","given":"Matthew J.","non-dropping-particle":"","parse-names":false,"suffix":""},{"dropping-particle":"","family":"Hunkapiller","given":"Julie","non-dropping-particle":"","parse-names":false,"suffix":""},{"dropping-particle":"","family":"Reeder","given":"Jens","non-dropping-particle":"","parse-names":false,"suffix":""},{"dropping-particle":"","family":"Mukhyala","given":"Kiran","non-dropping-particle":"","parse-names":false,"suffix":""},{"dropping-particle":"","family":"Cuenco","given":"Karen","non-dropping-particle":"","parse-names":false,"suffix":""},{"dropping-particle":"","family":"Tom","given":"Jennifer","non-dropping-particle":"","parse-names":false,"suffix":""},{"dropping-particle":"","family":"Cowgill","given":"Amy","non-dropping-particle":"","parse-names":false,"suffix":""},{"dropping-particle":"","family":"Vogel","given":"Jan","non-dropping-particle":"","parse-names":false,"suffix":""},{"dropping-particle":"","family":"Forrest","given":"William F.","non-dropping-particle":"","parse-names":false,"suffix":""},{"dropping-particle":"","family":"Collard","given":"Harold R.","non-dropping-particle":"","parse-names":false,"suffix":""},{"dropping-particle":"","family":"Wolters","given":"Paul J.","non-dropping-particle":"","parse-names":false,"suffix":""},{"dropping-particle":"","family":"Kropski","given":"Jonathan A.","non-dropping-particle":"","parse-names":false,"suffix":""},{"dropping-particle":"","family":"Lancaster","given":"Lisa H.","non-dropping-particle":"","parse-names":false,"suffix":""},{"dropping-particle":"","family":"Blackwell","given":"Timothy S.","non-dropping-particle":"","parse-names":false,"suffix":""},{"dropping-particle":"","family":"Arron","given":"Joseph R.","non-dropping-particle":"","parse-names":false,"suffix":""},{"dropping-particle":"","family":"Yaspan","given":"Brian L.","non-dropping-particle":"","parse-names":false,"suffix":""}],"container-title":"The Lancet Respiratory Medicine","id":"ITEM-1","issue":"8","issued":{"date-parts":[["2018"]]},"page":"603-614","publisher":"Elsevier Ltd","title":"Analysis of protein-altering variants in telomerase genes and their association with MUC5B common variant status in patients with idiopathic pulmonary fibrosis: a candidate gene sequencing study","type":"article-journal","volume":"6"},"uris":["http://www.mendeley.com/documents/?uuid=218e019a-2cd8-43bf-af5a-62a0ae4b758c"]},{"id":"ITEM-2","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journal","id":"ITEM-2","issue":"2","issued":{"date-parts":[["2021","2","1"]]},"publisher":"Eur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mutation","type":"article-journal","volume":"57"},"uris":["http://www.mendeley.com/documents/?uuid=449872d5-b359-3355-8d25-fe681381e043"]},{"id":"ITEM-3","itemData":{"DOI":"10.3390/IJMS24032790/S1","ISSN":"14220067","PMID":"36769106","abstract":"In only around 40% of families with pulmonary fibrosis (PF) a suspected genetic cause can be found. Genetic overlap analysis of Whole Exome Sequencing (WES) data may be a powerful tool to discover new shared variants in novel genes for PF. As a proof of principle, we first selected unrelated PF patients for whom a genetic variant was detected (n = 125) in established PF genes and searched for overlapping variants. Second, we performed WES (n = 149) and identified novel potentially deleterious variants shared by at least two unrelated PF patients. These variants were genotyped in validation cohorts (n = 2748). In 125 unrelated patients, a potentially deleterious variant was detected in known PF genes of which 15 variants in six genes overlapped, involving 51 patients. Overlap analysis of WES data identified two novel variants of interest: TOM1L2 c.421T &gt; C p.(Y141H) and TDP1c.1373dupG p.(S459fs*5), neither gene had been related to pulmonary fibrosis before. Both proteins were present in the alveolar epithelium. No apparent characteristics of telomere disease were observed. This study underlines the potential of searching for overlapping rare potentially deleterious variants to identify disease-associated variants and genes. A previously unreported variant was found in two putative new PF genes, but further research is needed to determine causality.","author":[{"dropping-particle":"","family":"Groen","given":"Karlijn","non-dropping-particle":"","parse-names":false,"suffix":""},{"dropping-particle":"","family":"Vis","given":"Joanne J.","non-dropping-particle":"van der","parse-names":false,"suffix":""},{"dropping-particle":"","family":"Batenburg","given":"Aernoud A.","non-dropping-particle":"van","parse-names":false,"suffix":""},{"dropping-particle":"","family":"Kazemier","given":"Karin M.","non-dropping-particle":"","parse-names":false,"suffix":""},{"dropping-particle":"","family":"Grutters","given":"Jan C.","non-dropping-particle":"","parse-names":false,"suffix":""},{"dropping-particle":"","family":"Moorsel","given":"Coline H.M.","non-dropping-particle":"van","parse-names":false,"suffix":""}],"container-title":"International Journal of Molecular Sciences","id":"ITEM-3","issue":"3","issued":{"date-parts":[["2023","2","1"]]},"page":"2790","publisher":"MDPI","title":"Genetic Variant Overlap Analysis Identifies Established and Putative Genes Involved in Pulmonary Fibrosis","type":"article-journal","volume":"24"},"uris":["http://www.mendeley.com/documents/?uuid=f4432c82-cf80-3750-aff9-97c9f349db64"]},{"id":"ITEM-4","itemData":{"DOI":"10.1369/0022155418761351","ISSN":"15515044","abstract":"© 2018, The Author(s) 2018. Telomeres are small repetitive DNA sequences at the ends of chromosomes which act as a buffer in age-dependent DNA shortening. Insufficient telomere repeats will be recognized as double-strand breaks. Presently, it is becoming more evident that telomere attrition, whether or not caused by mutations in telomere maintenance genes, plays an important role in many inflammatory and age-associated diseases. In this report, a method to (semi)quantitatively assess telomere length and DNA double-strand breaks in formalin-fixed paraffin-embedded (FFPE) tissue is described. Therefore, a novel combination of quantitative fluorescence in situ hybridization, tissue elution, and immunofluorescence staining techniques was developed. Caveolin-1 (type 1 pneumocytes), pro-surfactant protein C (type 2 pneumocytes), club cell-10 (club cells), and alpha smooth muscle actin (smooth muscle cells) markers were used to identify cell types. To visualize all the different probes, restaining the tissue by heat-mediated slide elution is essential. Fluorescent signals of telomeres and DNA double-strand breaks were quantified using the Telometer plugin of ImageJ. As example, we analyzed lung tissue from a familial pulmonary fibrosis patient with a mutation in the telomere-associated gene poly(A)-specific ribonuclease (PARN). The protocol displays a novel opportunity to directly quantitatively link DNA double-strand breaks to telomere length in specific FFPE cells.","author":[{"dropping-particle":"","family":"Batenburg","given":"A.A.","non-dropping-particle":"van","parse-names":false,"suffix":""},{"dropping-particle":"","family":"Kazemier","given":"K.M.","non-dropping-particle":"","parse-names":false,"suffix":""},{"dropping-particle":"","family":"Peeters","given":"T.","non-dropping-particle":"","parse-names":false,"suffix":""},{"dropping-particle":"","family":"Oosterhout","given":"M.F.M.","non-dropping-particle":"van","parse-names":false,"suffix":""},{"dropping-particle":"","family":"Vis","given":"J.J.","non-dropping-particle":"van der","parse-names":false,"suffix":""},{"dropping-particle":"","family":"Grutters","given":"J.C.","non-dropping-particle":"","parse-names":false,"suffix":""},{"dropping-particle":"","family":"Goldschmeding","given":"R.","non-dropping-particle":"","parse-names":false,"suffix":""},{"dropping-particle":"","family":"Moorsel","given":"C.H.M.","non-dropping-particle":"van","parse-names":false,"suffix":""}],"container-title":"Journal of Histochemistry and Cytochemistry","id":"ITEM-4","issue":"7","issued":{"date-parts":[["2018"]]},"title":"Cell Type–Specific Quantification of Telomere Length and DNA Double-strand Breaks in Individual Lung Cells by Fluorescence In Situ Hybridization and Fluorescent Immunohistochemistry","type":"article-journal","volume":"66"},"uris":["http://www.mendeley.com/documents/?uuid=248a2238-d72b-3ecf-852e-fdee678b57ee"]}],"mendeley":{"formattedCitation":"(6–9)","plainTextFormattedCitation":"(6–9)","previouslyFormattedCitation":"(6–9)"},"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(6–9)</w:t>
            </w:r>
            <w:r w:rsidRPr="006E42E0">
              <w:rPr>
                <w:rFonts w:ascii="Verdana" w:eastAsia="Times New Roman" w:hAnsi="Verdana" w:cs="Arial"/>
                <w:color w:val="000000"/>
                <w:sz w:val="16"/>
                <w:szCs w:val="20"/>
                <w:lang w:val="nl-NL" w:eastAsia="nl-NL"/>
              </w:rPr>
              <w:fldChar w:fldCharType="end"/>
            </w:r>
          </w:p>
        </w:tc>
      </w:tr>
      <w:tr w:rsidR="005C5BE9" w:rsidRPr="006E42E0" w14:paraId="0C1729BC" w14:textId="77777777" w:rsidTr="00E02DA9">
        <w:tc>
          <w:tcPr>
            <w:tcW w:w="1098" w:type="dxa"/>
            <w:tcBorders>
              <w:top w:val="nil"/>
              <w:left w:val="single" w:sz="4" w:space="0" w:color="auto"/>
              <w:bottom w:val="nil"/>
              <w:right w:val="nil"/>
            </w:tcBorders>
            <w:shd w:val="clear" w:color="000000" w:fill="DDEBF7"/>
            <w:noWrap/>
            <w:vAlign w:val="bottom"/>
            <w:hideMark/>
          </w:tcPr>
          <w:p w14:paraId="773B4D43"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nil"/>
              <w:right w:val="nil"/>
            </w:tcBorders>
            <w:shd w:val="clear" w:color="000000" w:fill="DDEBF7"/>
            <w:noWrap/>
            <w:vAlign w:val="bottom"/>
            <w:hideMark/>
          </w:tcPr>
          <w:p w14:paraId="3910078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c.224A&gt;T</w:t>
            </w:r>
          </w:p>
        </w:tc>
        <w:tc>
          <w:tcPr>
            <w:tcW w:w="1701" w:type="dxa"/>
            <w:tcBorders>
              <w:top w:val="nil"/>
              <w:left w:val="nil"/>
              <w:bottom w:val="nil"/>
              <w:right w:val="nil"/>
            </w:tcBorders>
            <w:shd w:val="clear" w:color="000000" w:fill="DDEBF7"/>
            <w:noWrap/>
            <w:vAlign w:val="bottom"/>
            <w:hideMark/>
          </w:tcPr>
          <w:p w14:paraId="36FD165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NM_001134477.2</w:t>
            </w:r>
          </w:p>
        </w:tc>
        <w:tc>
          <w:tcPr>
            <w:tcW w:w="1507" w:type="dxa"/>
            <w:tcBorders>
              <w:top w:val="nil"/>
              <w:left w:val="nil"/>
              <w:bottom w:val="nil"/>
              <w:right w:val="nil"/>
            </w:tcBorders>
            <w:shd w:val="clear" w:color="000000" w:fill="DDEBF7"/>
            <w:noWrap/>
            <w:vAlign w:val="bottom"/>
            <w:hideMark/>
          </w:tcPr>
          <w:p w14:paraId="264DE03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p.(Gln75Leu)</w:t>
            </w:r>
          </w:p>
        </w:tc>
        <w:tc>
          <w:tcPr>
            <w:tcW w:w="940" w:type="dxa"/>
            <w:tcBorders>
              <w:top w:val="nil"/>
              <w:left w:val="nil"/>
              <w:bottom w:val="nil"/>
              <w:right w:val="nil"/>
            </w:tcBorders>
            <w:shd w:val="clear" w:color="000000" w:fill="DDEBF7"/>
            <w:noWrap/>
            <w:vAlign w:val="bottom"/>
            <w:hideMark/>
          </w:tcPr>
          <w:p w14:paraId="149F801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4600B6B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246F2AB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57C7190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29C617A3" w14:textId="77777777" w:rsidTr="00E02DA9">
        <w:tc>
          <w:tcPr>
            <w:tcW w:w="1098" w:type="dxa"/>
            <w:tcBorders>
              <w:top w:val="nil"/>
              <w:left w:val="single" w:sz="4" w:space="0" w:color="auto"/>
              <w:bottom w:val="nil"/>
              <w:right w:val="nil"/>
            </w:tcBorders>
            <w:shd w:val="clear" w:color="auto" w:fill="auto"/>
            <w:noWrap/>
            <w:vAlign w:val="bottom"/>
            <w:hideMark/>
          </w:tcPr>
          <w:p w14:paraId="6FA8DA20"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nil"/>
              <w:right w:val="nil"/>
            </w:tcBorders>
            <w:shd w:val="clear" w:color="auto" w:fill="auto"/>
            <w:noWrap/>
            <w:vAlign w:val="bottom"/>
            <w:hideMark/>
          </w:tcPr>
          <w:p w14:paraId="3BC4ECB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c.245+5G&gt;A</w:t>
            </w:r>
          </w:p>
        </w:tc>
        <w:tc>
          <w:tcPr>
            <w:tcW w:w="1701" w:type="dxa"/>
            <w:tcBorders>
              <w:top w:val="nil"/>
              <w:left w:val="nil"/>
              <w:bottom w:val="nil"/>
              <w:right w:val="nil"/>
            </w:tcBorders>
            <w:shd w:val="clear" w:color="auto" w:fill="auto"/>
            <w:noWrap/>
            <w:vAlign w:val="bottom"/>
            <w:hideMark/>
          </w:tcPr>
          <w:p w14:paraId="0CBB1D4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NM_002582.4</w:t>
            </w:r>
          </w:p>
        </w:tc>
        <w:tc>
          <w:tcPr>
            <w:tcW w:w="1507" w:type="dxa"/>
            <w:tcBorders>
              <w:top w:val="nil"/>
              <w:left w:val="nil"/>
              <w:bottom w:val="nil"/>
              <w:right w:val="nil"/>
            </w:tcBorders>
            <w:shd w:val="clear" w:color="auto" w:fill="auto"/>
            <w:noWrap/>
            <w:vAlign w:val="bottom"/>
            <w:hideMark/>
          </w:tcPr>
          <w:p w14:paraId="015DED2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p.(Lys59fs)</w:t>
            </w:r>
            <w:r w:rsidRPr="006E42E0">
              <w:rPr>
                <w:rFonts w:ascii="Verdana" w:eastAsia="Times New Roman" w:hAnsi="Verdana" w:cs="Arial"/>
                <w:color w:val="000000"/>
                <w:sz w:val="16"/>
                <w:szCs w:val="20"/>
                <w:vertAlign w:val="superscript"/>
                <w:lang w:val="nl-NL" w:eastAsia="nl-NL"/>
              </w:rPr>
              <w:t>$</w:t>
            </w:r>
          </w:p>
        </w:tc>
        <w:tc>
          <w:tcPr>
            <w:tcW w:w="940" w:type="dxa"/>
            <w:tcBorders>
              <w:top w:val="nil"/>
              <w:left w:val="nil"/>
              <w:bottom w:val="nil"/>
              <w:right w:val="nil"/>
            </w:tcBorders>
            <w:shd w:val="clear" w:color="auto" w:fill="auto"/>
            <w:noWrap/>
            <w:vAlign w:val="bottom"/>
            <w:hideMark/>
          </w:tcPr>
          <w:p w14:paraId="0B5ECC6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auto" w:fill="auto"/>
            <w:noWrap/>
            <w:vAlign w:val="bottom"/>
            <w:hideMark/>
          </w:tcPr>
          <w:p w14:paraId="4ED454D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42C7EE7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0B146DD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17892E30" w14:textId="77777777" w:rsidTr="00E02DA9">
        <w:tc>
          <w:tcPr>
            <w:tcW w:w="1098" w:type="dxa"/>
            <w:tcBorders>
              <w:top w:val="nil"/>
              <w:left w:val="single" w:sz="4" w:space="0" w:color="auto"/>
              <w:bottom w:val="nil"/>
              <w:right w:val="nil"/>
            </w:tcBorders>
            <w:shd w:val="clear" w:color="000000" w:fill="DDEBF7"/>
            <w:noWrap/>
            <w:vAlign w:val="bottom"/>
            <w:hideMark/>
          </w:tcPr>
          <w:p w14:paraId="2F8595D8"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nil"/>
              <w:right w:val="nil"/>
            </w:tcBorders>
            <w:shd w:val="clear" w:color="000000" w:fill="DDEBF7"/>
            <w:noWrap/>
            <w:vAlign w:val="bottom"/>
            <w:hideMark/>
          </w:tcPr>
          <w:p w14:paraId="32D239D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c.347A&gt;G</w:t>
            </w:r>
          </w:p>
        </w:tc>
        <w:tc>
          <w:tcPr>
            <w:tcW w:w="1701" w:type="dxa"/>
            <w:tcBorders>
              <w:top w:val="nil"/>
              <w:left w:val="nil"/>
              <w:bottom w:val="nil"/>
              <w:right w:val="nil"/>
            </w:tcBorders>
            <w:shd w:val="clear" w:color="000000" w:fill="DDEBF7"/>
            <w:noWrap/>
            <w:vAlign w:val="bottom"/>
            <w:hideMark/>
          </w:tcPr>
          <w:p w14:paraId="4601B3B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NM_001134477.2</w:t>
            </w:r>
          </w:p>
        </w:tc>
        <w:tc>
          <w:tcPr>
            <w:tcW w:w="1507" w:type="dxa"/>
            <w:tcBorders>
              <w:top w:val="nil"/>
              <w:left w:val="nil"/>
              <w:bottom w:val="nil"/>
              <w:right w:val="nil"/>
            </w:tcBorders>
            <w:shd w:val="clear" w:color="000000" w:fill="DDEBF7"/>
            <w:noWrap/>
            <w:vAlign w:val="bottom"/>
            <w:hideMark/>
          </w:tcPr>
          <w:p w14:paraId="4A5744D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p.(Gln116Arg)</w:t>
            </w:r>
          </w:p>
        </w:tc>
        <w:tc>
          <w:tcPr>
            <w:tcW w:w="940" w:type="dxa"/>
            <w:tcBorders>
              <w:top w:val="nil"/>
              <w:left w:val="nil"/>
              <w:bottom w:val="nil"/>
              <w:right w:val="nil"/>
            </w:tcBorders>
            <w:shd w:val="clear" w:color="000000" w:fill="DDEBF7"/>
            <w:noWrap/>
            <w:vAlign w:val="bottom"/>
            <w:hideMark/>
          </w:tcPr>
          <w:p w14:paraId="10F81CF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197CAA3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5E9AE26F"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76EDB01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1C5C4F2C" w14:textId="77777777" w:rsidTr="00E02DA9">
        <w:tc>
          <w:tcPr>
            <w:tcW w:w="1098" w:type="dxa"/>
            <w:tcBorders>
              <w:top w:val="nil"/>
              <w:left w:val="single" w:sz="4" w:space="0" w:color="auto"/>
              <w:bottom w:val="nil"/>
              <w:right w:val="nil"/>
            </w:tcBorders>
            <w:shd w:val="clear" w:color="auto" w:fill="auto"/>
            <w:noWrap/>
            <w:vAlign w:val="bottom"/>
            <w:hideMark/>
          </w:tcPr>
          <w:p w14:paraId="04BD9406"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nil"/>
              <w:right w:val="nil"/>
            </w:tcBorders>
            <w:shd w:val="clear" w:color="auto" w:fill="auto"/>
            <w:noWrap/>
            <w:vAlign w:val="bottom"/>
            <w:hideMark/>
          </w:tcPr>
          <w:p w14:paraId="77E4609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c.862C&gt;T</w:t>
            </w:r>
          </w:p>
        </w:tc>
        <w:tc>
          <w:tcPr>
            <w:tcW w:w="1701" w:type="dxa"/>
            <w:tcBorders>
              <w:top w:val="nil"/>
              <w:left w:val="nil"/>
              <w:bottom w:val="nil"/>
              <w:right w:val="nil"/>
            </w:tcBorders>
            <w:shd w:val="clear" w:color="auto" w:fill="auto"/>
            <w:noWrap/>
            <w:vAlign w:val="bottom"/>
            <w:hideMark/>
          </w:tcPr>
          <w:p w14:paraId="0F59E2A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NM_001134477.2</w:t>
            </w:r>
          </w:p>
        </w:tc>
        <w:tc>
          <w:tcPr>
            <w:tcW w:w="1507" w:type="dxa"/>
            <w:tcBorders>
              <w:top w:val="nil"/>
              <w:left w:val="nil"/>
              <w:bottom w:val="nil"/>
              <w:right w:val="nil"/>
            </w:tcBorders>
            <w:shd w:val="clear" w:color="auto" w:fill="auto"/>
            <w:noWrap/>
            <w:vAlign w:val="bottom"/>
            <w:hideMark/>
          </w:tcPr>
          <w:p w14:paraId="06593F9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p.(Arg288Trp)</w:t>
            </w:r>
          </w:p>
        </w:tc>
        <w:tc>
          <w:tcPr>
            <w:tcW w:w="940" w:type="dxa"/>
            <w:tcBorders>
              <w:top w:val="nil"/>
              <w:left w:val="nil"/>
              <w:bottom w:val="nil"/>
              <w:right w:val="nil"/>
            </w:tcBorders>
            <w:shd w:val="clear" w:color="auto" w:fill="auto"/>
            <w:noWrap/>
            <w:vAlign w:val="bottom"/>
            <w:hideMark/>
          </w:tcPr>
          <w:p w14:paraId="28E967A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1D3A962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6B9E8B1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3C4ACB0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{"citationItems":[{"id":"ITEM-1","itemData":{"DOI":"10.1136/JMEDGENET-2015-103292","ISSN":"1468-6244","PMID":"26342108","abstract":"Background Deadenylation regulates RNA function and fate. Poly(A)-specific ribonuclease (PARN) is a deadenylase that processes mRNAs and non-coding RNA. Little is known about the biological significance of germline mutations in PARN. Methods We identified mutations in PARN in patients with haematological and neurological manifestations. Genomic, biochemical and knockdown experiments in human marrow cells and in zebrafish have been performed to clarify the role of PARN in the human disease. Results We identified large monoallelic deletions in PARN in four patients with developmental delay or mental illness. One patient in particular had a severe neurological phenotype, central hypomyelination and bone marrow failure. This patient had an additional missense mutation on the non-deleted allele and severely reduced PARN protein and deadenylation activity. Cells from this patient had impaired oligoadenylation of specific H/ACA box small nucleolar RNAs. Importantly, PARN-deficient patient cells manifested short telomeres and an aberrant ribosome profile similar to those described in some variants of dyskeratosis congenita. Knocking down PARN in human marrow cells and zebrafish impaired haematopoiesis, providing further evidence for a causal link with the human disease. Conclusions Large monoallelic mutations of PARN can cause developmental/mental illness. Biallelic PARN mutations cause severe bone marrow failure and central hypomyelination.","author":[{"dropping-particle":"","family":"Dhanraj","given":"Santhosh","non-dropping-particle":"","parse-names":false,"suffix":""},{"dropping-particle":"","family":"Gunja","given":"Sethu Madhava Rao","non-dropping-particle":"","parse-names":false,"suffix":""},{"dropping-particle":"","family":"Deveau","given":"Adam P.","non-dropping-particle":"","parse-names":false,"suffix":""},{"dropping-particle":"","family":"Nissbeck","given":"Mikael","non-dropping-particle":"","parse-names":false,"suffix":""},{"dropping-particle":"","family":"Boonyawat","given":"Boonchai","non-dropping-particle":"","parse-names":false,"suffix":""},{"dropping-particle":"","family":"Coombs","given":"Andrew J.","non-dropping-particle":"","parse-names":false,"suffix":""},{"dropping-particle":"","family":"Renieri","given":"Alessandra","non-dropping-particle":"","parse-names":false,"suffix":""},{"dropping-particle":"","family":"Mucciolo","given":"Mafalda","non-dropping-particle":"","parse-names":false,"suffix":""},{"dropping-particle":"","family":"Marozza","given":"Annabella","non-dropping-particle":"","parse-names":false,"suffix":""},{"dropping-particle":"","family":"Buoni","given":"Sabrina","non-dropping-particle":"","parse-names":false,"suffix":""},{"dropping-particle":"","family":"Turner","given":"Lesley","non-dropping-particle":"","parse-names":false,"suffix":""},{"dropping-particle":"","family":"Li","given":"Hongbing","non-dropping-particle":"","parse-names":false,"suffix":""},{"dropping-particle":"","family":"Jarrar","given":"Ameer","non-dropping-particle":"","parse-names":false,"suffix":""},{"dropping-particle":"","family":"Sabanayagam","given":"Mathura","non-dropping-particle":"","parse-names":false,"suffix":""},{"dropping-particle":"","family":"Kirby","given":"Melanie","non-dropping-particle":"","parse-names":false,"suffix":""},{"dropping-particle":"","family":"Shago","given":"Mary","non-dropping-particle":"","parse-names":false,"suffix":""},{"dropping-particle":"","family":"Pinto","given":"Dalila","non-dropping-particle":"","parse-names":false,"suffix":""},{"dropping-particle":"","family":"Berman","given":"Jason N.","non-dropping-particle":"","parse-names":false,"suffix":""},{"dropping-particle":"","family":"Scherer","given":"Stephen W.","non-dropping-particle":"","parse-names":false,"suffix":""},{"dropping-particle":"","family":"Virtanen","given":"Anders","non-dropping-particle":"","parse-names":false,"suffix":""},{"dropping-particle":"","family":"Dror","given":"Yigal","non-dropping-particle":"","parse-names":false,"suffix":""}],"container-title":"Journal of medical genetics","id":"ITEM-1","issue":"11","issued":{"date-parts":[["2015","9","4"]]},"page":"738-748","publisher":"J Med Genet","title":"Bone marrow failure and developmental delay caused by mutations in poly(A)-specific ribonuclease (PARN)","type":"article-journal","volume":"52"},"uris":["http://www.mendeley.com/documents/?uuid=9afd1340-e1fb-35cf-b7b8-8ef49ebfad9d"]}],"mendeley":{"formattedCitation":"(10)","plainTextFormattedCitation":"(10)","previouslyFormattedCitation":"(10)"},"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(10)</w:t>
            </w:r>
            <w:r w:rsidRPr="006E42E0">
              <w:rPr>
                <w:rFonts w:ascii="Verdana" w:eastAsia="Times New Roman" w:hAnsi="Verdana" w:cs="Arial"/>
                <w:color w:val="000000"/>
                <w:sz w:val="16"/>
                <w:szCs w:val="20"/>
                <w:lang w:val="nl-NL" w:eastAsia="nl-NL"/>
              </w:rPr>
              <w:fldChar w:fldCharType="end"/>
            </w:r>
          </w:p>
        </w:tc>
      </w:tr>
      <w:tr w:rsidR="005C5BE9" w:rsidRPr="006E42E0" w14:paraId="4F5632CF" w14:textId="77777777" w:rsidTr="00E02DA9">
        <w:tc>
          <w:tcPr>
            <w:tcW w:w="1098" w:type="dxa"/>
            <w:tcBorders>
              <w:top w:val="nil"/>
              <w:left w:val="single" w:sz="4" w:space="0" w:color="auto"/>
              <w:bottom w:val="nil"/>
              <w:right w:val="nil"/>
            </w:tcBorders>
            <w:shd w:val="clear" w:color="000000" w:fill="DDEBF7"/>
            <w:noWrap/>
            <w:vAlign w:val="bottom"/>
            <w:hideMark/>
          </w:tcPr>
          <w:p w14:paraId="1C560D39"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nil"/>
              <w:right w:val="nil"/>
            </w:tcBorders>
            <w:shd w:val="clear" w:color="000000" w:fill="DDEBF7"/>
            <w:noWrap/>
            <w:vAlign w:val="bottom"/>
            <w:hideMark/>
          </w:tcPr>
          <w:p w14:paraId="2C460D1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c.982T&gt;C</w:t>
            </w:r>
          </w:p>
        </w:tc>
        <w:tc>
          <w:tcPr>
            <w:tcW w:w="1701" w:type="dxa"/>
            <w:tcBorders>
              <w:top w:val="nil"/>
              <w:left w:val="nil"/>
              <w:bottom w:val="nil"/>
              <w:right w:val="nil"/>
            </w:tcBorders>
            <w:shd w:val="clear" w:color="000000" w:fill="DDEBF7"/>
            <w:noWrap/>
            <w:vAlign w:val="bottom"/>
            <w:hideMark/>
          </w:tcPr>
          <w:p w14:paraId="166FF1F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NM_001134477.2</w:t>
            </w:r>
          </w:p>
        </w:tc>
        <w:tc>
          <w:tcPr>
            <w:tcW w:w="1507" w:type="dxa"/>
            <w:tcBorders>
              <w:top w:val="nil"/>
              <w:left w:val="nil"/>
              <w:bottom w:val="nil"/>
              <w:right w:val="nil"/>
            </w:tcBorders>
            <w:shd w:val="clear" w:color="000000" w:fill="DDEBF7"/>
            <w:noWrap/>
            <w:vAlign w:val="bottom"/>
            <w:hideMark/>
          </w:tcPr>
          <w:p w14:paraId="5FA31BD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p.(Cys328Arg)</w:t>
            </w:r>
          </w:p>
        </w:tc>
        <w:tc>
          <w:tcPr>
            <w:tcW w:w="940" w:type="dxa"/>
            <w:tcBorders>
              <w:top w:val="nil"/>
              <w:left w:val="nil"/>
              <w:bottom w:val="nil"/>
              <w:right w:val="nil"/>
            </w:tcBorders>
            <w:shd w:val="clear" w:color="000000" w:fill="DDEBF7"/>
            <w:noWrap/>
            <w:vAlign w:val="bottom"/>
            <w:hideMark/>
          </w:tcPr>
          <w:p w14:paraId="0F7042B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60BCACD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413EA03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1A9488F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38E237E2" w14:textId="77777777" w:rsidTr="00E02DA9">
        <w:tc>
          <w:tcPr>
            <w:tcW w:w="1098" w:type="dxa"/>
            <w:tcBorders>
              <w:top w:val="nil"/>
              <w:left w:val="single" w:sz="4" w:space="0" w:color="auto"/>
              <w:bottom w:val="nil"/>
              <w:right w:val="nil"/>
            </w:tcBorders>
            <w:shd w:val="clear" w:color="auto" w:fill="auto"/>
            <w:noWrap/>
            <w:vAlign w:val="bottom"/>
            <w:hideMark/>
          </w:tcPr>
          <w:p w14:paraId="38E7FDF3"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nil"/>
              <w:right w:val="nil"/>
            </w:tcBorders>
            <w:shd w:val="clear" w:color="auto" w:fill="auto"/>
            <w:noWrap/>
            <w:vAlign w:val="bottom"/>
            <w:hideMark/>
          </w:tcPr>
          <w:p w14:paraId="3706297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c.1214G &gt; C</w:t>
            </w:r>
          </w:p>
        </w:tc>
        <w:tc>
          <w:tcPr>
            <w:tcW w:w="1701" w:type="dxa"/>
            <w:tcBorders>
              <w:top w:val="nil"/>
              <w:left w:val="nil"/>
              <w:bottom w:val="nil"/>
              <w:right w:val="nil"/>
            </w:tcBorders>
            <w:shd w:val="clear" w:color="auto" w:fill="auto"/>
            <w:noWrap/>
            <w:vAlign w:val="bottom"/>
            <w:hideMark/>
          </w:tcPr>
          <w:p w14:paraId="0270CFE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NM_001134477.2</w:t>
            </w:r>
          </w:p>
        </w:tc>
        <w:tc>
          <w:tcPr>
            <w:tcW w:w="1507" w:type="dxa"/>
            <w:tcBorders>
              <w:top w:val="nil"/>
              <w:left w:val="nil"/>
              <w:bottom w:val="nil"/>
              <w:right w:val="nil"/>
            </w:tcBorders>
            <w:shd w:val="clear" w:color="auto" w:fill="auto"/>
            <w:noWrap/>
            <w:vAlign w:val="bottom"/>
            <w:hideMark/>
          </w:tcPr>
          <w:p w14:paraId="3CE4DAC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p.(Ser405Thr)</w:t>
            </w:r>
          </w:p>
        </w:tc>
        <w:tc>
          <w:tcPr>
            <w:tcW w:w="940" w:type="dxa"/>
            <w:tcBorders>
              <w:top w:val="nil"/>
              <w:left w:val="nil"/>
              <w:bottom w:val="nil"/>
              <w:right w:val="nil"/>
            </w:tcBorders>
            <w:shd w:val="clear" w:color="auto" w:fill="auto"/>
            <w:noWrap/>
            <w:vAlign w:val="bottom"/>
            <w:hideMark/>
          </w:tcPr>
          <w:p w14:paraId="32AA334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467D141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47796BA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1824050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mutation","type":"article-journal","volume":"57"},"uris":["http://www.mendeley.com/documents/?uuid=449872d5-b359-3355-8d25-fe681381e043"]},{"id":"ITEM-2","itemData":{"DOI":"10.3390/IJMS24032790/S1","ISSN":"14220067","PMID":"36769106","abstract":"In only around 40% of families with pulmonary fibrosis (PF) a suspected genetic cause can be found. Genetic overlap analysis of Whole Exome Sequencing (WES) data may be a powerful tool to discover new shared variants in novel genes for PF. As a proof of principle, we first selected unrelated PF patients for whom a genetic variant was detected (n = 125) in established PF genes and searched for overlapping variants. Second, we performed WES (n = 149) and identified novel potentially deleterious variants shared by at least two unrelated PF patients. These variants were genotyped in validation cohorts (n = 2748). In 125 unrelated patients, a potentially deleterious variant was detected in known PF genes of which 15 variants in six genes overlapped, involving 51 patients. Overlap analysis of WES data identified two novel variants of interest: TOM1L2 c.421T &gt; C p.(Y141H) and TDP1c.1373dupG p.(S459fs*5), neither gene had been related to pulmonary fibrosis before. Both proteins were present in the alveolar epithelium. No apparent characteristics of telomere disease were observed. This study underlines the potential of searching for overlapping rare potentially deleterious variants to identify disease-associated variants and genes. A previously unreported variant was found in two putative new PF genes, but further research is needed to determine causality.","author":[{"dropping-particle":"","family":"Groen","given":"Karlijn","non-dropping-particle":"","parse-names":false,"suffix":""},{"dropping-particle":"","family":"Vis","given":"Joanne J.","non-dropping-particle":"van der","parse-names":false,"suffix":""},{"dropping-particle":"","family":"Batenburg","given":"Aernoud A.","non-dropping-particle":"van","parse-names":false,"suffix":""},{"dropping-particle":"","family":"Kazemier","given":"Karin M.","non-dropping-particle":"","parse-names":false,"suffix":""},{"dropping-particle":"","family":"Grutters","given":"Jan C.","non-dropping-particle":"","parse-names":false,"suffix":""},{"dropping-particle":"","family":"Moorsel","given":"Coline H.M.","non-dropping-particle":"van","parse-names":false,"suffix":""}],"container-title":"International Journal of Molecular Sciences","id":"ITEM-2","issue":"3","issued":{"date-parts":[["2023","2","1"]]},"page":"2790","publisher":"MDPI","title":"Genetic Variant Overlap Analysis Identifies Established and Putative Genes Involved in Pulmonary Fibrosis","type":"article-journal","volume":"24"},"uris":["http://www.mendeley.com/documents/?uuid=f4432c82-cf80-3750-aff9-97c9f349db64"]}],"mendeley":{"formattedCitation":"(7,8)","plainTextFormattedCitation":"(7,8)","previouslyFormattedCitation":"(7,8)"},"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(7,8)</w:t>
            </w:r>
            <w:r w:rsidRPr="006E42E0">
              <w:rPr>
                <w:rFonts w:ascii="Verdana" w:eastAsia="Times New Roman" w:hAnsi="Verdana" w:cs="Arial"/>
                <w:color w:val="000000"/>
                <w:sz w:val="16"/>
                <w:szCs w:val="20"/>
                <w:lang w:val="nl-NL" w:eastAsia="nl-NL"/>
              </w:rPr>
              <w:fldChar w:fldCharType="end"/>
            </w:r>
          </w:p>
        </w:tc>
      </w:tr>
      <w:tr w:rsidR="005C5BE9" w:rsidRPr="006E42E0" w14:paraId="6F67E2DB" w14:textId="77777777" w:rsidTr="00E02DA9">
        <w:tc>
          <w:tcPr>
            <w:tcW w:w="1098" w:type="dxa"/>
            <w:tcBorders>
              <w:top w:val="nil"/>
              <w:left w:val="single" w:sz="4" w:space="0" w:color="auto"/>
              <w:bottom w:val="single" w:sz="4" w:space="0" w:color="auto"/>
              <w:right w:val="nil"/>
            </w:tcBorders>
            <w:shd w:val="clear" w:color="000000" w:fill="DDEBF7"/>
            <w:noWrap/>
            <w:vAlign w:val="bottom"/>
            <w:hideMark/>
          </w:tcPr>
          <w:p w14:paraId="5986BE7A"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PARN</w:t>
            </w:r>
          </w:p>
        </w:tc>
        <w:tc>
          <w:tcPr>
            <w:tcW w:w="1591" w:type="dxa"/>
            <w:tcBorders>
              <w:top w:val="nil"/>
              <w:left w:val="nil"/>
              <w:bottom w:val="single" w:sz="4" w:space="0" w:color="auto"/>
              <w:right w:val="nil"/>
            </w:tcBorders>
            <w:shd w:val="clear" w:color="000000" w:fill="DDEBF7"/>
            <w:vAlign w:val="bottom"/>
            <w:hideMark/>
          </w:tcPr>
          <w:p w14:paraId="2146454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g.14656226_14715540del</w:t>
            </w:r>
            <w:r w:rsidRPr="006E42E0">
              <w:rPr>
                <w:rFonts w:ascii="Verdana" w:eastAsia="Times New Roman" w:hAnsi="Verdana" w:cs="Arial"/>
                <w:color w:val="000000"/>
                <w:sz w:val="16"/>
                <w:szCs w:val="20"/>
                <w:lang w:val="nl-NL" w:eastAsia="nl-NL"/>
              </w:rPr>
              <w:br/>
              <w:t>c.1214G&gt;C</w:t>
            </w:r>
            <w:r w:rsidRPr="006E42E0">
              <w:rPr>
                <w:rFonts w:ascii="Verdana" w:eastAsia="Times New Roman" w:hAnsi="Verdana" w:cs="Arial"/>
                <w:color w:val="000000"/>
                <w:sz w:val="16"/>
                <w:szCs w:val="20"/>
                <w:vertAlign w:val="superscript"/>
                <w:lang w:val="nl-NL" w:eastAsia="nl-NL"/>
              </w:rPr>
              <w:t>‡</w:t>
            </w:r>
          </w:p>
        </w:tc>
        <w:tc>
          <w:tcPr>
            <w:tcW w:w="1701" w:type="dxa"/>
            <w:tcBorders>
              <w:top w:val="nil"/>
              <w:left w:val="nil"/>
              <w:bottom w:val="single" w:sz="4" w:space="0" w:color="auto"/>
              <w:right w:val="nil"/>
            </w:tcBorders>
            <w:shd w:val="clear" w:color="000000" w:fill="DDEBF7"/>
            <w:noWrap/>
            <w:vAlign w:val="bottom"/>
            <w:hideMark/>
          </w:tcPr>
          <w:p w14:paraId="1FDDAC4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NC_000016.9</w:t>
            </w:r>
            <w:r w:rsidRPr="006E42E0">
              <w:rPr>
                <w:rFonts w:ascii="Verdana" w:eastAsia="Times New Roman" w:hAnsi="Verdana" w:cs="Arial"/>
                <w:color w:val="000000"/>
                <w:sz w:val="16"/>
                <w:szCs w:val="20"/>
                <w:lang w:val="nl-NL" w:eastAsia="nl-NL"/>
              </w:rPr>
              <w:br/>
              <w:t>NM_001134477.2</w:t>
            </w:r>
          </w:p>
        </w:tc>
        <w:tc>
          <w:tcPr>
            <w:tcW w:w="1507" w:type="dxa"/>
            <w:tcBorders>
              <w:top w:val="nil"/>
              <w:left w:val="nil"/>
              <w:bottom w:val="single" w:sz="4" w:space="0" w:color="auto"/>
              <w:right w:val="nil"/>
            </w:tcBorders>
            <w:shd w:val="clear" w:color="000000" w:fill="DDEBF7"/>
            <w:noWrap/>
            <w:vAlign w:val="bottom"/>
            <w:hideMark/>
          </w:tcPr>
          <w:p w14:paraId="1626418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 </w:t>
            </w:r>
            <w:proofErr w:type="spellStart"/>
            <w:r w:rsidRPr="006E42E0">
              <w:rPr>
                <w:rFonts w:ascii="Verdana" w:eastAsia="Times New Roman" w:hAnsi="Verdana" w:cs="Arial"/>
                <w:color w:val="000000"/>
                <w:sz w:val="16"/>
                <w:szCs w:val="20"/>
                <w:lang w:val="nl-NL" w:eastAsia="nl-NL"/>
              </w:rPr>
              <w:t>exon</w:t>
            </w:r>
            <w:proofErr w:type="spellEnd"/>
            <w:r w:rsidRPr="006E42E0">
              <w:rPr>
                <w:rFonts w:ascii="Verdana" w:eastAsia="Times New Roman" w:hAnsi="Verdana" w:cs="Arial"/>
                <w:color w:val="000000"/>
                <w:sz w:val="16"/>
                <w:szCs w:val="20"/>
                <w:lang w:val="nl-NL" w:eastAsia="nl-NL"/>
              </w:rPr>
              <w:t xml:space="preserve"> 6-18del</w:t>
            </w:r>
            <w:r w:rsidRPr="006E42E0">
              <w:rPr>
                <w:rFonts w:ascii="Verdana" w:eastAsia="Times New Roman" w:hAnsi="Verdana" w:cs="Arial"/>
                <w:color w:val="000000"/>
                <w:sz w:val="16"/>
                <w:szCs w:val="20"/>
                <w:lang w:val="nl-NL" w:eastAsia="nl-NL"/>
              </w:rPr>
              <w:br/>
              <w:t>p.(Ser405Thr)</w:t>
            </w:r>
          </w:p>
        </w:tc>
        <w:tc>
          <w:tcPr>
            <w:tcW w:w="940" w:type="dxa"/>
            <w:tcBorders>
              <w:top w:val="nil"/>
              <w:left w:val="nil"/>
              <w:bottom w:val="single" w:sz="4" w:space="0" w:color="auto"/>
              <w:right w:val="nil"/>
            </w:tcBorders>
            <w:shd w:val="clear" w:color="000000" w:fill="DDEBF7"/>
            <w:noWrap/>
            <w:vAlign w:val="bottom"/>
            <w:hideMark/>
          </w:tcPr>
          <w:p w14:paraId="54ACEB4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 VUS</w:t>
            </w:r>
          </w:p>
        </w:tc>
        <w:tc>
          <w:tcPr>
            <w:tcW w:w="761" w:type="dxa"/>
            <w:tcBorders>
              <w:top w:val="nil"/>
              <w:left w:val="nil"/>
              <w:bottom w:val="single" w:sz="4" w:space="0" w:color="auto"/>
              <w:right w:val="nil"/>
            </w:tcBorders>
            <w:shd w:val="clear" w:color="000000" w:fill="DDEBF7"/>
            <w:noWrap/>
            <w:vAlign w:val="bottom"/>
            <w:hideMark/>
          </w:tcPr>
          <w:p w14:paraId="08CAD9B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single" w:sz="4" w:space="0" w:color="auto"/>
              <w:right w:val="nil"/>
            </w:tcBorders>
            <w:shd w:val="clear" w:color="000000" w:fill="DDEBF7"/>
            <w:noWrap/>
            <w:vAlign w:val="bottom"/>
            <w:hideMark/>
          </w:tcPr>
          <w:p w14:paraId="690EE99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single" w:sz="4" w:space="0" w:color="auto"/>
              <w:right w:val="single" w:sz="4" w:space="0" w:color="auto"/>
            </w:tcBorders>
            <w:shd w:val="clear" w:color="000000" w:fill="DDEBF7"/>
            <w:noWrap/>
            <w:vAlign w:val="bottom"/>
            <w:hideMark/>
          </w:tcPr>
          <w:p w14:paraId="7C23405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0A1C749E" w14:textId="77777777" w:rsidTr="00E02DA9">
        <w:tc>
          <w:tcPr>
            <w:tcW w:w="1098" w:type="dxa"/>
            <w:tcBorders>
              <w:top w:val="nil"/>
              <w:left w:val="single" w:sz="4" w:space="0" w:color="auto"/>
              <w:bottom w:val="nil"/>
              <w:right w:val="nil"/>
            </w:tcBorders>
            <w:shd w:val="clear" w:color="auto" w:fill="auto"/>
            <w:noWrap/>
            <w:vAlign w:val="bottom"/>
            <w:hideMark/>
          </w:tcPr>
          <w:p w14:paraId="7F76CDA3"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POT1</w:t>
            </w:r>
          </w:p>
        </w:tc>
        <w:tc>
          <w:tcPr>
            <w:tcW w:w="1591" w:type="dxa"/>
            <w:tcBorders>
              <w:top w:val="nil"/>
              <w:left w:val="nil"/>
              <w:bottom w:val="nil"/>
              <w:right w:val="nil"/>
            </w:tcBorders>
            <w:shd w:val="clear" w:color="auto" w:fill="auto"/>
            <w:noWrap/>
            <w:vAlign w:val="bottom"/>
            <w:hideMark/>
          </w:tcPr>
          <w:p w14:paraId="0BBBDD9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c.776T&gt;C</w:t>
            </w:r>
          </w:p>
        </w:tc>
        <w:tc>
          <w:tcPr>
            <w:tcW w:w="1701" w:type="dxa"/>
            <w:tcBorders>
              <w:top w:val="nil"/>
              <w:left w:val="nil"/>
              <w:bottom w:val="nil"/>
              <w:right w:val="nil"/>
            </w:tcBorders>
            <w:shd w:val="clear" w:color="auto" w:fill="auto"/>
            <w:noWrap/>
            <w:vAlign w:val="bottom"/>
            <w:hideMark/>
          </w:tcPr>
          <w:p w14:paraId="413037E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NM_015450.2</w:t>
            </w:r>
          </w:p>
        </w:tc>
        <w:tc>
          <w:tcPr>
            <w:tcW w:w="1507" w:type="dxa"/>
            <w:tcBorders>
              <w:top w:val="nil"/>
              <w:left w:val="nil"/>
              <w:bottom w:val="nil"/>
              <w:right w:val="nil"/>
            </w:tcBorders>
            <w:shd w:val="clear" w:color="auto" w:fill="auto"/>
            <w:noWrap/>
            <w:vAlign w:val="bottom"/>
            <w:hideMark/>
          </w:tcPr>
          <w:p w14:paraId="71DC86A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p.(Leu259Ser)</w:t>
            </w:r>
          </w:p>
        </w:tc>
        <w:tc>
          <w:tcPr>
            <w:tcW w:w="940" w:type="dxa"/>
            <w:tcBorders>
              <w:top w:val="nil"/>
              <w:left w:val="nil"/>
              <w:bottom w:val="nil"/>
              <w:right w:val="nil"/>
            </w:tcBorders>
            <w:shd w:val="clear" w:color="auto" w:fill="auto"/>
            <w:noWrap/>
            <w:vAlign w:val="bottom"/>
            <w:hideMark/>
          </w:tcPr>
          <w:p w14:paraId="3426C5A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4E7983C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26C1BA5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2065" w:type="dxa"/>
            <w:tcBorders>
              <w:top w:val="nil"/>
              <w:left w:val="nil"/>
              <w:bottom w:val="nil"/>
              <w:right w:val="single" w:sz="4" w:space="0" w:color="auto"/>
            </w:tcBorders>
            <w:shd w:val="clear" w:color="auto" w:fill="auto"/>
            <w:noWrap/>
            <w:vAlign w:val="bottom"/>
            <w:hideMark/>
          </w:tcPr>
          <w:p w14:paraId="7116934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{"citationItems":[{"id":"ITEM-1","itemData":{"DOI":"10.1084/JEM.20211681","ISSN":"1540-9538","PMID":"35420632","abstract":"Exonic sequencing identified a family with idiopathic pulmonary fibrosis (IPF) containing a previously unreported heterozygous mutation in POT1 p.(L259S). The family displays short telomeres and genetic anticipation. We found that POT1(L259S) is defective in binding the telomeric overhang, nuclear accumulation, negative regulation of telomerase, and lagging strand maintenance. Patient cells containing the mutation display telomere loss, lagging strand defects, telomere-induced DNA damage, and premature senescence with G1 arrest. Our data suggest POT1(L259S) is a pathogenic driver of IPF and provide insights into gene therapy options.","author":[{"dropping-particle":"","family":"Kelich","given":"Joseph","non-dropping-particle":"","parse-names":false,"suffix":""},{"dropping-particle":"","family":"Aramburu","given":"Tomas","non-dropping-particle":"","parse-names":false,"suffix":""},{"dropping-particle":"","family":"Vis","given":"Joanne J.","non-dropping-particle":"van der","parse-names":false,"suffix":""},{"dropping-particle":"","family":"Showe","given":"Louise","non-dropping-particle":"","parse-names":false,"suffix":""},{"dropping-particle":"","family":"Kossenkov","given":"Andrew","non-dropping-particle":"","parse-names":false,"suffix":""},{"dropping-particle":"","family":"Smagt","given":"Jasper","non-dropping-particle":"van der","parse-names":false,"suffix":""},{"dropping-particle":"","family":"Massink","given":"Maarten","non-dropping-particle":"","parse-names":false,"suffix":""},{"dropping-particle":"","family":"Schoemaker","given":"Angela","non-dropping-particle":"","parse-names":false,"suffix":""},{"dropping-particle":"","family":"Hennekam","given":"Eric","non-dropping-particle":"","parse-names":false,"suffix":""},{"dropping-particle":"","family":"Veltkamp","given":"Marcel","non-dropping-particle":"","parse-names":false,"suffix":""},{"dropping-particle":"","family":"Moorsel","given":"Coline H.M.","non-dropping-particle":"van","parse-names":false,"suffix":""},{"dropping-particle":"","family":"Skordalakes","given":"Emmanuel","non-dropping-particle":"","parse-names":false,"suffix":""}],"container-title":"The Journal of experimental medicine","id":"ITEM-1","issue":"5","issued":{"date-parts":[["2022"]]},"publisher":"J Exp Med","title":"Telomere dysfunction implicates POT1 in patients with idiopathic pulmonary fibrosis","type":"article-journal","volume":"219"},"uris":["http://www.mendeley.com/documents/?uuid=541b301a-8be1-3388-ab08-1709a709e412"]}],"mendeley":{"formattedCitation":"(11)","plainTextFormattedCitation":"(11)","previouslyFormattedCitation":"(11)"},"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(11)</w:t>
            </w:r>
            <w:r w:rsidRPr="006E42E0">
              <w:rPr>
                <w:rFonts w:ascii="Verdana" w:eastAsia="Times New Roman" w:hAnsi="Verdana" w:cs="Arial"/>
                <w:color w:val="000000"/>
                <w:sz w:val="16"/>
                <w:szCs w:val="20"/>
                <w:lang w:val="nl-NL" w:eastAsia="nl-NL"/>
              </w:rPr>
              <w:fldChar w:fldCharType="end"/>
            </w:r>
          </w:p>
        </w:tc>
      </w:tr>
      <w:tr w:rsidR="005C5BE9" w:rsidRPr="006E42E0" w14:paraId="00F709CE" w14:textId="77777777" w:rsidTr="00E02DA9">
        <w:tc>
          <w:tcPr>
            <w:tcW w:w="1098" w:type="dxa"/>
            <w:tcBorders>
              <w:top w:val="nil"/>
              <w:left w:val="single" w:sz="4" w:space="0" w:color="auto"/>
              <w:bottom w:val="single" w:sz="4" w:space="0" w:color="auto"/>
              <w:right w:val="nil"/>
            </w:tcBorders>
            <w:shd w:val="clear" w:color="000000" w:fill="DDEBF7"/>
            <w:noWrap/>
            <w:vAlign w:val="bottom"/>
            <w:hideMark/>
          </w:tcPr>
          <w:p w14:paraId="00B28DDF"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POT1</w:t>
            </w:r>
          </w:p>
        </w:tc>
        <w:tc>
          <w:tcPr>
            <w:tcW w:w="1591" w:type="dxa"/>
            <w:tcBorders>
              <w:top w:val="nil"/>
              <w:left w:val="nil"/>
              <w:bottom w:val="single" w:sz="4" w:space="0" w:color="auto"/>
              <w:right w:val="nil"/>
            </w:tcBorders>
            <w:shd w:val="clear" w:color="000000" w:fill="DDEBF7"/>
            <w:noWrap/>
            <w:vAlign w:val="bottom"/>
            <w:hideMark/>
          </w:tcPr>
          <w:p w14:paraId="5CF9478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c.1071dup</w:t>
            </w:r>
          </w:p>
        </w:tc>
        <w:tc>
          <w:tcPr>
            <w:tcW w:w="1701" w:type="dxa"/>
            <w:tcBorders>
              <w:top w:val="nil"/>
              <w:left w:val="nil"/>
              <w:bottom w:val="single" w:sz="4" w:space="0" w:color="auto"/>
              <w:right w:val="nil"/>
            </w:tcBorders>
            <w:shd w:val="clear" w:color="000000" w:fill="DDEBF7"/>
            <w:noWrap/>
            <w:vAlign w:val="bottom"/>
            <w:hideMark/>
          </w:tcPr>
          <w:p w14:paraId="6239E3A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NM_015450.2</w:t>
            </w:r>
          </w:p>
        </w:tc>
        <w:tc>
          <w:tcPr>
            <w:tcW w:w="1507" w:type="dxa"/>
            <w:tcBorders>
              <w:top w:val="nil"/>
              <w:left w:val="nil"/>
              <w:bottom w:val="single" w:sz="4" w:space="0" w:color="auto"/>
              <w:right w:val="nil"/>
            </w:tcBorders>
            <w:shd w:val="clear" w:color="000000" w:fill="DDEBF7"/>
            <w:noWrap/>
            <w:vAlign w:val="bottom"/>
            <w:hideMark/>
          </w:tcPr>
          <w:p w14:paraId="61DE77C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p.(Gln358Serfs)</w:t>
            </w:r>
          </w:p>
        </w:tc>
        <w:tc>
          <w:tcPr>
            <w:tcW w:w="940" w:type="dxa"/>
            <w:tcBorders>
              <w:top w:val="nil"/>
              <w:left w:val="nil"/>
              <w:bottom w:val="single" w:sz="4" w:space="0" w:color="auto"/>
              <w:right w:val="nil"/>
            </w:tcBorders>
            <w:shd w:val="clear" w:color="000000" w:fill="DDEBF7"/>
            <w:noWrap/>
            <w:vAlign w:val="bottom"/>
            <w:hideMark/>
          </w:tcPr>
          <w:p w14:paraId="2EA5AA1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single" w:sz="4" w:space="0" w:color="auto"/>
              <w:right w:val="nil"/>
            </w:tcBorders>
            <w:shd w:val="clear" w:color="000000" w:fill="DDEBF7"/>
            <w:noWrap/>
            <w:vAlign w:val="bottom"/>
            <w:hideMark/>
          </w:tcPr>
          <w:p w14:paraId="247A1E6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single" w:sz="4" w:space="0" w:color="auto"/>
              <w:right w:val="nil"/>
            </w:tcBorders>
            <w:shd w:val="clear" w:color="000000" w:fill="DDEBF7"/>
            <w:noWrap/>
            <w:vAlign w:val="bottom"/>
            <w:hideMark/>
          </w:tcPr>
          <w:p w14:paraId="7BEE03A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single" w:sz="4" w:space="0" w:color="auto"/>
              <w:right w:val="single" w:sz="4" w:space="0" w:color="auto"/>
            </w:tcBorders>
            <w:shd w:val="clear" w:color="000000" w:fill="DDEBF7"/>
            <w:noWrap/>
            <w:vAlign w:val="bottom"/>
            <w:hideMark/>
          </w:tcPr>
          <w:p w14:paraId="750FFA0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{"citationItems":[{"id":"ITEM-1","itemData":{"DOI":"10.1182/BLOOD-2016-01-695692","ISSN":"1528-0020","PMID":"27528712","abstract":"Chronic lymphocytic leukemia (CLL) can be familial; however, thus far no rare germ line disruptive alleles for CLL have been identified. We performed whole-exome sequencing of 66 CLL families, identifying 4 families where loss-of-function mutations in protection of telomeres 1 (POT1) co-segregated with CLL. The p.Tyr36Cys mutation is predicted to disrupt the interaction between POT1 and the telomeric overhang. The c.1164-1G&gt;A splice-site, p.Gln358SerfsTer13 frameshift, and p.Gln376Arg missense mutations are likely to impact the interaction between POT1 and adrenocortical dysplasia homolog (ACD), which is a part of the telomere-capping shelterin complex. We also identified mutations in ACD (c.752-2A&gt;C) and another shelterin component, telomeric repeat binding factor 2, interacting protein (p.Ala104Pro and p.Arg133Gln), in 3 CLL families. In a complementary analysis of 1083 cases and 5854 controls, the POT1 p.Gln376Arg variant, which has a global minor allele frequency of 0.0005, conferred a 3.61-fold increased risk of CLL(P=.009). This study further highlights telomere dysregulation as a key process in CLL development.","author":[{"dropping-particle":"","family":"Speedy","given":"Helen E.","non-dropping-particle":"","parse-names":false,"suffix":""},{"dropping-particle":"","family":"Kinnersley","given":"Ben","non-dropping-particle":"","parse-names":false,"suffix":""},{"dropping-particle":"","family":"Chubb","given":"Daniel","non-dropping-particle":"","parse-names":false,"suffix":""},{"dropping-particle":"","family":"Broderick","given":"Peter","non-dropping-particle":"","parse-names":false,"suffix":""},{"dropping-particle":"","family":"Law","given":"Philip J.","non-dropping-particle":"","parse-names":false,"suffix":""},{"dropping-particle":"","family":"Litchfield","given":"Kevin","non-dropping-particle":"","parse-names":false,"suffix":""},{"dropping-particle":"","family":"Jayne","given":"Sandrine","non-dropping-particle":"","parse-names":false,"suffix":""},{"dropping-particle":"","family":"Dyer","given":"Martin J.S.","non-dropping-particle":"","parse-names":false,"suffix":""},{"dropping-particle":"","family":"Dearden","given":"Claire","non-dropping-particle":"","parse-names":false,"suffix":""},{"dropping-particle":"","family":"Follows","given":"George A.","non-dropping-particle":"","parse-names":false,"suffix":""},{"dropping-particle":"","family":"Catovsky","given":"Daniel","non-dropping-particle":"","parse-names":false,"suffix":""},{"dropping-particle":"","family":"Houlston","given":"Richard S.","non-dropping-particle":"","parse-names":false,"suffix":""}],"container-title":"Blood","id":"ITEM-1","issue":"19","issued":{"date-parts":[["2016"]]},"page":"2319-2326","publisher":"Blood","title":"Germ line mutations in shelterin complex genes are associated with familial chronic lymphocytic leukemia","type":"article-journal","volume":"128"},"uris":["http://www.mendeley.com/documents/?uuid=ec80b6d9-899b-3217-a7ad-792ec15eebfc"]}],"mendeley":{"formattedCitation":"(12)","plainTextFormattedCitation":"(12)","previouslyFormattedCitation":"(12)"},"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(12)</w:t>
            </w:r>
            <w:r w:rsidRPr="006E42E0">
              <w:rPr>
                <w:rFonts w:ascii="Verdana" w:eastAsia="Times New Roman" w:hAnsi="Verdana" w:cs="Arial"/>
                <w:color w:val="000000"/>
                <w:sz w:val="16"/>
                <w:szCs w:val="20"/>
                <w:lang w:val="nl-NL" w:eastAsia="nl-NL"/>
              </w:rPr>
              <w:fldChar w:fldCharType="end"/>
            </w:r>
          </w:p>
        </w:tc>
      </w:tr>
      <w:tr w:rsidR="005C5BE9" w:rsidRPr="006E42E0" w14:paraId="6F449FA6" w14:textId="77777777" w:rsidTr="00E02DA9">
        <w:tc>
          <w:tcPr>
            <w:tcW w:w="1098" w:type="dxa"/>
            <w:tcBorders>
              <w:top w:val="nil"/>
              <w:left w:val="single" w:sz="4" w:space="0" w:color="auto"/>
              <w:bottom w:val="nil"/>
              <w:right w:val="nil"/>
            </w:tcBorders>
            <w:shd w:val="clear" w:color="auto" w:fill="auto"/>
            <w:noWrap/>
            <w:vAlign w:val="bottom"/>
            <w:hideMark/>
          </w:tcPr>
          <w:p w14:paraId="203FC6AE"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49B5C67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c.62A&gt;T</w:t>
            </w:r>
          </w:p>
        </w:tc>
        <w:tc>
          <w:tcPr>
            <w:tcW w:w="1701" w:type="dxa"/>
            <w:tcBorders>
              <w:top w:val="nil"/>
              <w:left w:val="nil"/>
              <w:bottom w:val="nil"/>
              <w:right w:val="nil"/>
            </w:tcBorders>
            <w:shd w:val="clear" w:color="auto" w:fill="auto"/>
            <w:noWrap/>
            <w:vAlign w:val="bottom"/>
            <w:hideMark/>
          </w:tcPr>
          <w:p w14:paraId="5D8AE27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noWrap/>
            <w:vAlign w:val="bottom"/>
            <w:hideMark/>
          </w:tcPr>
          <w:p w14:paraId="341E9F5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p.(Gln21Leu)</w:t>
            </w:r>
          </w:p>
        </w:tc>
        <w:tc>
          <w:tcPr>
            <w:tcW w:w="940" w:type="dxa"/>
            <w:tcBorders>
              <w:top w:val="nil"/>
              <w:left w:val="nil"/>
              <w:bottom w:val="nil"/>
              <w:right w:val="nil"/>
            </w:tcBorders>
            <w:shd w:val="clear" w:color="auto" w:fill="auto"/>
            <w:noWrap/>
            <w:vAlign w:val="bottom"/>
            <w:hideMark/>
          </w:tcPr>
          <w:p w14:paraId="15D3714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6BAC50E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4CA8B80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7FA81BE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6CF68420" w14:textId="77777777" w:rsidTr="00E02DA9">
        <w:tc>
          <w:tcPr>
            <w:tcW w:w="1098" w:type="dxa"/>
            <w:tcBorders>
              <w:top w:val="nil"/>
              <w:left w:val="single" w:sz="4" w:space="0" w:color="auto"/>
              <w:bottom w:val="nil"/>
              <w:right w:val="nil"/>
            </w:tcBorders>
            <w:shd w:val="clear" w:color="000000" w:fill="DDEBF7"/>
            <w:noWrap/>
            <w:vAlign w:val="bottom"/>
            <w:hideMark/>
          </w:tcPr>
          <w:p w14:paraId="36AD9F03"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3DBA0BB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c.1037G&gt;A</w:t>
            </w:r>
          </w:p>
        </w:tc>
        <w:tc>
          <w:tcPr>
            <w:tcW w:w="1701" w:type="dxa"/>
            <w:tcBorders>
              <w:top w:val="nil"/>
              <w:left w:val="nil"/>
              <w:bottom w:val="nil"/>
              <w:right w:val="nil"/>
            </w:tcBorders>
            <w:shd w:val="clear" w:color="000000" w:fill="DDEBF7"/>
            <w:noWrap/>
            <w:vAlign w:val="bottom"/>
            <w:hideMark/>
          </w:tcPr>
          <w:p w14:paraId="2560F66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13D89AD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p.(Ser346Asn)</w:t>
            </w:r>
          </w:p>
        </w:tc>
        <w:tc>
          <w:tcPr>
            <w:tcW w:w="940" w:type="dxa"/>
            <w:tcBorders>
              <w:top w:val="nil"/>
              <w:left w:val="nil"/>
              <w:bottom w:val="nil"/>
              <w:right w:val="nil"/>
            </w:tcBorders>
            <w:shd w:val="clear" w:color="000000" w:fill="DDEBF7"/>
            <w:noWrap/>
            <w:vAlign w:val="bottom"/>
            <w:hideMark/>
          </w:tcPr>
          <w:p w14:paraId="77B9EFE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3334F55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850" w:type="dxa"/>
            <w:tcBorders>
              <w:top w:val="nil"/>
              <w:left w:val="nil"/>
              <w:bottom w:val="nil"/>
              <w:right w:val="nil"/>
            </w:tcBorders>
            <w:shd w:val="clear" w:color="000000" w:fill="DDEBF7"/>
            <w:noWrap/>
            <w:vAlign w:val="bottom"/>
            <w:hideMark/>
          </w:tcPr>
          <w:p w14:paraId="11B4D9A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620ECDB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33EF7024" w14:textId="77777777" w:rsidTr="00E02DA9">
        <w:tc>
          <w:tcPr>
            <w:tcW w:w="1098" w:type="dxa"/>
            <w:tcBorders>
              <w:top w:val="nil"/>
              <w:left w:val="single" w:sz="4" w:space="0" w:color="auto"/>
              <w:bottom w:val="nil"/>
              <w:right w:val="nil"/>
            </w:tcBorders>
            <w:shd w:val="clear" w:color="auto" w:fill="auto"/>
            <w:noWrap/>
            <w:vAlign w:val="bottom"/>
            <w:hideMark/>
          </w:tcPr>
          <w:p w14:paraId="4837A4A1"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19B388A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c.1038-5G&gt;A </w:t>
            </w:r>
          </w:p>
        </w:tc>
        <w:tc>
          <w:tcPr>
            <w:tcW w:w="1701" w:type="dxa"/>
            <w:tcBorders>
              <w:top w:val="nil"/>
              <w:left w:val="nil"/>
              <w:bottom w:val="nil"/>
              <w:right w:val="nil"/>
            </w:tcBorders>
            <w:shd w:val="clear" w:color="auto" w:fill="auto"/>
            <w:noWrap/>
            <w:vAlign w:val="bottom"/>
            <w:hideMark/>
          </w:tcPr>
          <w:p w14:paraId="178D880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noWrap/>
            <w:vAlign w:val="bottom"/>
            <w:hideMark/>
          </w:tcPr>
          <w:p w14:paraId="2BA7E12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p.(?) </w:t>
            </w:r>
          </w:p>
        </w:tc>
        <w:tc>
          <w:tcPr>
            <w:tcW w:w="940" w:type="dxa"/>
            <w:tcBorders>
              <w:top w:val="nil"/>
              <w:left w:val="nil"/>
              <w:bottom w:val="nil"/>
              <w:right w:val="nil"/>
            </w:tcBorders>
            <w:shd w:val="clear" w:color="auto" w:fill="auto"/>
            <w:noWrap/>
            <w:vAlign w:val="bottom"/>
            <w:hideMark/>
          </w:tcPr>
          <w:p w14:paraId="6274D3D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36EF5D3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7D88BE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697B22B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234696E6" w14:textId="77777777" w:rsidTr="00E02DA9">
        <w:tc>
          <w:tcPr>
            <w:tcW w:w="1098" w:type="dxa"/>
            <w:tcBorders>
              <w:top w:val="nil"/>
              <w:left w:val="single" w:sz="4" w:space="0" w:color="auto"/>
              <w:bottom w:val="nil"/>
              <w:right w:val="nil"/>
            </w:tcBorders>
            <w:shd w:val="clear" w:color="000000" w:fill="DDEBF7"/>
            <w:noWrap/>
            <w:vAlign w:val="bottom"/>
            <w:hideMark/>
          </w:tcPr>
          <w:p w14:paraId="03ADEE9F"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42A7FF8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c.1073C&gt;T</w:t>
            </w:r>
          </w:p>
        </w:tc>
        <w:tc>
          <w:tcPr>
            <w:tcW w:w="1701" w:type="dxa"/>
            <w:tcBorders>
              <w:top w:val="nil"/>
              <w:left w:val="nil"/>
              <w:bottom w:val="nil"/>
              <w:right w:val="nil"/>
            </w:tcBorders>
            <w:shd w:val="clear" w:color="000000" w:fill="DDEBF7"/>
            <w:noWrap/>
            <w:vAlign w:val="bottom"/>
            <w:hideMark/>
          </w:tcPr>
          <w:p w14:paraId="4203FAD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2DBA3D6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p.(Tyr358Met)</w:t>
            </w:r>
          </w:p>
        </w:tc>
        <w:tc>
          <w:tcPr>
            <w:tcW w:w="940" w:type="dxa"/>
            <w:tcBorders>
              <w:top w:val="nil"/>
              <w:left w:val="nil"/>
              <w:bottom w:val="nil"/>
              <w:right w:val="nil"/>
            </w:tcBorders>
            <w:shd w:val="clear" w:color="000000" w:fill="DDEBF7"/>
            <w:noWrap/>
            <w:vAlign w:val="bottom"/>
            <w:hideMark/>
          </w:tcPr>
          <w:p w14:paraId="5CD18C1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6DF7ACEF"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51B24C9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4030981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1493CF40" w14:textId="77777777" w:rsidTr="00E02DA9">
        <w:tc>
          <w:tcPr>
            <w:tcW w:w="1098" w:type="dxa"/>
            <w:tcBorders>
              <w:top w:val="nil"/>
              <w:left w:val="single" w:sz="4" w:space="0" w:color="auto"/>
              <w:bottom w:val="nil"/>
              <w:right w:val="nil"/>
            </w:tcBorders>
            <w:shd w:val="clear" w:color="auto" w:fill="auto"/>
            <w:noWrap/>
            <w:vAlign w:val="bottom"/>
            <w:hideMark/>
          </w:tcPr>
          <w:p w14:paraId="6617BD69"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37CA466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c.1691C&gt;T</w:t>
            </w:r>
          </w:p>
        </w:tc>
        <w:tc>
          <w:tcPr>
            <w:tcW w:w="1701" w:type="dxa"/>
            <w:tcBorders>
              <w:top w:val="nil"/>
              <w:left w:val="nil"/>
              <w:bottom w:val="nil"/>
              <w:right w:val="nil"/>
            </w:tcBorders>
            <w:shd w:val="clear" w:color="auto" w:fill="auto"/>
            <w:noWrap/>
            <w:vAlign w:val="bottom"/>
            <w:hideMark/>
          </w:tcPr>
          <w:p w14:paraId="65FBAE6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noWrap/>
            <w:vAlign w:val="bottom"/>
            <w:hideMark/>
          </w:tcPr>
          <w:p w14:paraId="035EFFE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p.(Pro564Leu)</w:t>
            </w:r>
          </w:p>
        </w:tc>
        <w:tc>
          <w:tcPr>
            <w:tcW w:w="940" w:type="dxa"/>
            <w:tcBorders>
              <w:top w:val="nil"/>
              <w:left w:val="nil"/>
              <w:bottom w:val="nil"/>
              <w:right w:val="nil"/>
            </w:tcBorders>
            <w:shd w:val="clear" w:color="auto" w:fill="auto"/>
            <w:noWrap/>
            <w:vAlign w:val="bottom"/>
            <w:hideMark/>
          </w:tcPr>
          <w:p w14:paraId="6E8C5A9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197C67F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54AD343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13B7FDE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7120EB7D" w14:textId="77777777" w:rsidTr="00E02DA9">
        <w:tc>
          <w:tcPr>
            <w:tcW w:w="1098" w:type="dxa"/>
            <w:tcBorders>
              <w:top w:val="nil"/>
              <w:left w:val="single" w:sz="4" w:space="0" w:color="auto"/>
              <w:bottom w:val="nil"/>
              <w:right w:val="nil"/>
            </w:tcBorders>
            <w:shd w:val="clear" w:color="000000" w:fill="DDEBF7"/>
            <w:noWrap/>
            <w:vAlign w:val="bottom"/>
            <w:hideMark/>
          </w:tcPr>
          <w:p w14:paraId="05827F4E"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7A5A778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c.1972_1974del</w:t>
            </w:r>
          </w:p>
        </w:tc>
        <w:tc>
          <w:tcPr>
            <w:tcW w:w="1701" w:type="dxa"/>
            <w:tcBorders>
              <w:top w:val="nil"/>
              <w:left w:val="nil"/>
              <w:bottom w:val="nil"/>
              <w:right w:val="nil"/>
            </w:tcBorders>
            <w:shd w:val="clear" w:color="000000" w:fill="DDEBF7"/>
            <w:noWrap/>
            <w:vAlign w:val="bottom"/>
            <w:hideMark/>
          </w:tcPr>
          <w:p w14:paraId="7BA8459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018394A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p.(Leu658del)</w:t>
            </w:r>
          </w:p>
        </w:tc>
        <w:tc>
          <w:tcPr>
            <w:tcW w:w="940" w:type="dxa"/>
            <w:tcBorders>
              <w:top w:val="nil"/>
              <w:left w:val="nil"/>
              <w:bottom w:val="nil"/>
              <w:right w:val="nil"/>
            </w:tcBorders>
            <w:shd w:val="clear" w:color="000000" w:fill="DDEBF7"/>
            <w:noWrap/>
            <w:vAlign w:val="bottom"/>
            <w:hideMark/>
          </w:tcPr>
          <w:p w14:paraId="2FEA341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46DE22E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850" w:type="dxa"/>
            <w:tcBorders>
              <w:top w:val="nil"/>
              <w:left w:val="nil"/>
              <w:bottom w:val="nil"/>
              <w:right w:val="nil"/>
            </w:tcBorders>
            <w:shd w:val="clear" w:color="000000" w:fill="DDEBF7"/>
            <w:noWrap/>
            <w:vAlign w:val="bottom"/>
            <w:hideMark/>
          </w:tcPr>
          <w:p w14:paraId="52ED487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5</w:t>
            </w:r>
            <w:r w:rsidRPr="006E42E0">
              <w:rPr>
                <w:rFonts w:ascii="Verdana" w:eastAsia="Times New Roman" w:hAnsi="Verdana" w:cs="Arial"/>
                <w:color w:val="000000"/>
                <w:sz w:val="16"/>
                <w:szCs w:val="20"/>
                <w:vertAlign w:val="superscript"/>
                <w:lang w:val="nl-NL" w:eastAsia="nl-NL"/>
              </w:rPr>
              <w:t>#</w:t>
            </w:r>
          </w:p>
        </w:tc>
        <w:tc>
          <w:tcPr>
            <w:tcW w:w="2065" w:type="dxa"/>
            <w:tcBorders>
              <w:top w:val="nil"/>
              <w:left w:val="nil"/>
              <w:bottom w:val="nil"/>
              <w:right w:val="single" w:sz="4" w:space="0" w:color="auto"/>
            </w:tcBorders>
            <w:shd w:val="clear" w:color="000000" w:fill="DDEBF7"/>
            <w:noWrap/>
            <w:vAlign w:val="bottom"/>
            <w:hideMark/>
          </w:tcPr>
          <w:p w14:paraId="74014E2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mutation","type":"article-journal","volume":"57"},"uris":["http://www.mendeley.com/documents/?uuid=449872d5-b359-3355-8d25-fe681381e043"]},{"id":"ITEM-2","itemData":{"DOI":"10.3390/IJMS24032790/S1","ISSN":"14220067","PMID":"36769106","abstract":"In only around 40% of families with pulmonary fibrosis (PF) a suspected genetic cause can be found. Genetic overlap analysis of Whole Exome Sequencing (WES) data may be a powerful tool to discover new shared variants in novel genes for PF. As a proof of principle, we first selected unrelated PF patients for whom a genetic variant was detected (n = 125) in established PF genes and searched for overlapping variants. Second, we performed WES (n = 149) and identified novel potentially deleterious variants shared by at least two unrelated PF patients. These variants were genotyped in validation cohorts (n = 2748). In 125 unrelated patients, a potentially deleterious variant was detected in known PF genes of which 15 variants in six genes overlapped, involving 51 patients. Overlap analysis of WES data identified two novel variants of interest: TOM1L2 c.421T &gt; C p.(Y141H) and TDP1c.1373dupG p.(S459fs*5), neither gene had been related to pulmonary fibrosis before. Both proteins were present in the alveolar epithelium. No apparent characteristics of telomere disease were observed. This study underlines the potential of searching for overlapping rare potentially deleterious variants to identify disease-associated variants and genes. A previously unreported variant was found in two putative new PF genes, but further research is needed to determine causality.","author":[{"dropping-particle":"","family":"Groen","given":"Karlijn","non-dropping-particle":"","parse-names":false,"suffix":""},{"dropping-particle":"","family":"Vis","given":"Joanne J.","non-dropping-particle":"van der","parse-names":false,"suffix":""},{"dropping-particle":"","family":"Batenburg","given":"Aernoud A.","non-dropping-particle":"van","parse-names":false,"suffix":""},{"dropping-particle":"","family":"Kazemier","given":"Karin M.","non-dropping-particle":"","parse-names":false,"suffix":""},{"dropping-particle":"","family":"Grutters","given":"Jan C.","non-dropping-particle":"","parse-names":false,"suffix":""},{"dropping-particle":"","family":"Moorsel","given":"Coline H.M.","non-dropping-particle":"van","parse-names":false,"suffix":""}],"container-title":"International Journal of Molecular Sciences","id":"ITEM-2","issue":"3","issued":{"date-parts":[["2023","2","1"]]},"page":"2790","publisher":"MDPI","title":"Genetic Variant Overlap Analysis Identifies Established and Putative Genes Involved in Pulmonary Fibrosis","type":"article-journal","volume":"24"},"uris":["http://www.mendeley.com/documents/?uuid=f4432c82-cf80-3750-aff9-97c9f349db64"]}],"mendeley":{"formattedCitation":"(7,8)","plainTextFormattedCitation":"(7,8)","previouslyFormattedCitation":"(7,8)"},"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(7,8)</w:t>
            </w:r>
            <w:r w:rsidRPr="006E42E0">
              <w:rPr>
                <w:rFonts w:ascii="Verdana" w:eastAsia="Times New Roman" w:hAnsi="Verdana" w:cs="Arial"/>
                <w:color w:val="000000"/>
                <w:sz w:val="16"/>
                <w:szCs w:val="20"/>
                <w:lang w:val="nl-NL" w:eastAsia="nl-NL"/>
              </w:rPr>
              <w:fldChar w:fldCharType="end"/>
            </w:r>
            <w:r w:rsidRPr="006E42E0">
              <w:rPr>
                <w:rFonts w:ascii="Verdana" w:eastAsia="Times New Roman" w:hAnsi="Verdana" w:cs="Arial"/>
                <w:color w:val="000000"/>
                <w:sz w:val="16"/>
                <w:szCs w:val="20"/>
                <w:lang w:val="nl-NL" w:eastAsia="nl-NL"/>
              </w:rPr>
              <w:t xml:space="preserve"> </w:t>
            </w:r>
          </w:p>
        </w:tc>
      </w:tr>
      <w:tr w:rsidR="005C5BE9" w:rsidRPr="006E42E0" w14:paraId="6138B376" w14:textId="77777777" w:rsidTr="00E02DA9">
        <w:tc>
          <w:tcPr>
            <w:tcW w:w="1098" w:type="dxa"/>
            <w:tcBorders>
              <w:top w:val="nil"/>
              <w:left w:val="single" w:sz="4" w:space="0" w:color="auto"/>
              <w:bottom w:val="nil"/>
              <w:right w:val="nil"/>
            </w:tcBorders>
            <w:shd w:val="clear" w:color="auto" w:fill="auto"/>
            <w:noWrap/>
            <w:vAlign w:val="bottom"/>
            <w:hideMark/>
          </w:tcPr>
          <w:p w14:paraId="16F6FDD8"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1C74FC7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c.2035C&gt;G</w:t>
            </w:r>
          </w:p>
        </w:tc>
        <w:tc>
          <w:tcPr>
            <w:tcW w:w="1701" w:type="dxa"/>
            <w:tcBorders>
              <w:top w:val="nil"/>
              <w:left w:val="nil"/>
              <w:bottom w:val="nil"/>
              <w:right w:val="nil"/>
            </w:tcBorders>
            <w:shd w:val="clear" w:color="auto" w:fill="auto"/>
            <w:noWrap/>
            <w:vAlign w:val="bottom"/>
            <w:hideMark/>
          </w:tcPr>
          <w:p w14:paraId="4F05650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NM_032957.5</w:t>
            </w:r>
          </w:p>
        </w:tc>
        <w:tc>
          <w:tcPr>
            <w:tcW w:w="1507" w:type="dxa"/>
            <w:tcBorders>
              <w:top w:val="nil"/>
              <w:left w:val="nil"/>
              <w:bottom w:val="nil"/>
              <w:right w:val="nil"/>
            </w:tcBorders>
            <w:shd w:val="clear" w:color="auto" w:fill="auto"/>
            <w:noWrap/>
            <w:vAlign w:val="bottom"/>
            <w:hideMark/>
          </w:tcPr>
          <w:p w14:paraId="1D0084B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p.(Arg679Gly)</w:t>
            </w:r>
          </w:p>
        </w:tc>
        <w:tc>
          <w:tcPr>
            <w:tcW w:w="940" w:type="dxa"/>
            <w:tcBorders>
              <w:top w:val="nil"/>
              <w:left w:val="nil"/>
              <w:bottom w:val="nil"/>
              <w:right w:val="nil"/>
            </w:tcBorders>
            <w:shd w:val="clear" w:color="auto" w:fill="auto"/>
            <w:noWrap/>
            <w:vAlign w:val="bottom"/>
            <w:hideMark/>
          </w:tcPr>
          <w:p w14:paraId="37EF766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789D5FA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850" w:type="dxa"/>
            <w:tcBorders>
              <w:top w:val="nil"/>
              <w:left w:val="nil"/>
              <w:bottom w:val="nil"/>
              <w:right w:val="nil"/>
            </w:tcBorders>
            <w:shd w:val="clear" w:color="auto" w:fill="auto"/>
            <w:noWrap/>
            <w:vAlign w:val="bottom"/>
            <w:hideMark/>
          </w:tcPr>
          <w:p w14:paraId="486B392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2065" w:type="dxa"/>
            <w:tcBorders>
              <w:top w:val="nil"/>
              <w:left w:val="nil"/>
              <w:bottom w:val="nil"/>
              <w:right w:val="single" w:sz="4" w:space="0" w:color="auto"/>
            </w:tcBorders>
            <w:shd w:val="clear" w:color="auto" w:fill="auto"/>
            <w:noWrap/>
            <w:vAlign w:val="bottom"/>
            <w:hideMark/>
          </w:tcPr>
          <w:p w14:paraId="547D2D1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{"citationItems":[{"id":"ITEM-1","itemData":{"DOI":"10.1016/S2213-2600(18)30135-8","ISSN":"2213-2619","PMID":"29891356","abstract":"Background: Idiopathic pulmonary fibrosis (IPF) risk has a strong genetic component. Studies have implicated variations at several loci, including TERT, surfactant genes, and a single nucleotide polymorphism at chr11p15 (rs35705950) in the intergenic region between TOLLIP and MUC5B. Patients with IPF who have risk alleles at rs35705950 have longer survival from the time of IPF diagnosis than do patients homozygous for the non-risk allele, whereas patients with shorter telomeres have shorter survival times. We aimed to assess whether rare protein-altering variants in genes regulating telomere length are enriched in patients with IPF homozygous for the non-risk alleles at rs35705950. Methods: Between Nov 1, 2014, and Nov 1, 2016, we assessed blood samples from patients aged 40 years or older and of European ancestry with sporadic IPF from three international phase 3 clinical trials (INSPIRE, CAPACITY, ASCEND), one phase 2 study (RIFF), and US-based observational studies (Vanderbilt Clinical Interstitial Lung Disease Registry and the UCSF Interstitial Lung Disease Clinic registry cohorts) at the Broad Institute (Cambridge, MA, USA) and Human Longevity (San Diego, CA, USA). We also assessed blood samples from non-IPF controls in several clinical trials. We did whole-genome sequencing to assess telomere length and identify rare protein-altering variants, stratified by rs35705950 genotype. We also assessed rare functional variation in TERT exons and compared telomere length and disease progression across genotypes. Findings: We assessed samples from 1510 patients with IPF and 1874 non-IPF controls. 30 (3%) of 1046 patients with an rs35705950 risk allele had a rare protein-altering variant in TERT compared with 34 (7%) of 464 non-risk allele carriers (odds ratio 0·40 [95% CI 0·24–0·66], p=0·00039). Subsequent analyses identified enrichment of rare protein-altering variants in PARN and RTEL1, and rare variation in TERC in patients with IPF compared with controls. We expanded our study population to provide a more accurate estimation of rare variant frequency in these four loci, and to calculate telomere length. The proportion of patients with at least one rare variant in TERT, PARN, TERC, or RTEL1 was higher in patients with IPF than in controls (149 [9%] of 1739 patients vs 205 [2%] of 8645 controls, p=2·44 × 10−8). Patients with IPF who had a variant in any of the four identified telomerase component genes had telomeres that were 3·69–16·10% shorter than pati…","author":[{"dropping-particle":"","family":"Dressen","given":"Amy","non-dropping-particle":"","parse-names":false,"suffix":""},{"dropping-particle":"","family":"Abbas","given":"Alexander R.","non-dropping-particle":"","parse-names":false,"suffix":""},{"dropping-particle":"","family":"Cabanski","given":"Christopher","non-dropping-particle":"","parse-names":false,"suffix":""},{"dropping-particle":"","family":"Reeder","given":"Janina","non-dropping-particle":"","parse-names":false,"suffix":""},{"dropping-particle":"","family":"Ramalingam","given":"Thirumalai R.","non-dropping-particle":"","parse-names":false,"suffix":""},{"dropping-particle":"","family":"Neighbors","given":"Margaret","non-dropping-particle":"","parse-names":false,"suffix":""},{"dropping-particle":"","family":"Bhangale","given":"Tushar R.","non-dropping-particle":"","parse-names":false,"suffix":""},{"dropping-particle":"","family":"Brauer","given":"Matthew J.","non-dropping-particle":"","parse-names":false,"suffix":""},{"dropping-particle":"","family":"Hunkapiller","given":"Julie","non-dropping-particle":"","parse-names":false,"suffix":""},{"dropping-particle":"","family":"Reeder","given":"Jens","non-dropping-particle":"","parse-names":false,"suffix":""},{"dropping-particle":"","family":"Mukhyala","given":"Kiran","non-dropping-particle":"","parse-names":false,"suffix":""},{"dropping-particle":"","family":"Cuenco","given":"Karen","non-dropping-particle":"","parse-names":false,"suffix":""},{"dropping-particle":"","family":"Tom","given":"Jennifer","non-dropping-particle":"","parse-names":false,"suffix":""},{"dropping-particle":"","family":"Cowgill","given":"Amy","non-dropping-particle":"","parse-names":false,"suffix":""},{"dropping-particle":"","family":"Vogel","given":"Jan","non-dropping-particle":"","parse-names":false,"suffix":""},{"dropping-particle":"","family":"Forrest","given":"William F.","non-dropping-particle":"","parse-names":false,"suffix":""},{"dropping-particle":"","family":"Collard","given":"Harold R.","non-dropping-particle":"","parse-names":false,"suffix":""},{"dropping-particle":"","family":"Wolters","given":"Paul J.","non-dropping-particle":"","parse-names":false,"suffix":""},{"dropping-particle":"","family":"Kropski","given":"Jonathan A.","non-dropping-particle":"","parse-names":false,"suffix":""},{"dropping-particle":"","family":"Lancaster","given":"Lisa H.","non-dropping-particle":"","parse-names":false,"suffix":""},{"dropping-particle":"","family":"Blackwell","given":"Timothy S.","non-dropping-particle":"","parse-names":false,"suffix":""},{"dropping-particle":"","family":"Arron","given":"Joseph R.","non-dropping-particle":"","parse-names":false,"suffix":""},{"dropping-particle":"","family":"Yaspan","given":"Brian L.","non-dropping-particle":"","parse-names":false,"suffix":""}],"container-title":"The Lancet. Respiratory medicine","id":"ITEM-1","issue":"8","issued":{"date-parts":[["2018","8","1"]]},"page":"603-614","publisher":"Lancet Respir Med","title":"Analysis of protein-altering variants in telomerase genes and their association with MUC5B common variant status in patients with idiopathic pulmonary fibrosis: a candidate gene sequencing study","type":"article-journal","volume":"6"},"uris":["http://www.mendeley.com/documents/?uuid=55704541-9ff7-341c-ae97-7c383b83fb44"]}],"mendeley":{"formattedCitation":"(13)","plainTextFormattedCitation":"(13)","previouslyFormattedCitation":"(13)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(13)</w:t>
            </w:r>
            <w:r w:rsidRPr="006E42E0">
              <w:rPr>
                <w:rFonts w:ascii="Verdana" w:eastAsia="Times New Roman" w:hAnsi="Verdana" w:cs="Arial"/>
                <w:color w:val="000000"/>
                <w:sz w:val="16"/>
                <w:szCs w:val="20"/>
                <w:lang w:val="nl-NL" w:eastAsia="nl-NL"/>
              </w:rPr>
              <w:fldChar w:fldCharType="end"/>
            </w:r>
          </w:p>
        </w:tc>
      </w:tr>
      <w:tr w:rsidR="005C5BE9" w:rsidRPr="006E42E0" w14:paraId="0EF3B4E6" w14:textId="77777777" w:rsidTr="00E02DA9">
        <w:tc>
          <w:tcPr>
            <w:tcW w:w="1098" w:type="dxa"/>
            <w:tcBorders>
              <w:top w:val="nil"/>
              <w:left w:val="single" w:sz="4" w:space="0" w:color="auto"/>
              <w:bottom w:val="nil"/>
              <w:right w:val="nil"/>
            </w:tcBorders>
            <w:shd w:val="clear" w:color="000000" w:fill="DDEBF7"/>
            <w:noWrap/>
            <w:vAlign w:val="bottom"/>
            <w:hideMark/>
          </w:tcPr>
          <w:p w14:paraId="57498E5B"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3BE726C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c.2186 G&gt;A</w:t>
            </w:r>
          </w:p>
        </w:tc>
        <w:tc>
          <w:tcPr>
            <w:tcW w:w="1701" w:type="dxa"/>
            <w:tcBorders>
              <w:top w:val="nil"/>
              <w:left w:val="nil"/>
              <w:bottom w:val="nil"/>
              <w:right w:val="nil"/>
            </w:tcBorders>
            <w:shd w:val="clear" w:color="000000" w:fill="DDEBF7"/>
            <w:noWrap/>
            <w:vAlign w:val="bottom"/>
            <w:hideMark/>
          </w:tcPr>
          <w:p w14:paraId="2DC690F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35B3CE7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p.(Arg729His)</w:t>
            </w:r>
          </w:p>
        </w:tc>
        <w:tc>
          <w:tcPr>
            <w:tcW w:w="940" w:type="dxa"/>
            <w:tcBorders>
              <w:top w:val="nil"/>
              <w:left w:val="nil"/>
              <w:bottom w:val="nil"/>
              <w:right w:val="nil"/>
            </w:tcBorders>
            <w:shd w:val="clear" w:color="000000" w:fill="DDEBF7"/>
            <w:noWrap/>
            <w:vAlign w:val="bottom"/>
            <w:hideMark/>
          </w:tcPr>
          <w:p w14:paraId="4E054FD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3CD4374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3</w:t>
            </w:r>
          </w:p>
        </w:tc>
        <w:tc>
          <w:tcPr>
            <w:tcW w:w="850" w:type="dxa"/>
            <w:tcBorders>
              <w:top w:val="nil"/>
              <w:left w:val="nil"/>
              <w:bottom w:val="nil"/>
              <w:right w:val="nil"/>
            </w:tcBorders>
            <w:shd w:val="clear" w:color="000000" w:fill="DDEBF7"/>
            <w:noWrap/>
            <w:vAlign w:val="bottom"/>
            <w:hideMark/>
          </w:tcPr>
          <w:p w14:paraId="34589E2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3</w:t>
            </w:r>
          </w:p>
        </w:tc>
        <w:tc>
          <w:tcPr>
            <w:tcW w:w="2065" w:type="dxa"/>
            <w:tcBorders>
              <w:top w:val="nil"/>
              <w:left w:val="nil"/>
              <w:bottom w:val="nil"/>
              <w:right w:val="single" w:sz="4" w:space="0" w:color="auto"/>
            </w:tcBorders>
            <w:shd w:val="clear" w:color="000000" w:fill="DDEBF7"/>
            <w:noWrap/>
            <w:vAlign w:val="bottom"/>
            <w:hideMark/>
          </w:tcPr>
          <w:p w14:paraId="46B7A9A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{"citationItems":[{"id":"ITEM-1","itemData":{"DOI":"10.1371/journal.pone.0226785","ISSN":"19326203","abstract":"© 2020 van Batenburg et al. This is an open access article distributed under the terms of the Creative Commons Attribution License, which permits unrestricted use, distribution, and reproduction in any medium, provided the original author and source are credited. Rationale A subset of patients with idiopathic pulmonary fibrosis (IPF) contains short leukocyte telomeres or telomere related mutations. We previously showed that alveolar type 2 cells have short telomeres in fibrotic lesions. Our objectives were to better understand how telomere shortening associates with fibrosis in IPF lung and identify a subset of patients with telomere- related disease. Methods Average telomere length was determined in multiple organs, basal and apical lung, and diagnostic and end-stage fibrotic lung biopsies. Alveolar type 2 cells telomere length was determined in different areas of IPF lungs. Results In IPF but not in controls, telomere length in lung was shorter than in other organs, providing rationale to focus on telomere length in lung. Telomere length did not correlate with age and no difference in telomere length was found between diagnostic and explant lung or between basal and apical lung, irrespective of the presence of a radiological apicobasal gradient or fibrosis. Fifteen out of 28 IPF patients had average lung telomere length in the range of patients with a telomerase (TERT) mutation, and formed the IPFshort group. Only in this IPFshort and TERT group telomeres of alveolar type 2 cells were extremely short in fibrotic areas. Additionally, whole exome sequencing of IPF patients revealed two genetic variations in RTEL1 and one in PARN in the IPFshort group. Conclusions Average lung tissue telomere shortening does not associated with fibrotic patterns in IPF, however, approximately half of IPF patients show excessive lung telomere shortening that is associated with pulmonary fibrosis driven by telomere attrition.","author":[{"dropping-particle":"","family":"Batenburg","given":"A.A.","non-dropping-particle":"Van","parse-names":false,"suffix":""},{"dropping-particle":"","family":"Kazemier","given":"K.M.","non-dropping-particle":"","parse-names":false,"suffix":""},{"dropping-particle":"","family":"Oosterhout","given":"M.F.M.","non-dropping-particle":"Van","parse-names":false,"suffix":""},{"dropping-particle":"","family":"Vis","given":"J.J.","non-dropping-particle":"Van Der","parse-names":false,"suffix":""},{"dropping-particle":"","family":"Es","given":"H.W.","non-dropping-particle":"Van","parse-names":false,"suffix":""},{"dropping-particle":"","family":"Grutters","given":"J.C.","non-dropping-particle":"","parse-names":false,"suffix":""},{"dropping-particle":"","family":"Goldschmeding","given":"R.","non-dropping-particle":"","parse-names":false,"suffix":""},{"dropping-particle":"","family":"Moorsel","given":"C.H.M.","non-dropping-particle":"Van","parse-names":false,"suffix":""}],"container-title":"PLoS ONE","id":"ITEM-1","issue":"1","issued":{"date-parts":[["2020"]]},"title":"From organ to cell: Multi-level telomere length assessment in patients with idiopathic pulmonary fibrosis","type":"article-journal","volume":"15"},"uris":["http://www.mendeley.com/documents/?uuid=182f7b74-367e-39fd-99b8-b992a9be63b0"]}],"mendeley":{"formattedCitation":"(14)","plainTextFormattedCitation":"(14)","previouslyFormattedCitation":"(14)"},"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(14)</w:t>
            </w:r>
            <w:r w:rsidRPr="006E42E0">
              <w:rPr>
                <w:rFonts w:ascii="Verdana" w:eastAsia="Times New Roman" w:hAnsi="Verdana" w:cs="Arial"/>
                <w:color w:val="000000"/>
                <w:sz w:val="16"/>
                <w:szCs w:val="20"/>
                <w:lang w:val="nl-NL" w:eastAsia="nl-NL"/>
              </w:rPr>
              <w:fldChar w:fldCharType="end"/>
            </w:r>
          </w:p>
        </w:tc>
      </w:tr>
      <w:tr w:rsidR="005C5BE9" w:rsidRPr="006E42E0" w14:paraId="551944CB" w14:textId="77777777" w:rsidTr="00E02DA9">
        <w:tc>
          <w:tcPr>
            <w:tcW w:w="1098" w:type="dxa"/>
            <w:tcBorders>
              <w:top w:val="nil"/>
              <w:left w:val="single" w:sz="4" w:space="0" w:color="auto"/>
              <w:bottom w:val="nil"/>
              <w:right w:val="nil"/>
            </w:tcBorders>
            <w:shd w:val="clear" w:color="auto" w:fill="auto"/>
            <w:noWrap/>
            <w:vAlign w:val="bottom"/>
            <w:hideMark/>
          </w:tcPr>
          <w:p w14:paraId="366F9780"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7213C8F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c.2870G&gt;A</w:t>
            </w:r>
          </w:p>
        </w:tc>
        <w:tc>
          <w:tcPr>
            <w:tcW w:w="1701" w:type="dxa"/>
            <w:tcBorders>
              <w:top w:val="nil"/>
              <w:left w:val="nil"/>
              <w:bottom w:val="nil"/>
              <w:right w:val="nil"/>
            </w:tcBorders>
            <w:shd w:val="clear" w:color="auto" w:fill="auto"/>
            <w:noWrap/>
            <w:vAlign w:val="bottom"/>
            <w:hideMark/>
          </w:tcPr>
          <w:p w14:paraId="7C117FC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noWrap/>
            <w:vAlign w:val="bottom"/>
            <w:hideMark/>
          </w:tcPr>
          <w:p w14:paraId="4660ADD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p.(Arg957Gln)</w:t>
            </w:r>
          </w:p>
        </w:tc>
        <w:tc>
          <w:tcPr>
            <w:tcW w:w="940" w:type="dxa"/>
            <w:tcBorders>
              <w:top w:val="nil"/>
              <w:left w:val="nil"/>
              <w:bottom w:val="nil"/>
              <w:right w:val="nil"/>
            </w:tcBorders>
            <w:shd w:val="clear" w:color="auto" w:fill="auto"/>
            <w:noWrap/>
            <w:vAlign w:val="bottom"/>
            <w:hideMark/>
          </w:tcPr>
          <w:p w14:paraId="05F91CBF" w14:textId="7B08C06C" w:rsidR="006E42E0" w:rsidRPr="008556BD" w:rsidRDefault="008556BD" w:rsidP="001A7823">
            <w:pPr>
              <w:spacing w:after="0" w:line="240" w:lineRule="auto"/>
              <w:jc w:val="center"/>
              <w:rPr>
                <w:rFonts w:ascii="Verdana" w:eastAsia="Times New Roman" w:hAnsi="Verdana" w:cs="Arial"/>
                <w:color w:val="000000"/>
                <w:sz w:val="16"/>
                <w:szCs w:val="20"/>
                <w:lang w:val="nl-NL" w:eastAsia="nl-NL"/>
              </w:rPr>
            </w:pPr>
            <w:r>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40D07B7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91E5BC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3CB3B45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{"citationItems":[{"id":"ITEM-1","itemData":{"DOI":"10.1164/RCCM.201902-0360OC","ISSN":"1535-4970","PMID":"31268371","abstract":"Rationale: Rare genetic variants in telomere-related genes have been identified in familial, idiopathic, and rheumatoid arthritis-associated pulmonary fibrosis. Short peripheral blood leukocyte (PBL) telomere length predicts poor outcomes in chronic hypersensitivity pneumonitis (CHP). Objectives: Determine the prevalence and clinical relevance of rare protein-altering variants in telomere-related genes in patients with CHP. Methods: Next-generation sequences from two CHP cohorts were analyzed to identify variants in TERT (telomerase reverse transcriptase),TERC(telomeraseRNAcomponent),DKC1(dyskerin pseudouridine synthase 1), RTEL1 (regulator of telomere elongation helicase 1), PARN (poly[A]-specific RNase), and TINF2 (TERF1- interacting nuclear factor 2). To qualify, variants were required to have a minor allele frequency less than 0.005 and be predicted to be damaging to protein function. Variant status (binary variable) was used in statistical association tests, including Cox proportional hazard models for transplant-free survival. PBL telomere length was measured using quantitative PCR. Measurements and Main Results: Qualifying variants were identified in 16 of 144 patients (11.1%; 95% confidence interval [CI], 6.5-17.4) in the discovery cohort and 17 of 209 patients (8.1%; 95% CI, 4.8-12.7) in the replication cohort. Age- and ancestry-adjusted PBL telomere length was significantly shorter in the presence of a variant in both cohorts (discovery: 2561 bp; 95% CI, 2933 to 2190; P = 0.003; replication: 2612 bp; 95% CI, 2870 to 2354; P = 5.3031026). Variant status was significantly associated with transplant-free survival in both cohorts (discovery: Age-, sex-, and ancestry-adjusted hazard ratio, 3.73; 95% CI, 1.92-7.28; P = 0.0001; replication: Hazard ratio, 2.72; 95% CI, 1.26-5.88; P = 0.011). Conclusions: A substantial proportion of patients diagnosed with CHP have rare, protein-altering variants in telomere-related genes, which are associated with short peripheral blood telomere length and significantly reduced transplant-free survival.","author":[{"dropping-particle":"","family":"Ley","given":"Brett","non-dropping-particle":"","parse-names":false,"suffix":""},{"dropping-particle":"","family":"Torgerson","given":"Dara G.","non-dropping-particle":"","parse-names":false,"suffix":""},{"dropping-particle":"","family":"Oldham","given":"Justin M.","non-dropping-particle":"","parse-names":false,"suffix":""},{"dropping-particle":"","family":"Adegunsoye","given":"Ayodeji","non-dropping-particle":"","parse-names":false,"suffix":""},{"dropping-particle":"","family":"Liu","given":"Shuo","non-dropping-particle":"","parse-names":false,"suffix":""},{"dropping-particle":"","family":"Li","given":"Jie","non-dropping-particle":"","parse-names":false,"suffix":""},{"dropping-particle":"","family":"Elicker","given":"Brett M.","non-dropping-particle":"","parse-names":false,"suffix":""},{"dropping-particle":"","family":"Henry","given":"Travis S.","non-dropping-particle":"","parse-names":false,"suffix":""},{"dropping-particle":"","family":"Golden","given":"Jeffrey A.","non-dropping-particle":"","parse-names":false,"suffix":""},{"dropping-particle":"","family":"Jones","given":"Kirk D.","non-dropping-particle":"","parse-names":false,"suffix":""},{"dropping-particle":"","family":"Dressen","given":"Amy","non-dropping-particle":"","parse-names":false,"suffix":""},{"dropping-particle":"","family":"Yaspan","given":"Brian L.","non-dropping-particle":"","parse-names":false,"suffix":""},{"dropping-particle":"","family":"Arron","given":"Joseph R.","non-dropping-particle":"","parse-names":false,"suffix":""},{"dropping-particle":"","family":"Noth","given":"Imre","non-dropping-particle":"","parse-names":false,"suffix":""},{"dropping-particle":"","family":"Hoffmann","given":"Thomas J.","non-dropping-particle":"","parse-names":false,"suffix":""},{"dropping-particle":"","family":"Wolters","given":"Paul J.","non-dropping-particle":"","parse-names":false,"suffix":""}],"container-title":"American journal of respiratory and critical care medicine","id":"ITEM-1","issue":"9","issued":{"date-parts":[["2019","11","1"]]},"page":"1154-1163","publisher":"Am J Respir Crit Care Med","title":"Rare Protein-Altering Telomere-related Gene Variants in Patients with Chronic Hypersensitivity Pneumonitis","type":"article-journal","volume":"200"},"uris":["http://www.mendeley.com/documents/?uuid=4869421d-9f1a-351f-8cbf-9379d322931c"]}],"mendeley":{"formattedCitation":"(15)","plainTextFormattedCitation":"(15)","previouslyFormattedCitation":"(15)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(15)</w:t>
            </w:r>
            <w:r w:rsidRPr="006E42E0">
              <w:rPr>
                <w:rFonts w:ascii="Verdana" w:eastAsia="Times New Roman" w:hAnsi="Verdana" w:cs="Arial"/>
                <w:color w:val="000000"/>
                <w:sz w:val="16"/>
                <w:szCs w:val="20"/>
                <w:lang w:val="nl-NL" w:eastAsia="nl-NL"/>
              </w:rPr>
              <w:fldChar w:fldCharType="end"/>
            </w:r>
          </w:p>
        </w:tc>
      </w:tr>
      <w:tr w:rsidR="005C5BE9" w:rsidRPr="006E42E0" w14:paraId="57EBAE39" w14:textId="77777777" w:rsidTr="00E02DA9">
        <w:tc>
          <w:tcPr>
            <w:tcW w:w="1098" w:type="dxa"/>
            <w:tcBorders>
              <w:top w:val="nil"/>
              <w:left w:val="single" w:sz="4" w:space="0" w:color="auto"/>
              <w:bottom w:val="nil"/>
              <w:right w:val="nil"/>
            </w:tcBorders>
            <w:shd w:val="clear" w:color="000000" w:fill="DDEBF7"/>
            <w:noWrap/>
            <w:vAlign w:val="bottom"/>
            <w:hideMark/>
          </w:tcPr>
          <w:p w14:paraId="4570F085"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18C7F0D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c.2890del</w:t>
            </w:r>
          </w:p>
        </w:tc>
        <w:tc>
          <w:tcPr>
            <w:tcW w:w="1701" w:type="dxa"/>
            <w:tcBorders>
              <w:top w:val="nil"/>
              <w:left w:val="nil"/>
              <w:bottom w:val="nil"/>
              <w:right w:val="nil"/>
            </w:tcBorders>
            <w:shd w:val="clear" w:color="000000" w:fill="DDEBF7"/>
            <w:noWrap/>
            <w:vAlign w:val="bottom"/>
            <w:hideMark/>
          </w:tcPr>
          <w:p w14:paraId="496E34E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NM_032957.5</w:t>
            </w:r>
          </w:p>
        </w:tc>
        <w:tc>
          <w:tcPr>
            <w:tcW w:w="1507" w:type="dxa"/>
            <w:tcBorders>
              <w:top w:val="nil"/>
              <w:left w:val="nil"/>
              <w:bottom w:val="nil"/>
              <w:right w:val="nil"/>
            </w:tcBorders>
            <w:shd w:val="clear" w:color="000000" w:fill="DDEBF7"/>
            <w:noWrap/>
            <w:vAlign w:val="bottom"/>
            <w:hideMark/>
          </w:tcPr>
          <w:p w14:paraId="23EF62F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p.(Ala964fs)</w:t>
            </w:r>
          </w:p>
        </w:tc>
        <w:tc>
          <w:tcPr>
            <w:tcW w:w="940" w:type="dxa"/>
            <w:tcBorders>
              <w:top w:val="nil"/>
              <w:left w:val="nil"/>
              <w:bottom w:val="nil"/>
              <w:right w:val="nil"/>
            </w:tcBorders>
            <w:shd w:val="clear" w:color="000000" w:fill="DDEBF7"/>
            <w:noWrap/>
            <w:vAlign w:val="bottom"/>
            <w:hideMark/>
          </w:tcPr>
          <w:p w14:paraId="31B5A08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1FDB8D3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44C4753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3FD1350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299575B2" w14:textId="77777777" w:rsidTr="00E02DA9">
        <w:tc>
          <w:tcPr>
            <w:tcW w:w="1098" w:type="dxa"/>
            <w:tcBorders>
              <w:top w:val="nil"/>
              <w:left w:val="single" w:sz="4" w:space="0" w:color="auto"/>
              <w:bottom w:val="nil"/>
              <w:right w:val="nil"/>
            </w:tcBorders>
            <w:shd w:val="clear" w:color="auto" w:fill="auto"/>
            <w:noWrap/>
            <w:vAlign w:val="bottom"/>
            <w:hideMark/>
          </w:tcPr>
          <w:p w14:paraId="07879D66"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vAlign w:val="bottom"/>
            <w:hideMark/>
          </w:tcPr>
          <w:p w14:paraId="78ADF99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c.2892T&gt;G</w:t>
            </w:r>
            <w:r w:rsidRPr="006E42E0">
              <w:rPr>
                <w:rFonts w:ascii="Verdana" w:eastAsia="Times New Roman" w:hAnsi="Verdana" w:cs="Arial"/>
                <w:color w:val="000000"/>
                <w:sz w:val="16"/>
                <w:szCs w:val="20"/>
                <w:lang w:val="nl-NL" w:eastAsia="nl-NL"/>
              </w:rPr>
              <w:br/>
              <w:t>c.3790C&gt;T</w:t>
            </w:r>
            <w:r w:rsidRPr="006E42E0">
              <w:rPr>
                <w:rFonts w:ascii="Verdana" w:eastAsia="Times New Roman" w:hAnsi="Verdana" w:cs="Arial"/>
                <w:color w:val="000000"/>
                <w:sz w:val="16"/>
                <w:szCs w:val="20"/>
                <w:vertAlign w:val="superscript"/>
                <w:lang w:val="nl-NL" w:eastAsia="nl-NL"/>
              </w:rPr>
              <w:t>‡</w:t>
            </w:r>
          </w:p>
        </w:tc>
        <w:tc>
          <w:tcPr>
            <w:tcW w:w="1701" w:type="dxa"/>
            <w:tcBorders>
              <w:top w:val="nil"/>
              <w:left w:val="nil"/>
              <w:bottom w:val="nil"/>
              <w:right w:val="nil"/>
            </w:tcBorders>
            <w:shd w:val="clear" w:color="auto" w:fill="auto"/>
            <w:noWrap/>
            <w:vAlign w:val="bottom"/>
            <w:hideMark/>
          </w:tcPr>
          <w:p w14:paraId="454DF8A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vAlign w:val="bottom"/>
            <w:hideMark/>
          </w:tcPr>
          <w:p w14:paraId="5B48881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p.(Phe964Leu) </w:t>
            </w:r>
            <w:r w:rsidRPr="006E42E0">
              <w:rPr>
                <w:rFonts w:ascii="Verdana" w:eastAsia="Times New Roman" w:hAnsi="Verdana" w:cs="Arial"/>
                <w:color w:val="000000"/>
                <w:sz w:val="16"/>
                <w:szCs w:val="20"/>
                <w:lang w:val="nl-NL" w:eastAsia="nl-NL"/>
              </w:rPr>
              <w:br/>
              <w:t>p.(Arg1264Cys)</w:t>
            </w:r>
          </w:p>
        </w:tc>
        <w:tc>
          <w:tcPr>
            <w:tcW w:w="940" w:type="dxa"/>
            <w:tcBorders>
              <w:top w:val="nil"/>
              <w:left w:val="nil"/>
              <w:bottom w:val="nil"/>
              <w:right w:val="nil"/>
            </w:tcBorders>
            <w:shd w:val="clear" w:color="auto" w:fill="auto"/>
            <w:noWrap/>
            <w:vAlign w:val="bottom"/>
            <w:hideMark/>
          </w:tcPr>
          <w:p w14:paraId="089AA6E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300130F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38BFB5F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2DB5915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{"citationItems":[{"id":"ITEM-1","itemData":{"DOI":"10.1111/BJH.19767","ISSN":"1365-2141","PMID":"39279213","abstract":"Data on haematological features of telomere biology disorders (TBD) remain scarce. We describe haematological, extra-haematological characteristics and prognosis of 127 genetically confirmed TBD patients diagnosed after the age of 15. Ninety-three index cases and 34 affected relatives were included. At diagnosis of TBD, 76.3% of index cases had haematological features, half pulmonary features and a third liver features. At diagnosis, bone marrow failure (BMF) was present in 59 (46.5%), myelodysplastic syndrome (MDS) in 22 (17.3%) and acute myeloid leukaemia (AML) in 2 (1.6%) while 13 (10.2%) developed or worsened bone marrow involvement during follow-up. At diagnosis, compared to MDS/AML patients, BMF patients were younger (median 23.1 years vs. 43.8, p = 0.007), and had a better outcome (4-year overall survival 76.3% vs. 31.8%, p &lt; 0.001). While frequencies and burden of cytogenetical and somatic mutations increased significantly in myeloid malignancies, some abnormalities were also observed in patients with normal blood counts and BMF, notably somatic spliceosome variants. Solid cancers developed in 8.7% patients, mainly human papillomavirus-related cancers and hepatocellular carcinomas. TBD is a multiorgan progressive disease. While BMF is the main haematological disorder, high-risk myeloid malignancies are common, and are, together with age, the only factors associated with a worse outcome.","author":[{"dropping-particle":"","family":"Maillet","given":"François","non-dropping-particle":"","parse-names":false,"suffix":""},{"dropping-particle":"","family":"Galimard","given":"Jacques Emmanuel","non-dropping-particle":"","parse-names":false,"suffix":""},{"dropping-particle":"","family":"Borie","given":"Raphaël","non-dropping-particle":"","parse-names":false,"suffix":""},{"dropping-particle":"","family":"Lainey","given":"Elodie","non-dropping-particle":"","parse-names":false,"suffix":""},{"dropping-particle":"","family":"Larcher","given":"Lise","non-dropping-particle":"","parse-names":false,"suffix":""},{"dropping-particle":"","family":"Passet","given":"Marie","non-dropping-particle":"","parse-names":false,"suffix":""},{"dropping-particle":"","family":"Plessier","given":"Aurélie","non-dropping-particle":"","parse-names":false,"suffix":""},{"dropping-particle":"","family":"Leblanc","given":"Thierry","non-dropping-particle":"","parse-names":false,"suffix":""},{"dropping-particle":"","family":"Terriou","given":"Louis","non-dropping-particle":"","parse-names":false,"suffix":""},{"dropping-particle":"","family":"Lebon","given":"Delphine","non-dropping-particle":"","parse-names":false,"suffix":""},{"dropping-particle":"","family":"Alcazer","given":"Vincent","non-dropping-particle":"","parse-names":false,"suffix":""},{"dropping-particle":"","family":"Cathebras","given":"Pascal","non-dropping-particle":"","parse-names":false,"suffix":""},{"dropping-particle":"","family":"Loschi","given":"Michael","non-dropping-particle":"","parse-names":false,"suffix":""},{"dropping-particle":"","family":"Wadih","given":"Abou Chahla","non-dropping-particle":"","parse-names":false,"suffix":""},{"dropping-particle":"","family":"Marcais","given":"Ambroise","non-dropping-particle":"","parse-names":false,"suffix":""},{"dropping-particle":"","family":"Marceau-Renaut","given":"Alice","non-dropping-particle":"","parse-names":false,"suffix":""},{"dropping-particle":"","family":"Couque","given":"Nathalie","non-dropping-particle":"","parse-names":false,"suffix":""},{"dropping-particle":"","family":"Lioure","given":"Bruno","non-dropping-particle":"","parse-names":false,"suffix":""},{"dropping-particle":"","family":"Soulier","given":"Jean","non-dropping-particle":"","parse-names":false,"suffix":""},{"dropping-particle":"","family":"Ba","given":"Ibrahima","non-dropping-particle":"","parse-names":false,"suffix":""},{"dropping-particle":"","family":"Socié","given":"Gérard","non-dropping-particle":"","parse-names":false,"suffix":""},{"dropping-particle":"","family":"Peffault de Latour","given":"Regis","non-dropping-particle":"","parse-names":false,"suffix":""},{"dropping-particle":"","family":"Kannengiesser","given":"Caroline","non-dropping-particle":"","parse-names":false,"suffix":""},{"dropping-particle":"","family":"Sicre de Fontbrune","given":"Flore","non-dropping-particle":"","parse-names":false,"suffix":""}],"container-title":"British journal of haematology","id":"ITEM-1","issue":"5","issued":{"date-parts":[["2024","11","1"]]},"publisher":"Br J Haematol","title":"Haematological features of telomere biology disorders diagnosed in adulthood: A French nationwide study of 127 patients","type":"article-journal","volume":"205"},"uris":["http://www.mendeley.com/documents/?uuid=ae6a0309-4669-3030-92d5-eda9c5c94c12"]}],"mendeley":{"formattedCitation":"(16)","plainTextFormattedCitation":"(16)","previouslyFormattedCitation":"(16)"},"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(16)</w:t>
            </w:r>
            <w:r w:rsidRPr="006E42E0">
              <w:rPr>
                <w:rFonts w:ascii="Verdana" w:eastAsia="Times New Roman" w:hAnsi="Verdana" w:cs="Arial"/>
                <w:color w:val="000000"/>
                <w:sz w:val="16"/>
                <w:szCs w:val="20"/>
                <w:lang w:val="nl-NL" w:eastAsia="nl-NL"/>
              </w:rPr>
              <w:fldChar w:fldCharType="end"/>
            </w:r>
          </w:p>
        </w:tc>
      </w:tr>
      <w:tr w:rsidR="005C5BE9" w:rsidRPr="006E42E0" w14:paraId="3817C475" w14:textId="77777777" w:rsidTr="00E02DA9">
        <w:tc>
          <w:tcPr>
            <w:tcW w:w="1098" w:type="dxa"/>
            <w:tcBorders>
              <w:top w:val="nil"/>
              <w:left w:val="single" w:sz="4" w:space="0" w:color="auto"/>
              <w:bottom w:val="nil"/>
              <w:right w:val="nil"/>
            </w:tcBorders>
            <w:shd w:val="clear" w:color="000000" w:fill="DDEBF7"/>
            <w:noWrap/>
            <w:vAlign w:val="bottom"/>
            <w:hideMark/>
          </w:tcPr>
          <w:p w14:paraId="65D10541"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1EC3756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c.2956C&gt;T</w:t>
            </w:r>
          </w:p>
        </w:tc>
        <w:tc>
          <w:tcPr>
            <w:tcW w:w="1701" w:type="dxa"/>
            <w:tcBorders>
              <w:top w:val="nil"/>
              <w:left w:val="nil"/>
              <w:bottom w:val="nil"/>
              <w:right w:val="nil"/>
            </w:tcBorders>
            <w:shd w:val="clear" w:color="000000" w:fill="DDEBF7"/>
            <w:noWrap/>
            <w:vAlign w:val="bottom"/>
            <w:hideMark/>
          </w:tcPr>
          <w:p w14:paraId="4B7C457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7980C30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p.(Arg986 *)</w:t>
            </w:r>
          </w:p>
        </w:tc>
        <w:tc>
          <w:tcPr>
            <w:tcW w:w="940" w:type="dxa"/>
            <w:tcBorders>
              <w:top w:val="nil"/>
              <w:left w:val="nil"/>
              <w:bottom w:val="nil"/>
              <w:right w:val="nil"/>
            </w:tcBorders>
            <w:shd w:val="clear" w:color="000000" w:fill="DDEBF7"/>
            <w:noWrap/>
            <w:vAlign w:val="bottom"/>
            <w:hideMark/>
          </w:tcPr>
          <w:p w14:paraId="5BC718F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000000" w:fill="DDEBF7"/>
            <w:noWrap/>
            <w:vAlign w:val="bottom"/>
            <w:hideMark/>
          </w:tcPr>
          <w:p w14:paraId="0014CC5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850" w:type="dxa"/>
            <w:tcBorders>
              <w:top w:val="nil"/>
              <w:left w:val="nil"/>
              <w:bottom w:val="nil"/>
              <w:right w:val="nil"/>
            </w:tcBorders>
            <w:shd w:val="clear" w:color="000000" w:fill="DDEBF7"/>
            <w:noWrap/>
            <w:vAlign w:val="bottom"/>
            <w:hideMark/>
          </w:tcPr>
          <w:p w14:paraId="38EEEF1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2065" w:type="dxa"/>
            <w:tcBorders>
              <w:top w:val="nil"/>
              <w:left w:val="nil"/>
              <w:bottom w:val="nil"/>
              <w:right w:val="single" w:sz="4" w:space="0" w:color="auto"/>
            </w:tcBorders>
            <w:shd w:val="clear" w:color="000000" w:fill="DDEBF7"/>
            <w:noWrap/>
            <w:vAlign w:val="bottom"/>
            <w:hideMark/>
          </w:tcPr>
          <w:p w14:paraId="4156C03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{"citationItems":[{"id":"ITEM-1","itemData":{"DOI":"10.1073/pnas.1720427115","ISSN":"1091-6490","PMID":"29463756","abstract":"Telomere length (TL) predicts the onset of cellular senescence in vitro but the diagnostic utility of TL measurement in clinical settings is not fully known. We tested the value of TL measurement by flow cytometry and FISH (flowFISH) in patients with mutations in telomerase and telomere maintenance genes. TL had a discrete and reproducible normal range with definable upper and lower boundaries. While TL above the 50th age-adjusted percentile had a 100% negative predictive value for clinically relevant mutations, the lower threshold in mutation carriers was age-dependent, and adult mutation carriers often overlapped with the lowest decile of controls. The extent of telomere shortening correlated with the age at diagnosis as well as the short telomere syndrome phenotype. Extremely short TL caused bone marrow failure and immunodeficiency in children and young adults, while milder defects manifested as pulmonary fibrosis-emphysema in adults. We prospectively examined whether TL altered treatment decisions for newly diagnosed idiopathic bone marrow failure patients and found abnormally short TL enriched for patients with mutations in some inherited bone marrow failure genes, such as RUNX1, in addition to telomerase and telomere maintenance genes. The result was actionable, altering the choice of treatment regimen and/or hematopoietic stem cell donor in one-fourth of the cases (9 of 38, 24%). We conclude that TL measurement by flowFISH, when used for targeted clinical indications and in limited settings, can influence treatment decisions in ways that improve outcome.","author":[{"dropping-particle":"","family":"Alder","given":"Jonathan K","non-dropping-particle":"","parse-names":false,"suffix":""},{"dropping-particle":"","family":"Hanumanthu","given":"Vidya Sagar","non-dropping-particle":"","parse-names":false,"suffix":""},{"dropping-particle":"","family":"Strong","given":"Margaret A","non-dropping-particle":"","parse-names":false,"suffix":""},{"dropping-particle":"","family":"DeZern","given":"Amy E","non-dropping-particle":"","parse-names":false,"suffix":""},{"dropping-particle":"","family":"Stanley","given":"Susan E","non-dropping-particle":"","parse-names":false,"suffix":""},{"dropping-particle":"","family":"Takemoto","given":"Clifford M","non-dropping-particle":"","parse-names":false,"suffix":""},{"dropping-particle":"","family":"Danilova","given":"Ludmila","non-dropping-particle":"","parse-names":false,"suffix":""},{"dropping-particle":"","family":"Applegate","given":"Carolyn D","non-dropping-particle":"","parse-names":false,"suffix":""},{"dropping-particle":"","family":"Bolton","given":"Stephen G","non-dropping-particle":"","parse-names":false,"suffix":""},{"dropping-particle":"","family":"Mohr","given":"David W","non-dropping-particle":"","parse-names":false,"suffix":""},{"dropping-particle":"","family":"Brodsky","given":"Robert A","non-dropping-particle":"","parse-names":false,"suffix":""},{"dropping-particle":"","family":"Casella","given":"James F","non-dropping-particle":"","parse-names":false,"suffix":""},{"dropping-particle":"","family":"Greider","given":"Carol W","non-dropping-particle":"","parse-names":false,"suffix":""},{"dropping-particle":"","family":"Jackson","given":"J Brooks","non-dropping-particle":"","parse-names":false,"suffix":""},{"dropping-particle":"","family":"Armanios","given":"Mary","non-dropping-particle":"","parse-names":false,"suffix":""}],"container-title":"Proceedings of the National Academy of Sciences of the United States of America","id":"ITEM-1","issue":"10","issued":{"date-parts":[["2018","3","6"]]},"page":"E2358-E2365","publisher":"National Academy of Sciences","title":"Diagnostic utility of telomere length testing in a hospital-based setting.","type":"article-journal","volume":"115"},"uris":["http://www.mendeley.com/documents/?uuid=0e1835ef-8ef8-3c46-b116-c9a2d60f5a0c"]},{"id":"ITEM-2","itemData":{"DOI":"10.1007/S00439-013-1265-8","ISSN":"1432-1203","PMID":"23329068","abstract":"Dyskeratosis congenita (DC) is an inherited bone marrow failure and cancer predisposition syndrome caused by aberrant telomere biology. The classic triad of dysplastic nails, abnormal skin pigmentation, and oral leukoplakia is diagnostic of DC, but substantial clinical heterogeneity exists; the clinically severe variant Hoyeraal Hreidarsson syndrome (HH) also includes cerebellar hypoplasia, severe immunodeficiency, enteropathy, and intrauterine growth retardation. Germline mutations in telomere biology genes account for approximately one-half of known DC families. Using exome sequencing, we identified mutations in RTEL1, a helicase with critical telomeric functions, in two families with HH. In the first family, two siblings with HH and very short telomeres inherited a premature stop codon from their mother who has short telomeres. The proband from the second family has HH and inherited a premature stop codon in RTEL1 from his father and a missense mutation from his mother, who also has short telomeres. In addition, inheritance of only the missense mutation led to very short telomeres in the proband's brother. Targeted sequencing identified a different RTEL1 missense mutation in one additional DC proband who has bone marrow failure and short telomeres. Both missense mutations affect the helicase domain of RTEL1, and three in silico prediction algorithms suggest that they are likely deleterious. The nonsense mutations both cause truncation of the RTEL1 protein, resulting in loss of the PIP box; this may abrogate an important protein-protein interaction. These findings implicate a new telomere biology gene, RTEL1, in the etiology of DC. © 2013 Springer-Verlag Berlin Heidelberg (outside the USA).","author":[{"dropping-particle":"","family":"Ballew","given":"Bari J.","non-dropping-particle":"","parse-names":false,"suffix":""},{"dropping-particle":"","family":"Yeager","given":"Meredith","non-dropping-particle":"","parse-names":false,"suffix":""},{"dropping-particle":"","family":"Jacobs","given":"Kevin","non-dropping-particle":"","parse-names":false,"suffix":""},{"dropping-particle":"","family":"Giri","given":"Neelam","non-dropping-particle":"","parse-names":false,"suffix":""},{"dropping-particle":"","family":"Boland","given":"Joseph","non-dropping-particle":"","parse-names":false,"suffix":""},{"dropping-particle":"","family":"Burdett","given":"Laurie","non-dropping-particle":"","parse-names":false,"suffix":""},{"dropping-particle":"","family":"Alter","given":"Blanche P.","non-dropping-particle":"","parse-names":false,"suffix":""},{"dropping-particle":"","family":"Savage","given":"Sharon A.","non-dropping-particle":"","parse-names":false,"suffix":""}],"container-title":"Human genetics","id":"ITEM-2","issue":"4","issued":{"date-parts":[["2013","4"]]},"page":"473-480","publisher":"Hum Genet","title":"Germline mutations of regulator of telomere elongation helicase 1, RTEL1, in Dyskeratosis congenita","type":"article-journal","volume":"132"},"uris":["http://www.mendeley.com/documents/?uuid=3f3ec391-a454-3a49-8f10-24cb3c6494cb"]},{"id":"ITEM-3","itemData":{"DOI":"10.1002/PBC.26030","ISSN":"1545-5017","PMID":"27128385","author":[{"dropping-particle":"","family":"Moriya","given":"Kunihiko","non-dropping-particle":"","parse-names":false,"suffix":""},{"dropping-particle":"","family":"Niizuma","given":"Hidetaka","non-dropping-particle":"","parse-names":false,"suffix":""},{"dropping-particle":"","family":"Rikiishi","given":"Takeshi","non-dropping-particle":"","parse-names":false,"suffix":""},{"dropping-particle":"","family":"Yamaguchi","given":"Hiroki","non-dropping-particle":"","parse-names":false,"suffix":""},{"dropping-particle":"","family":"Sasahara","given":"Yoji","non-dropping-particle":"","parse-names":false,"suffix":""},{"dropping-particle":"","family":"Kure","given":"Shigeo","non-dropping-particle":"","parse-names":false,"suffix":""}],"container-title":"Pediatric blood &amp; cancer","id":"ITEM-3","issue":"9","issued":{"date-parts":[["2016","9","1"]]},"page":"1683-1684","publisher":"Pediatr Blood Cancer","title":"Novel Compound Heterozygous RTEL1 Gene Mutations in a Patient With Hoyeraal-Hreidarsson Syndrome","type":"article-journal","volume":"63"},"uris":["http://www.mendeley.com/documents/?uuid=01a4ac98-8814-394e-8c70-c95d3fe2058b"]},{"id":"ITEM-4","itemData":{"DOI":"10.1371/journal.pone.0226785","ISSN":"19326203","abstract":"© 2020 van Batenburg et al. This is an open access article distributed under the terms of the Creative Commons Attribution License, which permits unrestricted use, distribution, and reproduction in any medium, provided the original author and source are credited. Rationale A subset of patients with idiopathic pulmonary fibrosis (IPF) contains short leukocyte telomeres or telomere related mutations. We previously showed that alveolar type 2 cells have short telomeres in fibrotic lesions. Our objectives were to better understand how telomere shortening associates with fibrosis in IPF lung and identify a subset of patients with telomere- related disease. Methods Average telomere length was determined in multiple organs, basal and apical lung, and diagnostic and end-stage fibrotic lung biopsies. Alveolar type 2 cells telomere length was determined in different areas of IPF lungs. Results In IPF but not in controls, telomere length in lung was shorter than in other organs, providing rationale to focus on telomere length in lung. Telomere length did not correlate with age and no difference in telomere length was found between diagnostic and explant lung or between basal and apical lung, irrespective of the presence of a radiological apicobasal gradient or fibrosis. Fifteen out of 28 IPF patients had average lung telomere length in the range of patients with a telomerase (TERT) mutation, and formed the IPFshort group. Only in this IPFshort and TERT group telomeres of alveolar type 2 cells were extremely short in fibrotic areas. Additionally, whole exome sequencing of IPF patients revealed two genetic variations in RTEL1 and one in PARN in the IPFshort group. Conclusions Average lung tissue telomere shortening does not associated with fibrotic patterns in IPF, however, approximately half of IPF patients show excessive lung telomere shortening that is associated with pulmonary fibrosis driven by telomere attrition.","author":[{"dropping-particle":"","family":"Batenburg","given":"A.A.","non-dropping-particle":"Van","parse-names":false,"suffix":""},{"dropping-particle":"","family":"Kazemier","given":"K.M.","non-dropping-particle":"","parse-names":false,"suffix":""},{"dropping-particle":"","family":"Oosterhout","given":"M.F.M.","non-dropping-particle":"Van","parse-names":false,"suffix":""},{"dropping-particle":"","family":"Vis","given":"J.J.","non-dropping-particle":"Van Der","parse-names":false,"suffix":""},{"dropping-particle":"","family":"Es","given":"H.W.","non-dropping-particle":"Van","parse-names":false,"suffix":""},{"dropping-particle":"","family":"Grutters","given":"J.C.","non-dropping-particle":"","parse-names":false,"suffix":""},{"dropping-particle":"","family":"Goldschmeding","given":"R.","non-dropping-particle":"","parse-names":false,"suffix":""},{"dropping-particle":"","family":"Moorsel","given":"C.H.M.","non-dropping-particle":"Van","parse-names":false,"suffix":""}],"container-title":"PLoS ONE","id":"ITEM-4","issue":"1","issued":{"date-parts":[["2020"]]},"title":"From organ to cell: Multi-level telomere length assessment in patients with idiopathic pulmonary fibrosis","type":"article-journal","volume":"15"},"uris":["http://www.mendeley.com/documents/?uuid=182f7b74-367e-39fd-99b8-b992a9be63b0"]},{"id":"ITEM-5","itemData":{"DOI":"10.1164/rccm.201610-2088OC","ISSN":"1073-449X","PMID":"28099038","abstract":"RATIONALE Idiopathic pulmonary fibrosis (IPF) is an increasingly recognized, often fatal lung disease of unknown etiology. OBJECTIVES The aim of this study was to use whole-exome sequencing to improve understanding of the genetic architecture of pulmonary fibrosis. METHODS We performed a case-control exome-wide collapsing analysis including 262 unrelated individuals with pulmonary fibrosis clinically classified as IPF according to American Thoracic Society/European Respiratory Society/Japanese Respiratory Society/Latin American Thoracic Association guidelines (81.3%), usual interstitial pneumonia secondary to autoimmune conditions (11.5%), or fibrosing nonspecific interstitial pneumonia (7.2%). The majority (87%) of case subjects reported no family history of pulmonary fibrosis. MEASUREMENTS AND MAIN RESULTS We searched 18,668 protein-coding genes for an excess of rare deleterious genetic variation using whole-exome sequence data from 262 case subjects with pulmonary fibrosis and 4,141 control subjects drawn from among a set of individuals of European ancestry. Comparing genetic variation across 18,668 protein-coding genes, we found a study-wide significant (P</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&lt;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4.5</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Verdana"/>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10-7) case enrichment of qualifying variants in TERT, RTEL1, and PARN. A model qualifying ultrarare, deleterious, nonsynonymous variants implicated TERT and RTEL1, and a model specifically qualifying loss-of-function variants implicated RTEL1 and PARN. A subanalysis of 186 case subjects with sporadic IPF confirmed TERT, RTEL1, and PARN as study-wide significant contributors to sporadic IPF. Collectively, 11.3% of case subjects with sporadic IPF carried a qualifying variant in one of these three genes compared with the 0.3% carrier rate observed among control subjects (odds ratio, 47.7; 95% confidence interval, 21.5-111.6; P</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5.5</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Verdana"/>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10-22). CONCLUSIONS We identified TERT, RTEL1, and PARN-three telomere-related genes previously implicated in familial pulmonary fibrosis-as significant contributors to sporadic IPF. These results support the idea that telomere dysfunction is involved in IPF pathogenesis.","author":[{"dropping-particle":"","family":"Petrovski","given":"Slavé","non-dropping-particle":"","parse-names":false,"suffix":""},{"dropping-particle":"","family":"Todd","given":"Jamie L.","non-dropping-particle":"","parse-names":false,"suffix":""},{"dropping-particle":"","family":"Durheim","given":"Michael T.","non-dropping-particle":"","parse-names":false,"suffix":""},{"dropping-particle":"","family":"Wang","given":"Quanli","non-dropping-particle":"","parse-names":false,"suffix":""},{"dropping-particle":"","family":"Chien","given":"Jason W.","non-dropping-particle":"","parse-names":false,"suffix":""},{"dropping-particle":"","family":"Kelly","given":"Fran L.","non-dropping-particle":"","parse-names":false,"suffix":""},{"dropping-particle":"","family":"Frankel","given":"Courtney","non-dropping-particle":"","parse-names":false,"suffix":""},{"dropping-particle":"","family":"Mebane","given":"Caroline M.","non-dropping-particle":"","parse-names":false,"suffix":""},{"dropping-particle":"","family":"Ren","given":"Zhong","non-dropping-particle":"","parse-names":false,"suffix":""},{"dropping-particle":"","family":"Bridgers","given":"Joshua","non-dropping-particle":"","parse-names":false,"suffix":""},{"dropping-particle":"","family":"Urban","given":"Thomas J.","non-dropping-particle":"","parse-names":false,"suffix":""},{"dropping-particle":"","family":"Malone","given":"Colin D.","non-dropping-particle":"","parse-names":false,"suffix":""},{"dropping-particle":"","family":"Finlen Copeland","given":"Ashley","non-dropping-particle":"","parse-names":false,"suffix":""},{"dropping-particle":"","family":"Brinkley","given":"Christie","non-dropping-particle":"","parse-names":false,"suffix":""},{"dropping-particle":"","family":"Allen","given":"Andrew S.","non-dropping-particle":"","parse-names":false,"suffix":""},{"dropping-particle":"","family":"O’Riordan","given":"Thomas","non-dropping-particle":"","parse-names":false,"suffix":""},{"dropping-particle":"","family":"McHutchison","given":"John G.","non-dropping-particle":"","parse-names":false,"suffix":""},{"dropping-particle":"","family":"Palmer","given":"Scott M.","non-dropping-particle":"","parse-names":false,"suffix":""},{"dropping-particle":"","family":"Goldstein","given":"David B.","non-dropping-particle":"","parse-names":false,"suffix":""}],"container-title":"American Journal of Respiratory and Critical Care Medicine","id":"ITEM-5","issue":"1","issued":{"date-parts":[["2017","7","1"]]},"page":"82-93","title":"An Exome Sequencing Study to Assess the Role of Rare Genetic Variation in Pulmonary Fibrosis","type":"article-journal","volume":"196"},"uris":["http://www.mendeley.com/documents/?uuid=a509aa63-2e39-3fb6-a263-9943008be67e"]},{"id":"ITEM-6","itemData":{"DOI":"10.1183/13993003.00508-2018","ISSN":"0903-1936","PMID":"30523160","abstract":"Regulator of telomere length 1 ( RTEL1 ) mutations have been evidenced in 5–9% of familial pulmonary fibrosis; however, the phenotype of patients with interstitial lung disease (ILD) and RTEL1 mutations is poorly understood.\n\nWhole exome sequencing was performed in 252 probands with ILD and we included all patients with ILD and RTEL1 mutation. RTEL1 expression was evaluated by immunochemistry in the lungs of controls, as well as in RTEL1 and telomerase reverse transcriptase ( TERT ) mutation carriers.\n\nWe identified 35 subjects from 17 families. Median age at diagnosis of ILD was 53.1</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years (range 28.0</w:instrText>
            </w:r>
            <w:r w:rsidRPr="006E42E0">
              <w:rPr>
                <w:rFonts w:ascii="Verdana" w:eastAsia="Times New Roman" w:hAnsi="Verdana" w:cs="Verdana"/>
                <w:color w:val="000000"/>
                <w:sz w:val="16"/>
                <w:szCs w:val="20"/>
                <w:lang w:val="nl-NL" w:eastAsia="nl-NL"/>
              </w:rPr>
              <w:instrText>–</w:instrText>
            </w:r>
            <w:r w:rsidRPr="006E42E0">
              <w:rPr>
                <w:rFonts w:ascii="Verdana" w:eastAsia="Times New Roman" w:hAnsi="Verdana" w:cs="Arial"/>
                <w:color w:val="000000"/>
                <w:sz w:val="16"/>
                <w:szCs w:val="20"/>
                <w:lang w:val="nl-NL" w:eastAsia="nl-NL"/>
              </w:rPr>
              <w:instrText>80.6). The most frequent pulmonary diagnoses were idiopathic pulmonary fibrosis (n=20, 57%), secondary ILD (n=7, 20%) and unclassifiable fibrosis or interstitial pneumonia with autoimmune features (n=7, 20%). The median transplant-free and overall survival periods were 39.2</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months and 45.3</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months, respectively. Forced vital capacity at diagnosis was the only factor associated with decreased transplant-free survival. Extra-pulmonary manifestations were less frequent as compared to other telomere-related gene mutation carriers. A systematic analysis of the literature identified 110 patients with ILD and RTEL1 mutations (including this series) and confirmed the heterogeneity of the pulmonary phenotype, the prevalence of non-idiopathic diseases and the low prevalence of extra-pulmonary manifestations.\n\nImmunohistochemistry showed that RTEL1 was expressed by bronchial and alveolar epithelial cells, as well as by alveolar macrophages and lymphocytes, but not by fibroblasts.\n\nRTEL1 mutations are associated with heterogeneous lung phenotypes with limited and heterogeneous extra-respiratory manifestations &lt;http://ow.ly/1Ssr30mCZjx&gt;","author":[{"dropping-particle":"","family":"Borie","given":"Raphael","non-dropping-particle":"","parse-names":false,"suffix":""},{"dropping-particle":"","family":"Bouvry","given":"Diane","non-dropping-particle":"","parse-names":false,"suffix":""},{"dropping-particle":"","family":"Cottin","given":"Vincent","non-dropping-particle":"","parse-names":false,"suffix":""},{"dropping-particle":"","family":"Gauvain","given":"Clement","non-dropping-particle":"","parse-names":false,"suffix":""},{"dropping-particle":"","family":"Cazes","given":"Aurélie","non-dropping-particle":"","parse-names":false,"suffix":""},{"dropping-particle":"","family":"Debray","given":"Marie Pierre","non-dropping-particle":"","parse-names":false,"suffix":""},{"dropping-particle":"","family":"Cadranel","given":"Jacques","non-dropping-particle":"","parse-names":false,"suffix":""},{"dropping-particle":"","family":"Dieude","given":"Philippe","non-dropping-particle":"","parse-names":false,"suffix":""},{"dropping-particle":"","family":"Degot","given":"Tristan","non-dropping-particle":"","parse-names":false,"suffix":""},{"dropping-particle":"","family":"Dominique","given":"Stephane","non-dropping-particle":"","parse-names":false,"suffix":""},{"dropping-particle":"","family":"Gamez","given":"Anne Sophie","non-dropping-particle":"","parse-names":false,"suffix":""},{"dropping-particle":"","family":"Jaillet","given":"Madeleine","non-dropping-particle":"","parse-names":false,"suffix":""},{"dropping-particle":"","family":"Juge","given":"Pierre Antoine","non-dropping-particle":"","parse-names":false,"suffix":""},{"dropping-particle":"","family":"Londono-Vallejo","given":"Arturo","non-dropping-particle":"","parse-names":false,"suffix":""},{"dropping-particle":"","family":"Mailleux","given":"Arnaud","non-dropping-particle":"","parse-names":false,"suffix":""},{"dropping-particle":"","family":"Mal","given":"Hervé","non-dropping-particle":"","parse-names":false,"suffix":""},{"dropping-particle":"","family":"Boileau","given":"Catherine","non-dropping-particle":"","parse-names":false,"suffix":""},{"dropping-particle":"","family":"Menard","given":"Christelle","non-dropping-particle":"","parse-names":false,"suffix":""},{"dropping-particle":"","family":"Nunes","given":"Hilario","non-dropping-particle":"","parse-names":false,"suffix":""},{"dropping-particle":"","family":"Prevot","given":"Gregoire","non-dropping-particle":"","parse-names":false,"suffix":""},{"dropping-particle":"","family":"Quetant","given":"Sebastien","non-dropping-particle":"","parse-names":false,"suffix":""},{"dropping-particle":"","family":"Revy","given":"Patrick","non-dropping-particle":"","parse-names":false,"suffix":""},{"dropping-particle":"","family":"Traclet","given":"Julie","non-dropping-particle":"","parse-names":false,"suffix":""},{"dropping-particle":"","family":"Wemeau-Stervinou","given":"Lidwine","non-dropping-particle":"","parse-names":false,"suffix":""},{"dropping-particle":"","family":"Wislez","given":"Marie","non-dropping-particle":"","parse-names":false,"suffix":""},{"dropping-particle":"","family":"Kannengiesser","given":"Caroline","non-dropping-particle":"","parse-names":false,"suffix":""},{"dropping-particle":"","family":"Crestani","given":"Bruno","non-dropping-particle":"","parse-names":false,"suffix":""}],"container-title":"European Respiratory Journal","id":"ITEM-6","issue":"2","issued":{"date-parts":[["2019","2","1"]]},"page":"1800508","publisher":"European Respiratory Society","title":"Regulator of telomere length 1 (RTEL1) mutations are associated with heterogeneous pulmonary and extra-pulmonary phenotypes","type":"article-journal","volume":"53"},"uris":["http://www.mendeley.com/documents/?uuid=c040e47e-27dc-3666-8fc0-d553498485a6"]},{"id":"ITEM-7","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journal","id":"ITEM-7","issue":"2","issued":{"date-parts":[["2021","2","1"]]},"publisher":"Eur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mutation","type":"article-journal","volume":"57"},"uris":["http://www.mendeley.com/documents/?uuid=449872d5-b359-3355-8d25-fe681381e043"]},{"id":"ITEM-8","itemData":{"DOI":"10.1183/13993003.00577-2022","ISSN":"1399-3003","PMID":"36028256","abstract":"Background Whole genome sequencing (WGS) can detect variants and estimate telomere length. The clinical utility of WGS in estimating risk, progression and survival of pulmonary fibrosis patients is unknown. Methods In this observational cohort study, we performed WGS on 949 patients with idiopathic pulmonary fibrosis or familial pulmonary fibrosis to determine rare and common variant genotypes, estimate telomere length and assess the association of genomic factors with clinical outcomes. Results WGS estimates of telomere length correlated with quantitative PCR (R=0.65) and Southern blot (R=0.71) measurements. Rare deleterious qualifying variants were found in 14% of the total cohort, with a five-fold increase in those with a family history of disease versus those without (25% versus 5%). Most rare qualifying variants (85%) were found in telomere-related genes and were associated with shorter telomere lengths. Rare qualifying variants had a greater effect on telomere length than a polygenic risk score calculated using 20 common variants previously associated with telomere length. The common variant polygenic risk score predicted telomere length only in sporadic disease. Reduced transplant-free survival was associated with rare qualifying variants, shorter quantitative PCR-measured telomere lengths and absence of the MUC5B promoter (rs35705950) single nucleotide polymorphism, but not with WGS-estimated telomere length or the common variant polygenic risk score. Disease progression was associated with both measures of telomere length (quantitative PCR measured and WGS estimated), rare qualifying variants and the common variant polygenic risk score. Conclusion As a single test, WGS can inform pulmonary fibrosis genetic-mediated risk, evaluate the functional effect of telomere-related variants by estimating telomere length, and prognosticate clinically relevant disease outcomes.","author":[{"dropping-particle":"","family":"Zhang","given":"David","non-dropping-particle":"","parse-names":false,"suffix":""},{"dropping-particle":"","family":"Newton","given":"Chad A.","non-dropping-particle":"","parse-names":false,"suffix":""},{"dropping-particle":"","family":"Wang","given":"Binhan","non-dropping-particle":"","parse-names":false,"suffix":""},{"dropping-particle":"","family":"Povysil","given":"Gundula","non-dropping-particle":"","parse-names":false,"suffix":""},{"dropping-particle":"","family":"Noth","given":"Imre","non-dropping-particle":"","parse-names":false,"suffix":""},{"dropping-particle":"","family":"Martinez","given":"Fernando J.","non-dropping-particle":"","parse-names":false,"suffix":""},{"dropping-particle":"","family":"Raghu","given":"Ganesh","non-dropping-particle":"","parse-names":false,"suffix":""},{"dropping-particle":"","family":"Goldstein","given":"David","non-dropping-particle":"","parse-names":false,"suffix":""},{"dropping-particle":"","family":"Garcia","given":"Christine Kim","non-dropping-particle":"","parse-names":false,"suffix":""}],"container-title":"The European respiratory journal","id":"ITEM-8","issue":"6","issued":{"date-parts":[["2022","12","1"]]},"publisher":"Eur Respir J","title":"Utility of whole genome sequencing in assessing risk and clinically relevant outcomes for pulmonary fibrosis","type":"article-journal","volume":"60"},"uris":["http://www.mendeley.com/documents/?uuid=f0aff755-49ef-3a91-a242-5681db5153eb"]},{"id":"ITEM-9","itemData":{"DOI":"10.1001/JAMANETWORKOPEN.2024.50111","ISSN":"25743805","PMID":"39661387","abstract":"Importance: Telomere biology disorders (TBDs) are inherited cancer-prone bone marrow failure syndromes with differences in morbidity and mortality based on mode of inheritance. Objective: To quantify cancer risks in TBDs by genetic subgroups. Design, Setting, and Participants: This longitudinal cohort study of TBDs assessed cancer occurrences from 2002 through 2022. Participants were individuals with a TBD-associated pathogenic germline variant recruited across institutions by self-referral. Data were collected and analyzed through June 30, 2022. Exposures: The exposure was TBD genotypes, with subgroups defined by inheritance pattern (autosomal-dominant [AD-non-TINF2] vs autosomal-recessive/X-linked [AR/XLR] vs AD-TINF2). Main Outcomes and Measures: The main outcome was cancer; secondary outcomes included death, or organ transplant. Cumulative cancer incidence was determined considering death or transplant as competing events. Observed:expected (O:E) ratios of cancer before and after any organ transplant were calculated using the National Cancer Institute's Surveillance, Epidemiology, and End Results Program. Results: Among 230 individuals with TBD (135 [58.7%] male; median [range] age at last follow-up, 34.6 [1.4-82.2] years) included, the risk of cancer was 3-fold higher than the general population (O:E, 3.35 [95% CI, 2.32-4.68]). The highest risk was observed in individuals with AR/XLR (O:E, 19.16 [95% CI, 9.19-35.24]) with a significantly younger cancer onset than in individuals with AD-non-TINF2 (median [range] age, 36.7 [25.2-53.6] years vs 44.5 [32.2-67.5] years; P =.01). The risk of solid tumors was highest in individuals with AR/XLR (O:E = 23.97 [95% CI, 10.96-45.50]), predominantly head and neck squamous cell carcinomas (O:E, 276.00 [95% CI, 75.20-706.67]). Hematologic malignant neoplasm risk was highest in individuals with AD-non-TINF2 (O:E, 9.41 [95% CI, 4.30-17.86]). Solid tumor cumulative incidence increased to 12% for individuals with AR/XLR by age 45 years and to 13% for individuals with AD-non-TINF2 by age 70 years. The cumulative incidence of hematologic malignant neoplasms leveled off at 2% by age 30 years and 19% by age 70 years in individuals with AR/XLR and AD-non-TINF2, respectively. Individuals with AD-TINF2 showed the highest cumulative incidence for transplant or death (49% by age 15 years). Following transplant, individuals with AR/XLR (O:E, 136.11 [95% CI, 54.72-280.44) or AD-TINF2 (O:E, 81.07 [95% CI, 16.72-236.92]) had the …","author":[{"dropping-particle":"","family":"Niewisch","given":"Marena R.","non-dropping-particle":"","parse-names":false,"suffix":""},{"dropping-particle":"","family":"Kim","given":"Jung","non-dropping-particle":"","parse-names":false,"suffix":""},{"dropping-particle":"","family":"Giri","given":"Neelam","non-dropping-particle":"","parse-names":false,"suffix":""},{"dropping-particle":"","family":"Lunger","given":"Judith C.","non-dropping-particle":"","parse-names":false,"suffix":""},{"dropping-particle":"","family":"McReynolds","given":"Lisa J.","non-dropping-particle":"","parse-names":false,"suffix":""},{"dropping-particle":"","family":"Savage","given":"Sharon A.","non-dropping-particle":"","parse-names":false,"suffix":""}],"container-title":"JAMA Network Open","id":"ITEM-9","issue":"12","issued":{"date-parts":[["2024","12","11"]]},"page":"e2450111","publisher":"American Medical Association","title":"Genotype and Associated Cancer Risk in Individuals With Telomere Biology Disorders","type":"article-journal","volume":"7"},"uris":["http://www.mendeley.com/documents/?uuid=dbce65b3-b87d-36d5-8feb-56941a885f75"]}],"mendeley":{"formattedCitation":"(7,14,17–23)","plainTextFormattedCitation":"(7,14,17–23)","previouslyFormattedCitation":"(7,14,17–23)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(7,14,17–23)</w:t>
            </w:r>
            <w:r w:rsidRPr="006E42E0">
              <w:rPr>
                <w:rFonts w:ascii="Verdana" w:eastAsia="Times New Roman" w:hAnsi="Verdana" w:cs="Arial"/>
                <w:color w:val="000000"/>
                <w:sz w:val="16"/>
                <w:szCs w:val="20"/>
                <w:lang w:val="nl-NL" w:eastAsia="nl-NL"/>
              </w:rPr>
              <w:fldChar w:fldCharType="end"/>
            </w:r>
            <w:r w:rsidRPr="006E42E0">
              <w:rPr>
                <w:rFonts w:ascii="Verdana" w:eastAsia="Times New Roman" w:hAnsi="Verdana" w:cs="Arial"/>
                <w:color w:val="000000"/>
                <w:sz w:val="16"/>
                <w:szCs w:val="20"/>
                <w:lang w:val="nl-NL" w:eastAsia="nl-NL"/>
              </w:rPr>
              <w:t xml:space="preserve"> </w:t>
            </w:r>
          </w:p>
        </w:tc>
      </w:tr>
      <w:tr w:rsidR="005C5BE9" w:rsidRPr="006E42E0" w14:paraId="463C4B5C" w14:textId="77777777" w:rsidTr="00E02DA9">
        <w:tc>
          <w:tcPr>
            <w:tcW w:w="1098" w:type="dxa"/>
            <w:tcBorders>
              <w:top w:val="nil"/>
              <w:left w:val="single" w:sz="4" w:space="0" w:color="auto"/>
              <w:bottom w:val="nil"/>
              <w:right w:val="nil"/>
            </w:tcBorders>
            <w:shd w:val="clear" w:color="auto" w:fill="auto"/>
            <w:noWrap/>
            <w:vAlign w:val="bottom"/>
            <w:hideMark/>
          </w:tcPr>
          <w:p w14:paraId="02D8A03D"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4B87EE9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c.3002C&gt;T</w:t>
            </w:r>
          </w:p>
        </w:tc>
        <w:tc>
          <w:tcPr>
            <w:tcW w:w="1701" w:type="dxa"/>
            <w:tcBorders>
              <w:top w:val="nil"/>
              <w:left w:val="nil"/>
              <w:bottom w:val="nil"/>
              <w:right w:val="nil"/>
            </w:tcBorders>
            <w:shd w:val="clear" w:color="auto" w:fill="auto"/>
            <w:noWrap/>
            <w:vAlign w:val="bottom"/>
            <w:hideMark/>
          </w:tcPr>
          <w:p w14:paraId="38D8298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noWrap/>
            <w:vAlign w:val="bottom"/>
            <w:hideMark/>
          </w:tcPr>
          <w:p w14:paraId="57BE5D1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p.(Ala1001Val)</w:t>
            </w:r>
          </w:p>
        </w:tc>
        <w:tc>
          <w:tcPr>
            <w:tcW w:w="940" w:type="dxa"/>
            <w:tcBorders>
              <w:top w:val="nil"/>
              <w:left w:val="nil"/>
              <w:bottom w:val="nil"/>
              <w:right w:val="nil"/>
            </w:tcBorders>
            <w:shd w:val="clear" w:color="auto" w:fill="auto"/>
            <w:noWrap/>
            <w:vAlign w:val="bottom"/>
            <w:hideMark/>
          </w:tcPr>
          <w:p w14:paraId="3D05F98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2943408F"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410797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57111AC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349D45D2" w14:textId="77777777" w:rsidTr="00E02DA9">
        <w:tc>
          <w:tcPr>
            <w:tcW w:w="1098" w:type="dxa"/>
            <w:tcBorders>
              <w:top w:val="nil"/>
              <w:left w:val="single" w:sz="4" w:space="0" w:color="auto"/>
              <w:bottom w:val="nil"/>
              <w:right w:val="nil"/>
            </w:tcBorders>
            <w:shd w:val="clear" w:color="000000" w:fill="DDEBF7"/>
            <w:noWrap/>
            <w:vAlign w:val="bottom"/>
            <w:hideMark/>
          </w:tcPr>
          <w:p w14:paraId="1223DBD2"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04B4C12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c.3343_3345del</w:t>
            </w:r>
          </w:p>
        </w:tc>
        <w:tc>
          <w:tcPr>
            <w:tcW w:w="1701" w:type="dxa"/>
            <w:tcBorders>
              <w:top w:val="nil"/>
              <w:left w:val="nil"/>
              <w:bottom w:val="nil"/>
              <w:right w:val="nil"/>
            </w:tcBorders>
            <w:shd w:val="clear" w:color="000000" w:fill="DDEBF7"/>
            <w:noWrap/>
            <w:vAlign w:val="bottom"/>
            <w:hideMark/>
          </w:tcPr>
          <w:p w14:paraId="256217E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3F3B0D7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p.(Asp1115del)</w:t>
            </w:r>
          </w:p>
        </w:tc>
        <w:tc>
          <w:tcPr>
            <w:tcW w:w="940" w:type="dxa"/>
            <w:tcBorders>
              <w:top w:val="nil"/>
              <w:left w:val="nil"/>
              <w:bottom w:val="nil"/>
              <w:right w:val="nil"/>
            </w:tcBorders>
            <w:shd w:val="clear" w:color="000000" w:fill="DDEBF7"/>
            <w:noWrap/>
            <w:vAlign w:val="bottom"/>
            <w:hideMark/>
          </w:tcPr>
          <w:p w14:paraId="5780A2A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7CED271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3101038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0EF0529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3D1FCDB4" w14:textId="77777777" w:rsidTr="00E02DA9">
        <w:tc>
          <w:tcPr>
            <w:tcW w:w="1098" w:type="dxa"/>
            <w:tcBorders>
              <w:top w:val="nil"/>
              <w:left w:val="single" w:sz="4" w:space="0" w:color="auto"/>
              <w:bottom w:val="nil"/>
              <w:right w:val="nil"/>
            </w:tcBorders>
            <w:shd w:val="clear" w:color="auto" w:fill="auto"/>
            <w:noWrap/>
            <w:vAlign w:val="bottom"/>
            <w:hideMark/>
          </w:tcPr>
          <w:p w14:paraId="108C5066"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71F51AF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c.3343+15C&gt;T</w:t>
            </w:r>
          </w:p>
        </w:tc>
        <w:tc>
          <w:tcPr>
            <w:tcW w:w="1701" w:type="dxa"/>
            <w:tcBorders>
              <w:top w:val="nil"/>
              <w:left w:val="nil"/>
              <w:bottom w:val="nil"/>
              <w:right w:val="nil"/>
            </w:tcBorders>
            <w:shd w:val="clear" w:color="auto" w:fill="auto"/>
            <w:noWrap/>
            <w:vAlign w:val="bottom"/>
            <w:hideMark/>
          </w:tcPr>
          <w:p w14:paraId="6319561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noWrap/>
            <w:vAlign w:val="bottom"/>
            <w:hideMark/>
          </w:tcPr>
          <w:p w14:paraId="5E09A0A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940" w:type="dxa"/>
            <w:tcBorders>
              <w:top w:val="nil"/>
              <w:left w:val="nil"/>
              <w:bottom w:val="nil"/>
              <w:right w:val="nil"/>
            </w:tcBorders>
            <w:shd w:val="clear" w:color="auto" w:fill="auto"/>
            <w:noWrap/>
            <w:vAlign w:val="bottom"/>
            <w:hideMark/>
          </w:tcPr>
          <w:p w14:paraId="3264114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43F709D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7741300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1ADD76B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45780B8C" w14:textId="77777777" w:rsidTr="00E02DA9">
        <w:tc>
          <w:tcPr>
            <w:tcW w:w="1098" w:type="dxa"/>
            <w:tcBorders>
              <w:top w:val="nil"/>
              <w:left w:val="single" w:sz="4" w:space="0" w:color="auto"/>
              <w:bottom w:val="nil"/>
              <w:right w:val="nil"/>
            </w:tcBorders>
            <w:shd w:val="clear" w:color="000000" w:fill="DDEBF7"/>
            <w:noWrap/>
            <w:vAlign w:val="bottom"/>
            <w:hideMark/>
          </w:tcPr>
          <w:p w14:paraId="082344F7"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4C1971A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c.3392C&gt;A</w:t>
            </w:r>
          </w:p>
        </w:tc>
        <w:tc>
          <w:tcPr>
            <w:tcW w:w="1701" w:type="dxa"/>
            <w:tcBorders>
              <w:top w:val="nil"/>
              <w:left w:val="nil"/>
              <w:bottom w:val="nil"/>
              <w:right w:val="nil"/>
            </w:tcBorders>
            <w:shd w:val="clear" w:color="000000" w:fill="DDEBF7"/>
            <w:noWrap/>
            <w:vAlign w:val="bottom"/>
            <w:hideMark/>
          </w:tcPr>
          <w:p w14:paraId="0729D6C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6B226D1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p.(Thr1131Lys)</w:t>
            </w:r>
          </w:p>
        </w:tc>
        <w:tc>
          <w:tcPr>
            <w:tcW w:w="940" w:type="dxa"/>
            <w:tcBorders>
              <w:top w:val="nil"/>
              <w:left w:val="nil"/>
              <w:bottom w:val="nil"/>
              <w:right w:val="nil"/>
            </w:tcBorders>
            <w:shd w:val="clear" w:color="000000" w:fill="DDEBF7"/>
            <w:noWrap/>
            <w:vAlign w:val="bottom"/>
            <w:hideMark/>
          </w:tcPr>
          <w:p w14:paraId="22BFAD1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2E5F81D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21055AC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6577F17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65B609E0" w14:textId="77777777" w:rsidTr="00E02DA9">
        <w:tc>
          <w:tcPr>
            <w:tcW w:w="1098" w:type="dxa"/>
            <w:tcBorders>
              <w:top w:val="nil"/>
              <w:left w:val="single" w:sz="4" w:space="0" w:color="auto"/>
              <w:bottom w:val="nil"/>
              <w:right w:val="nil"/>
            </w:tcBorders>
            <w:shd w:val="clear" w:color="auto" w:fill="auto"/>
            <w:noWrap/>
            <w:vAlign w:val="bottom"/>
            <w:hideMark/>
          </w:tcPr>
          <w:p w14:paraId="295FCA1C"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5AD95C4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c.3730_3731del</w:t>
            </w:r>
          </w:p>
        </w:tc>
        <w:tc>
          <w:tcPr>
            <w:tcW w:w="1701" w:type="dxa"/>
            <w:tcBorders>
              <w:top w:val="nil"/>
              <w:left w:val="nil"/>
              <w:bottom w:val="nil"/>
              <w:right w:val="nil"/>
            </w:tcBorders>
            <w:shd w:val="clear" w:color="auto" w:fill="auto"/>
            <w:noWrap/>
            <w:vAlign w:val="bottom"/>
            <w:hideMark/>
          </w:tcPr>
          <w:p w14:paraId="5FB4F96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NM_032957.5</w:t>
            </w:r>
          </w:p>
        </w:tc>
        <w:tc>
          <w:tcPr>
            <w:tcW w:w="1507" w:type="dxa"/>
            <w:tcBorders>
              <w:top w:val="nil"/>
              <w:left w:val="nil"/>
              <w:bottom w:val="nil"/>
              <w:right w:val="nil"/>
            </w:tcBorders>
            <w:shd w:val="clear" w:color="auto" w:fill="auto"/>
            <w:noWrap/>
            <w:vAlign w:val="bottom"/>
            <w:hideMark/>
          </w:tcPr>
          <w:p w14:paraId="3CD11C2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p.(Cys1244fs)</w:t>
            </w:r>
          </w:p>
        </w:tc>
        <w:tc>
          <w:tcPr>
            <w:tcW w:w="940" w:type="dxa"/>
            <w:tcBorders>
              <w:top w:val="nil"/>
              <w:left w:val="nil"/>
              <w:bottom w:val="nil"/>
              <w:right w:val="nil"/>
            </w:tcBorders>
            <w:shd w:val="clear" w:color="auto" w:fill="auto"/>
            <w:noWrap/>
            <w:vAlign w:val="bottom"/>
            <w:hideMark/>
          </w:tcPr>
          <w:p w14:paraId="3D31799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2E12F1B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27CF10F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4DCA51E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{"citationItems":[{"id":"ITEM-1","itemData":{"DOI":"10.3389/FIMMU.2017.00449","ISSN":"1664-3224","PMID":"28507545","abstract":"Typical features of dyskeratosis congenita (DC) resulting from excessive telomere shortening include bone marrow failure (BMF), mucosal fragility, and pulmonary or liver fibrosis. In more severe cases, immune deficiency and recurring infections can add to disease severity. RTEL1 deficiency has recently been described as a major genetic etiology, but the molecular basis and clinical consequences of RTEL1-associated DC are incompletely characterized. We report our observations in a cohort of six patients: five with novel biallelic RTEL1 mutations p.Trp456Cys, p.Ile425Thr, p.Cys1244ProfsX17, p.Pro884_Gln885ins53X13, and one with novel heterozygous mutation p.Val796AlafsX4. The most unifying features were hypocellular BMF in 6/6 and B-/NK-cell lymphopenia in 5/6 patients. In addition, three patients with homozygous mutations p.Trp456Cys or p.Ile425Thr also suffered from immunodeficiency, cerebellar hypoplasia, and enteropathy, consistent with Hoyeraal-Hreidarsson syndrome. Chromosomal breakage resembling a homologous recombination defect was detected in patient-derived fibroblasts but not in hematopoietic compartment. Notably, in both cellular compartments, differential expression of 1243aa and 1219/1300aa RTEL1 isoforms was observed. In fibroblasts, response to ionizing irradiation and non-homologous end joining were not impaired. Telomeric circles did not accumulate in patient-derived primary cells and lymphoblastoid cell lines, implying alternative pathomechanisms for telomeric loss. Overall, RTEL1-deficient cells exhibited a phenotype of replicative exhaustion, spontaneous apoptosis and senescence. Specifically, CD34+ cells failed to expand in vitro, B-cell development was compromised, and T-cells did not proliferate in long-term culture. Finally, we report on the natural history and outcome of our patients. While two patients died from infections, hematopoietic stem cell transplantation (HSCT) resulted in sustained engraftment in two patients. Whether chemotherapy negatively impacts on the course and onset of other DC-related symptoms remains open at present. Early-onset lung disease occurred in one of our patients after HSCT. In conclusion, RTEL deficiency can show a heterogeneous clinical picture ranging from mild hypocellular BMF with B/NK cell lymphopenia to early-onset, very severe, and rapidly progressing cellular deficiency.","author":[{"dropping-particle":"","family":"Speckmann","given":"Carsten","non-dropping-particle":"","parse-names":false,"suffix":""},{"dropping-particle":"","family":"Sahoo","given":"Sushree Sangita","non-dropping-particle":"","parse-names":false,"suffix":""},{"dropping-particle":"","family":"Rizzi","given":"Marta","non-dropping-particle":"","parse-names":false,"suffix":""},{"dropping-particle":"","family":"Hirabayashi","given":"Shinsuke","non-dropping-particle":"","parse-names":false,"suffix":""},{"dropping-particle":"","family":"Karow","given":"Axel","non-dropping-particle":"","parse-names":false,"suffix":""},{"dropping-particle":"","family":"Serwas","given":"Nina Kathrin","non-dropping-particle":"","parse-names":false,"suffix":""},{"dropping-particle":"","family":"Hoemberg","given":"Marc","non-dropping-particle":"","parse-names":false,"suffix":""},{"dropping-particle":"","family":"Damatova","given":"Natalja","non-dropping-particle":"","parse-names":false,"suffix":""},{"dropping-particle":"","family":"Schindler","given":"Detlev","non-dropping-particle":"","parse-names":false,"suffix":""},{"dropping-particle":"","family":"Vannier","given":"Jean Baptiste","non-dropping-particle":"","parse-names":false,"suffix":""},{"dropping-particle":"","family":"Boulton","given":"Simon J.","non-dropping-particle":"","parse-names":false,"suffix":""},{"dropping-particle":"","family":"Pannicke","given":"Ulrich","non-dropping-particle":"","parse-names":false,"suffix":""},{"dropping-particle":"","family":"Göhring","given":"Gudrun","non-dropping-particle":"","parse-names":false,"suffix":""},{"dropping-particle":"","family":"Thomay","given":"Kathrin","non-dropping-particle":"","parse-names":false,"suffix":""},{"dropping-particle":"","family":"Verdu-Amoros","given":"J. J.","non-dropping-particle":"","parse-names":false,"suffix":""},{"dropping-particle":"","family":"Hauch","given":"Holger","non-dropping-particle":"","parse-names":false,"suffix":""},{"dropping-particle":"","family":"Woessmann","given":"Wilhelm","non-dropping-particle":"","parse-names":false,"suffix":""},{"dropping-particle":"","family":"Escherich","given":"Gabriele","non-dropping-particle":"","parse-names":false,"suffix":""},{"dropping-particle":"","family":"Laack","given":"Eckart","non-dropping-particle":"","parse-names":false,"suffix":""},{"dropping-particle":"","family":"Rindle","given":"Liliana","non-dropping-particle":"","parse-names":false,"suffix":""},{"dropping-particle":"","family":"Seidl","given":"Maximilian","non-dropping-particle":"","parse-names":false,"suffix":""},{"dropping-particle":"","family":"Rensing-Ehl","given":"Anne","non-dropping-particle":"","parse-names":false,"suffix":""},{"dropping-particle":"","family":"Lausch","given":"Ekkehart","non-dropping-particle":"","parse-names":false,"suffix":""},{"dropping-particle":"","family":"Jandrasits","given":"Christine","non-dropping-particle":"","parse-names":false,"suffix":""},{"dropping-particle":"","family":"Strahm","given":"Brigitte","non-dropping-particle":"","parse-names":false,"suffix":""},{"dropping-particle":"","family":"Schwarz","given":"Klaus","non-dropping-particle":"","parse-names":false,"suffix":""},{"dropping-particle":"","family":"Ehl","given":"Stephan R.","non-dropping-particle":"","parse-names":false,"suffix":""},{"dropping-particle":"","family":"Niemeyer","given":"Charlotte","non-dropping-particle":"","parse-names":false,"suffix":""},{"dropping-particle":"","family":"Boztug","given":"Kaan","non-dropping-particle":"","parse-names":false,"suffix":""},{"dropping-particle":"","family":"Wlodarski","given":"Marcin W.","non-dropping-particle":"","parse-names":false,"suffix":""}],"container-title":"Frontiers in immunology","id":"ITEM-1","issue":"MAY","issued":{"date-parts":[["2017","5","1"]]},"publisher":"Front Immunol","title":"Clinical and Molecular Heterogeneity of RTEL1 Deficiency","type":"article-journal","volume":"8"},"uris":["http://www.mendeley.com/documents/?uuid=11608b05-933e-367d-b7a7-f927bf391d9b"]}],"mendeley":{"formattedCitation":"(24)","plainTextFormattedCitation":"(24)","previouslyFormattedCitation":"(24)"},"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(24)</w:t>
            </w:r>
            <w:r w:rsidRPr="006E42E0">
              <w:rPr>
                <w:rFonts w:ascii="Verdana" w:eastAsia="Times New Roman" w:hAnsi="Verdana" w:cs="Arial"/>
                <w:color w:val="000000"/>
                <w:sz w:val="16"/>
                <w:szCs w:val="20"/>
                <w:lang w:val="nl-NL" w:eastAsia="nl-NL"/>
              </w:rPr>
              <w:fldChar w:fldCharType="end"/>
            </w:r>
          </w:p>
        </w:tc>
      </w:tr>
      <w:tr w:rsidR="005C5BE9" w:rsidRPr="006E42E0" w14:paraId="3C2E4519" w14:textId="77777777" w:rsidTr="00E02DA9">
        <w:tc>
          <w:tcPr>
            <w:tcW w:w="1098" w:type="dxa"/>
            <w:tcBorders>
              <w:top w:val="nil"/>
              <w:left w:val="single" w:sz="4" w:space="0" w:color="auto"/>
              <w:bottom w:val="nil"/>
              <w:right w:val="nil"/>
            </w:tcBorders>
            <w:shd w:val="clear" w:color="000000" w:fill="DDEBF7"/>
            <w:noWrap/>
            <w:vAlign w:val="bottom"/>
            <w:hideMark/>
          </w:tcPr>
          <w:p w14:paraId="13A5BE3B"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587F877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c.3757G&gt;C</w:t>
            </w:r>
          </w:p>
        </w:tc>
        <w:tc>
          <w:tcPr>
            <w:tcW w:w="1701" w:type="dxa"/>
            <w:tcBorders>
              <w:top w:val="nil"/>
              <w:left w:val="nil"/>
              <w:bottom w:val="nil"/>
              <w:right w:val="nil"/>
            </w:tcBorders>
            <w:shd w:val="clear" w:color="000000" w:fill="DDEBF7"/>
            <w:noWrap/>
            <w:vAlign w:val="bottom"/>
            <w:hideMark/>
          </w:tcPr>
          <w:p w14:paraId="2F7CDC9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64283A9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p.(Val1253Leu)</w:t>
            </w:r>
          </w:p>
        </w:tc>
        <w:tc>
          <w:tcPr>
            <w:tcW w:w="940" w:type="dxa"/>
            <w:tcBorders>
              <w:top w:val="nil"/>
              <w:left w:val="nil"/>
              <w:bottom w:val="nil"/>
              <w:right w:val="nil"/>
            </w:tcBorders>
            <w:shd w:val="clear" w:color="000000" w:fill="DDEBF7"/>
            <w:noWrap/>
            <w:vAlign w:val="bottom"/>
            <w:hideMark/>
          </w:tcPr>
          <w:p w14:paraId="765C9E9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5A3D5B6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EE94A9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56DECB6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61021EEF" w14:textId="77777777" w:rsidTr="00E02DA9">
        <w:tc>
          <w:tcPr>
            <w:tcW w:w="1098" w:type="dxa"/>
            <w:tcBorders>
              <w:top w:val="nil"/>
              <w:left w:val="single" w:sz="4" w:space="0" w:color="auto"/>
              <w:bottom w:val="nil"/>
              <w:right w:val="nil"/>
            </w:tcBorders>
            <w:shd w:val="clear" w:color="auto" w:fill="auto"/>
            <w:noWrap/>
            <w:vAlign w:val="bottom"/>
            <w:hideMark/>
          </w:tcPr>
          <w:p w14:paraId="561DB4A3"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auto" w:fill="auto"/>
            <w:noWrap/>
            <w:vAlign w:val="bottom"/>
            <w:hideMark/>
          </w:tcPr>
          <w:p w14:paraId="4CA7A1E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c.3791G&gt;A</w:t>
            </w:r>
          </w:p>
        </w:tc>
        <w:tc>
          <w:tcPr>
            <w:tcW w:w="1701" w:type="dxa"/>
            <w:tcBorders>
              <w:top w:val="nil"/>
              <w:left w:val="nil"/>
              <w:bottom w:val="nil"/>
              <w:right w:val="nil"/>
            </w:tcBorders>
            <w:shd w:val="clear" w:color="auto" w:fill="auto"/>
            <w:noWrap/>
            <w:vAlign w:val="bottom"/>
            <w:hideMark/>
          </w:tcPr>
          <w:p w14:paraId="55FB598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auto" w:fill="auto"/>
            <w:noWrap/>
            <w:vAlign w:val="bottom"/>
            <w:hideMark/>
          </w:tcPr>
          <w:p w14:paraId="26A6BA3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p.(Arg1264His)</w:t>
            </w:r>
          </w:p>
        </w:tc>
        <w:tc>
          <w:tcPr>
            <w:tcW w:w="940" w:type="dxa"/>
            <w:tcBorders>
              <w:top w:val="nil"/>
              <w:left w:val="nil"/>
              <w:bottom w:val="nil"/>
              <w:right w:val="nil"/>
            </w:tcBorders>
            <w:shd w:val="clear" w:color="auto" w:fill="auto"/>
            <w:noWrap/>
            <w:vAlign w:val="bottom"/>
            <w:hideMark/>
          </w:tcPr>
          <w:p w14:paraId="65424A2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3B22F41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46FBB66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auto" w:fill="auto"/>
            <w:noWrap/>
            <w:vAlign w:val="bottom"/>
            <w:hideMark/>
          </w:tcPr>
          <w:p w14:paraId="419089C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{"citationItems":[{"id":"ITEM-1","itemData":{"DOI":"10.1073/pnas.1720427115","ISSN":"1091-6490","PMID":"29463756","abstract":"Telomere length (TL) predicts the onset of cellular senescence in vitro but the diagnostic utility of TL measurement in clinical settings is not fully known. We tested the value of TL measurement by flow cytometry and FISH (flowFISH) in patients with mutations in telomerase and telomere maintenance genes. TL had a discrete and reproducible normal range with definable upper and lower boundaries. While TL above the 50th age-adjusted percentile had a 100% negative predictive value for clinically relevant mutations, the lower threshold in mutation carriers was age-dependent, and adult mutation carriers often overlapped with the lowest decile of controls. The extent of telomere shortening correlated with the age at diagnosis as well as the short telomere syndrome phenotype. Extremely short TL caused bone marrow failure and immunodeficiency in children and young adults, while milder defects manifested as pulmonary fibrosis-emphysema in adults. We prospectively examined whether TL altered treatment decisions for newly diagnosed idiopathic bone marrow failure patients and found abnormally short TL enriched for patients with mutations in some inherited bone marrow failure genes, such as RUNX1, in addition to telomerase and telomere maintenance genes. The result was actionable, altering the choice of treatment regimen and/or hematopoietic stem cell donor in one-fourth of the cases (9 of 38, 24%). We conclude that TL measurement by flowFISH, when used for targeted clinical indications and in limited settings, can influence treatment decisions in ways that improve outcome.","author":[{"dropping-particle":"","family":"Alder","given":"Jonathan K","non-dropping-particle":"","parse-names":false,"suffix":""},{"dropping-particle":"","family":"Hanumanthu","given":"Vidya Sagar","non-dropping-particle":"","parse-names":false,"suffix":""},{"dropping-particle":"","family":"Strong","given":"Margaret A","non-dropping-particle":"","parse-names":false,"suffix":""},{"dropping-particle":"","family":"DeZern","given":"Amy E","non-dropping-particle":"","parse-names":false,"suffix":""},{"dropping-particle":"","family":"Stanley","given":"Susan E","non-dropping-particle":"","parse-names":false,"suffix":""},{"dropping-particle":"","family":"Takemoto","given":"Clifford M","non-dropping-particle":"","parse-names":false,"suffix":""},{"dropping-particle":"","family":"Danilova","given":"Ludmila","non-dropping-particle":"","parse-names":false,"suffix":""},{"dropping-particle":"","family":"Applegate","given":"Carolyn D","non-dropping-particle":"","parse-names":false,"suffix":""},{"dropping-particle":"","family":"Bolton","given":"Stephen G","non-dropping-particle":"","parse-names":false,"suffix":""},{"dropping-particle":"","family":"Mohr","given":"David W","non-dropping-particle":"","parse-names":false,"suffix":""},{"dropping-particle":"","family":"Brodsky","given":"Robert A","non-dropping-particle":"","parse-names":false,"suffix":""},{"dropping-particle":"","family":"Casella","given":"James F","non-dropping-particle":"","parse-names":false,"suffix":""},{"dropping-particle":"","family":"Greider","given":"Carol W","non-dropping-particle":"","parse-names":false,"suffix":""},{"dropping-particle":"","family":"Jackson","given":"J Brooks","non-dropping-particle":"","parse-names":false,"suffix":""},{"dropping-particle":"","family":"Armanios","given":"Mary","non-dropping-particle":"","parse-names":false,"suffix":""}],"container-title":"Proceedings of the National Academy of Sciences of the United States of America","id":"ITEM-1","issue":"10","issued":{"date-parts":[["2018","3","6"]]},"page":"E2358-E2365","publisher":"National Academy of Sciences","title":"Diagnostic utility of telomere length testing in a hospital-based setting.","type":"article-journal","volume":"115"},"uris":["http://www.mendeley.com/documents/?uuid=0e1835ef-8ef8-3c46-b116-c9a2d60f5a0c"]},{"id":"ITEM-2","itemData":{"DOI":"10.1111/CGE.12459","ISSN":"1399-0004","PMID":"25047097","abstract":"Hoyeraal-Hreidarsson syndrome (HH) is a clinically severe variant of dyskeratosis congenita (DC), characterized by cerebellar hypoplasia, microcephaly, intrauterine growth retardation, and severe immunodeficiency in addition to features of DC. Germline mutations in the RTEL1 gene have recently been identified as causative of HH. In this study, the carrier frequency for five RTEL1 mutations that occurred in individuals of Ashkenazi Jewish descent was investigated in order to advise on including them in existing clinical mutation panels for this population. Our screening showed that the carrier frequency for c.3791G&gt;A (p.R1264H) was higher than expected, 1% in the Ashkenazi Orthodox and 0.45% in the general Ashkenazi Jewish population. Haplotype analyses suggested the presence of a common founder. We recommend that the c.3791G&gt;A RTEL1 mutation be considered for inclusion in carrier screening panels in the Ashkenazi population.","author":[{"dropping-particle":"","family":"AM","given":"Fedick","non-dropping-particle":"","parse-names":false,"suffix":""},{"dropping-particle":"","family":"L","given":"Shi","non-dropping-particle":"","parse-names":false,"suffix":""},{"dropping-particle":"","family":"C","given":"Jalas","non-dropping-particle":"","parse-names":false,"suffix":""},{"dropping-particle":"","family":"NR","given":"Treff","non-dropping-particle":"","parse-names":false,"suffix":""},{"dropping-particle":"","family":"J","given":"Ekstein","non-dropping-particle":"","parse-names":false,"suffix":""},{"dropping-particle":"","family":"R","given":"Kornreich","non-dropping-particle":"","parse-names":false,"suffix":""},{"dropping-particle":"","family":"L","given":"Edelmann","non-dropping-particle":"","parse-names":false,"suffix":""},{"dropping-particle":"","family":"L","given":"Mehta","non-dropping-particle":"","parse-names":false,"suffix":""},{"dropping-particle":"","family":"SA","given":"Savage","non-dropping-particle":"","parse-names":false,"suffix":""}],"container-title":"Clinical genetics","id":"ITEM-2","issue":"2","issued":{"date-parts":[["2015","8","1"]]},"page":"177-181","publisher":"Clin Genet","title":"Carrier screening of RTEL1 mutations in the Ashkenazi Jewish population","type":"article-journal","volume":"88"},"uris":["http://www.mendeley.com/documents/?uuid=8519dbbe-86d8-3cd9-9a65-cfc55438e3ad"]},{"id":"ITEM-3","itemData":{"DOI":"10.1182/blood-2015-03-633388","ISSN":"1528-0020","PMID":"26024875","abstract":"Dyskeratosis congenita (DC) and related diseases are a heterogeneous group of disorders characterized by impaired telomere maintenance, known collectively as the telomeropathies. Disease-causing variants have been identified in 10 telomere-related genes including the reverse transcriptase (TERT) and the RNA component (TERC) of the telomerase complex. Variants in TERC and TERT can impede telomere elongation causing stem cells to enter premature replicative senescence and/or apoptosis as telomeres become critically short. This explains the major impact of the disease on highly proliferative tissues such as the bone marrow and skin. However, telomerase variants are not always fully penetrant and in some families disease-causing variants are seen in asymptomatic family members. As a result, determining the pathogenic status of newly identified variants in TERC or TERT can be quite challenging. Over a 3-year period, we have identified 26 telomerase variants (16 of which are novel) in 23 families. Additional investigations (including family segregation and functional studies) enabled these to be categorized into 3 groups: (1) disease-causing (n = 15), (2) uncertain status (n = 6), and (3) bystanders (n = 5). Remarkably, this process has also enabled us to identify families with novel mechanisms of inheriting human telomeropathies. These include triallelic mutations, involving 2 different telomerase genes, and an epigenetic-like inheritance of short telomeres in the absence of a telomerase mutation. This study therefore highlights that telomerase variants have highly variable functional and clinical manifestations and require thorough investigation to assess their pathogenic contribution.","author":[{"dropping-particle":"","family":"Collopy","given":"Laura C","non-dropping-particle":"","parse-names":false,"suffix":""},{"dropping-particle":"","family":"Walne","given":"Amanda J","non-dropping-particle":"","parse-names":false,"suffix":""},{"dropping-particle":"","family":"Cardoso","given":"Shirleny","non-dropping-particle":"","parse-names":false,"suffix":""},{"dropping-particle":"","family":"la Fuente","given":"Josu","non-dropping-particle":"de","parse-names":false,"suffix":""},{"dropping-particle":"","family":"Mohamed","given":"Mahfuzah","non-dropping-particle":"","parse-names":false,"suffix":""},{"dropping-particle":"","family":"Toriello","given":"Helga","non-dropping-particle":"","parse-names":false,"suffix":""},{"dropping-particle":"","family":"Tamary","given":"Hannah","non-dropping-particle":"","parse-names":false,"suffix":""},{"dropping-particle":"V","family":"Ling","given":"Adam J Y","non-dropping-particle":"","parse-names":false,"suffix":""},{"dropping-particle":"","family":"Lloyd","given":"Timothy","non-dropping-particle":"","parse-names":false,"suffix":""},{"dropping-particle":"","family":"Kassam","given":"Rebecca","non-dropping-particle":"","parse-names":false,"suffix":""},{"dropping-particle":"","family":"Tummala","given":"Hemanth","non-dropping-particle":"","parse-names":false,"suffix":""},{"dropping-particle":"","family":"Vulliamy","given":"Thomas J","non-dropping-particle":"","parse-names":false,"suffix":""},{"dropping-particle":"","family":"Dokal","given":"Inderjeet","non-dropping-particle":"","parse-names":false,"suffix":""}],"container-title":"Blood","id":"ITEM-3","issue":"2","issued":{"date-parts":[["2015","7","9"]]},"page":"176-84","publisher":"Blood","title":"Triallelic and epigenetic-like inheritance in human disorders of telomerase.","type":"article-journal","volume":"126"},"uris":["http://www.mendeley.com/documents/?uuid=7c053bb3-4407-3f8b-8bf9-05f74caef858"]},{"id":"ITEM-4","itemData":{"DOI":"10.3324/HAEMATOL.2016.149476","ISSN":"1592-8721","PMID":"27418648","abstract":"The clinical and histopathological distinctions between inherited versus acquired bone marrow failure and myelodysplastic syndromes are challenging. The identification of inherited bone marrow failure/myelodysplastic syndromes is critical to inform appropriate clinical management. To investigate whether a subset of pediatric and young adults undergoing transplant for aplastic anemia or myelodysplastic syndrome have germline mutations in bone marrow failure/myelodysplastic syndrome genes, we performed a targeted genetic screen of samples obtained between 1990-2012 from children and young adults with aplastic anemia or myelodysplastic syndrome transplanted at the Fred Hutchinson Cancer Research Center. Mutations in inherited bone marrow failure/myelodysplastic syndrome genes were found in 5.1% (5/98) of aplastic anemia patients and 13.6% (15/110) of myelodysplastic syndrome patients. While the majority of mutations were constitutional, a RUNX1 mutation present in the peripheral blood at a 51% variant allele fraction was confirmed to be somatically acquired in one myelodysplastic syndrome patient. This highlights the importance of distinguishing germline versus somatic mutations by sequencing DNA from a second tissue or from parents. Pathological mutations were present in DKC1, MPL, and TP53 among the aplastic anemia cohort, and in FANCA, GATA2, MPL, RTEL1, RUNX1, SBDS, TERT, TINF2, and TP53 among the myelodysplastic syndrome cohort. Family history or physical examination failed to reliably predict the presence of germline mutations. This study shows that while any single specific bone marrow failure/ myelodysplastic syndrome genetic disorder is rare, screening for these disorders in aggregate identifies a significant subset of patients with inherited bone marrow failure/myelodysplastic syndrome.","author":[{"dropping-particle":"","family":"Keel","given":"Siobán B.","non-dropping-particle":"","parse-names":false,"suffix":""},{"dropping-particle":"","family":"Scott","given":"Angela","non-dropping-particle":"","parse-names":false,"suffix":""},{"dropping-particle":"","family":"Bonilla","given":"Marilyn Sanchez","non-dropping-particle":"","parse-names":false,"suffix":""},{"dropping-particle":"","family":"Ho","given":"Phoenix A.","non-dropping-particle":"","parse-names":false,"suffix":""},{"dropping-particle":"","family":"Gulsuner","given":"Suleyman","non-dropping-particle":"","parse-names":false,"suffix":""},{"dropping-particle":"","family":"Pritchard","given":"Colin C.","non-dropping-particle":"","parse-names":false,"suffix":""},{"dropping-particle":"","family":"Abkowitz","given":"Janis L.","non-dropping-particle":"","parse-names":false,"suffix":""},{"dropping-particle":"","family":"King","given":"Mary Claire","non-dropping-particle":"","parse-names":false,"suffix":""},{"dropping-particle":"","family":"Walsh","given":"Tom","non-dropping-particle":"","parse-names":false,"suffix":""},{"dropping-particle":"","family":"Shimamura","given":"Akiko","non-dropping-particle":"","parse-names":false,"suffix":""}],"container-title":"Haematologica","id":"ITEM-4","issue":"11","issued":{"date-parts":[["2016","10","31"]]},"page":"1343-1350","publisher":"Haematologica","title":"Genetic features of myelodysplastic syndrome and aplastic anemia in pediatric and young adult patients","type":"article-journal","volume":"101"},"uris":["http://www.mendeley.com/documents/?uuid=01d66d12-15ac-3739-86e1-2525bd84acde"]},{"id":"ITEM-5","itemData":{"DOI":"10.1016/J.AJHG.2013.02.001","ISSN":"1537-6605","PMID":"23453664","abstract":"Dyskeratosis congenita (DC) and its phenotypically severe variant, Hoyeraal-Hreidarsson syndrome (HHS), are multisystem bone-marrow-failure syndromes in which the principal pathology is defective telomere maintenance. The genetic basis of many cases of DC and HHS remains unknown. Using whole-exome sequencing, we identified biallelic mutations in RTEL1, encoding a helicase essential for telomere maintenance and regulation of homologous recombination, in an individual with familial HHS. Additional screening of RTEL1 identified biallelic mutations in 6/23 index cases with HHS but none in 102 DC or DC-like cases. All 11 mutations in ten HHS individuals from seven families segregated in an autosomal-recessive manner, and telomere lengths were significantly shorter in cases than in controls (p = 0.0003). This group had significantly higher levels of telomeric circles, produced as a consequence of incorrect processing of telomere ends, than did controls (p = 0.0148). These biallelic RTEL1 mutations are responsible for a major subgroup (</w:instrText>
            </w:r>
            <w:r w:rsidRPr="006E42E0">
              <w:rPr>
                <w:rFonts w:ascii="Cambria Math" w:eastAsia="Times New Roman" w:hAnsi="Cambria Math" w:cs="Cambria Math"/>
                <w:color w:val="000000"/>
                <w:sz w:val="16"/>
                <w:szCs w:val="20"/>
                <w:lang w:val="nl-NL" w:eastAsia="nl-NL"/>
              </w:rPr>
              <w:instrText>∼</w:instrText>
            </w:r>
            <w:r w:rsidRPr="006E42E0">
              <w:rPr>
                <w:rFonts w:ascii="Verdana" w:eastAsia="Times New Roman" w:hAnsi="Verdana" w:cs="Arial"/>
                <w:color w:val="000000"/>
                <w:sz w:val="16"/>
                <w:szCs w:val="20"/>
                <w:lang w:val="nl-NL" w:eastAsia="nl-NL"/>
              </w:rPr>
              <w:instrText>29%) of HHS. Our studies show that cells harboring these mutations have significant defects in telomere maintenance, but not in homologous recombination, and that incorrect resolution of T-loops is a mechanism for telomere shortening and disease causation in humans. They also demonstrate the severe multisystem consequences of its dysfunction. © 2013 The American Society of Human Genetics.","author":[{"dropping-particle":"","family":"Walne","given":"Amanda J.","non-dropping-particle":"","parse-names":false,"suffix":""},{"dropping-particle":"","family":"Vulliamy","given":"Tom","non-dropping-particle":"","parse-names":false,"suffix":""},{"dropping-particle":"","family":"Kirwan","given":"Michael","non-dropping-particle":"","parse-names":false,"suffix":""},{"dropping-particle":"","family":"Plagnol","given":"Vincent","non-dropping-particle":"","parse-names":false,"suffix":""},{"dropping-particle":"","family":"Dokal","given":"Inderjeet","non-dropping-particle":"","parse-names":false,"suffix":""}],"container-title":"American journal of human genetics","id":"ITEM-5","issue":"3","issued":{"date-parts":[["2013","3","7"]]},"page":"448-453","publisher":"Am J Hum Genet","title":"Constitutional mutations in RTEL1 cause severe dyskeratosis congenita","type":"article-journal","volume":"92"},"uris":["http://www.mendeley.com/documents/?uuid=e778eab1-5fd3-3339-95b5-0bd44a8426b7"]},{"id":"ITEM-6","itemData":{"DOI":"10.1164/rccm.201408-1510OC","ISSN":"15354970","abstract":"Rationale: Up to 20% of cases of idiopathic interstitial pneumonia cluster in families, comprising the syndrome of familial interstitial pneumonia (FIP); however, the genetic basis of FIP remains uncertain in most families. Objectives: To determine if new disease-causing rare genetic variants could be identified using whole-exome sequencing of affected members from FIP families, providing additional insights into disease pathogenesis. Methods: Affected subjects from 25 kindreds were selected from an ongoing FIP registry for whole-exome sequencing from genomic DNA. Candidate rare variants were confirmed by Sanger sequencing, and cosegregation analysis was performed in families, followed by additional sequencing of affected individuals from another 163 kindreds. Measurements and Main Results: We identified a potentially damaging rare variant in the gene encoding for regulator of telomere elongation helicase 1 (RTEL1) that segregated with disease and was associated with very short telomeres in peripheral blood mononuclear cells in 1 of 25 families in our original whole-exome sequencing cohort. Evaluation of affected individuals in 163 additional kindreds revealed another eight families (4.7%) with heterozygous rare variants in RTEL1 that segregated with clinical FIP. Probands and unaffected carriers of these rare variants had short telomeres (&lt;10% for age) in peripheral blood mononuclear cells and increased T-circle formation, suggesting impaired RTEL1 function. Conclusions: Rare loss-of-function variants in RTEL1 represent a newly defined genetic predisposition for FIP, supporting the importance of telomere-related pathways in pulmonary fibrosis.","author":[{"dropping-particle":"","family":"Cogan","given":"Joy D.","non-dropping-particle":"","parse-names":false,"suffix":""},{"dropping-particle":"","family":"Kropski","given":"Jonathan A.","non-dropping-particle":"","parse-names":false,"suffix":""},{"dropping-particle":"","family":"Zhao","given":"Min","non-dropping-particle":"","parse-names":false,"suffix":""},{"dropping-particle":"","family":"Mitchell","given":"Daphne B.","non-dropping-particle":"","parse-names":false,"suffix":""},{"dropping-particle":"","family":"Rives","given":"Lynette","non-dropping-particle":"","parse-names":false,"suffix":""},{"dropping-particle":"","family":"Markin","given":"Cheryl","non-dropping-particle":"","parse-names":false,"suffix":""},{"dropping-particle":"","family":"Garnett","given":"Errine T.","non-dropping-particle":"","parse-names":false,"suffix":""},{"dropping-particle":"","family":"Montgomery","given":"Keri H.","non-dropping-particle":"","parse-names":false,"suffix":""},{"dropping-particle":"","family":"Mason","given":"Wendi R.","non-dropping-particle":"","parse-names":false,"suffix":""},{"dropping-particle":"","family":"McKean","given":"David F.","non-dropping-particle":"","parse-names":false,"suffix":""},{"dropping-particle":"","family":"Powers","given":"Julia","non-dropping-particle":"","parse-names":false,"suffix":""},{"dropping-particle":"","family":"Murphy","given":"Elissa","non-dropping-particle":"","parse-names":false,"suffix":""},{"dropping-particle":"","family":"Olson","given":"Lana M.","non-dropping-particle":"","parse-names":false,"suffix":""},{"dropping-particle":"","family":"Choi","given":"Leena","non-dropping-particle":"","parse-names":false,"suffix":""},{"dropping-particle":"","family":"Cheng","given":"Dong Sheng","non-dropping-particle":"","parse-names":false,"suffix":""},{"dropping-particle":"","family":"Blue","given":"Elizabeth Marchani","non-dropping-particle":"","parse-names":false,"suffix":""},{"dropping-particle":"","family":"Young","given":"Lisa R.","non-dropping-particle":"","parse-names":false,"suffix":""},{"dropping-particle":"","family":"Lancaster","given":"Lisa H.","non-dropping-particle":"","parse-names":false,"suffix":""},{"dropping-particle":"","family":"Steele","given":"Mark P.","non-dropping-particle":"","parse-names":false,"suffix":""},{"dropping-particle":"","family":"Brown","given":"Kevin K.","non-dropping-particle":"","parse-names":false,"suffix":""},{"dropping-particle":"","family":"Schwarz","given":"Marvin I.","non-dropping-particle":"","parse-names":false,"suffix":""},{"dropping-particle":"","family":"Fingerlin","given":"Tasha E.","non-dropping-particle":"","parse-names":false,"suffix":""},{"dropping-particle":"","family":"Schwartz","given":"David A.","non-dropping-particle":"","parse-names":false,"suffix":""},{"dropping-particle":"","family":"Lawson","given":"William E.","non-dropping-particle":"","parse-names":false,"suffix":""},{"dropping-particle":"","family":"Loyd","given":"James E.","non-dropping-particle":"","parse-names":false,"suffix":""},{"dropping-particle":"","family":"Zhao","given":"Zhongming","non-dropping-particle":"","parse-names":false,"suffix":""},{"dropping-particle":"","family":"Phillips","given":"John A.","non-dropping-particle":"","parse-names":false,"suffix":""},{"dropping-particle":"","family":"Blackwell","given":"Timothy S.","non-dropping-particle":"","parse-names":false,"suffix":""},{"dropping-particle":"","family":"University of Washington Center for Mendelian Genomics","given":"","non-dropping-particle":"","parse-names":false,"suffix":""}],"container-title":"American Journal of Respiratory and Critical Care Medicine","id":"ITEM-6","issue":"6","issued":{"date-parts":[["2015","3","15"]]},"page":"646-655","publisher":"American Thoracic Society","title":"Rare variants in RTEL1 are associated with familial interstitial pneumonia","type":"article-journal","volume":"191"},"uris":["http://www.mendeley.com/documents/?uuid=1509f094-208c-388c-9cfa-1c19d0f5ca05"]},{"id":"ITEM-7","itemData":{"DOI":"10.1001/JAMANETWORKOPEN.2024.50111","ISSN":"25743805","PMID":"39661387","abstract":"Importance: Telomere biology disorders (TBDs) are inherited cancer-prone bone marrow failure syndromes with differences in morbidity and mortality based on mode of inheritance. Objective: To quantify cancer risks in TBDs by genetic subgroups. Design, Setting, and Participants: This longitudinal cohort study of TBDs assessed cancer occurrences from 2002 through 2022. Participants were individuals with a TBD-associated pathogenic germline variant recruited across institutions by self-referral. Data were collected and analyzed through June 30, 2022. Exposures: The exposure was TBD genotypes, with subgroups defined by inheritance pattern (autosomal-dominant [AD-non-TINF2] vs autosomal-recessive/X-linked [AR/XLR] vs AD-TINF2). Main Outcomes and Measures: The main outcome was cancer; secondary outcomes included death, or organ transplant. Cumulative cancer incidence was determined considering death or transplant as competing events. Observed:expected (O:E) ratios of cancer before and after any organ transplant were calculated using the National Cancer Institute's Surveillance, Epidemiology, and End Results Program. Results: Among 230 individuals with TBD (135 [58.7%] male; median [range] age at last follow-up, 34.6 [1.4-82.2] years) included, the risk of cancer was 3-fold higher than the general population (O:E, 3.35 [95% CI, 2.32-4.68]). The highest risk was observed in individuals with AR/XLR (O:E, 19.16 [95% CI, 9.19-35.24]) with a significantly younger cancer onset than in individuals with AD-non-TINF2 (median [range] age, 36.7 [25.2-53.6] years vs 44.5 [32.2-67.5] years; P =.01). The risk of solid tumors was highest in individuals with AR/XLR (O:E = 23.97 [95% CI, 10.96-45.50]), predominantly head and neck squamous cell carcinomas (O:E, 276.00 [95% CI, 75.20-706.67]). Hematologic malignant neoplasm risk was highest in individuals with AD-non-TINF2 (O:E, 9.41 [95% CI, 4.30-17.86]). Solid tumor cumulative incidence increased to 12% for individuals with AR/XLR by age 45 years and to 13% for individuals with AD-non-TINF2 by age 70 years. The cumulative incidence of hematologic malignant neoplasms leveled off at 2% by age 30 years and 19% by age 70 years in individuals with AR/XLR and AD-non-TINF2, respectively. Individuals with AD-TINF2 showed the highest cumulative incidence for transplant or death (49% by age 15 years). Following transplant, individuals with AR/XLR (O:E, 136.11 [95% CI, 54.72-280.44) or AD-TINF2 (O:E, 81.07 [95% CI, 16.72-236.92]) had the …","author":[{"dropping-particle":"","family":"Niewisch","given":"Marena R.","non-dropping-particle":"","parse-names":false,"suffix":""},{"dropping-particle":"","family":"Kim","given":"Jung","non-dropping-particle":"","parse-names":false,"suffix":""},{"dropping-particle":"","family":"Giri","given":"Neelam","non-dropping-particle":"","parse-names":false,"suffix":""},{"dropping-particle":"","family":"Lunger","given":"Judith C.","non-dropping-particle":"","parse-names":false,"suffix":""},{"dropping-particle":"","family":"McReynolds","given":"Lisa J.","non-dropping-particle":"","parse-names":false,"suffix":""},{"dropping-particle":"","family":"Savage","given":"Sharon A.","non-dropping-particle":"","parse-names":false,"suffix":""}],"container-title":"JAMA Network Open","id":"ITEM-7","issue":"12","issued":{"date-parts":[["2024","12","11"]]},"page":"e2450111","publisher":"American Medical Association","title":"Genotype and Associated Cancer Risk in Individuals With Telomere Biology Disorders","type":"article-journal","volume":"7"},"uris":["http://www.mendeley.com/documents/?uuid=dbce65b3-b87d-36d5-8feb-56941a885f75"]}],"mendeley":{"formattedCitation":"(17,23,25–29)","plainTextFormattedCitation":"(17,23,25–29)","previouslyFormattedCitation":"(17,23,25–29)"},"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(17,23,25–29)</w:t>
            </w:r>
            <w:r w:rsidRPr="006E42E0">
              <w:rPr>
                <w:rFonts w:ascii="Verdana" w:eastAsia="Times New Roman" w:hAnsi="Verdana" w:cs="Arial"/>
                <w:color w:val="000000"/>
                <w:sz w:val="16"/>
                <w:szCs w:val="20"/>
                <w:lang w:val="nl-NL" w:eastAsia="nl-NL"/>
              </w:rPr>
              <w:fldChar w:fldCharType="end"/>
            </w:r>
          </w:p>
        </w:tc>
      </w:tr>
      <w:tr w:rsidR="005C5BE9" w:rsidRPr="006E42E0" w14:paraId="1E928CE8" w14:textId="77777777" w:rsidTr="00E02DA9">
        <w:tc>
          <w:tcPr>
            <w:tcW w:w="1098" w:type="dxa"/>
            <w:tcBorders>
              <w:top w:val="nil"/>
              <w:left w:val="single" w:sz="4" w:space="0" w:color="auto"/>
              <w:bottom w:val="nil"/>
              <w:right w:val="nil"/>
            </w:tcBorders>
            <w:shd w:val="clear" w:color="000000" w:fill="DDEBF7"/>
            <w:noWrap/>
            <w:vAlign w:val="bottom"/>
            <w:hideMark/>
          </w:tcPr>
          <w:p w14:paraId="2969A4E5"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RTEL1</w:t>
            </w:r>
          </w:p>
        </w:tc>
        <w:tc>
          <w:tcPr>
            <w:tcW w:w="1591" w:type="dxa"/>
            <w:tcBorders>
              <w:top w:val="nil"/>
              <w:left w:val="nil"/>
              <w:bottom w:val="nil"/>
              <w:right w:val="nil"/>
            </w:tcBorders>
            <w:shd w:val="clear" w:color="000000" w:fill="DDEBF7"/>
            <w:noWrap/>
            <w:vAlign w:val="bottom"/>
            <w:hideMark/>
          </w:tcPr>
          <w:p w14:paraId="54E7B88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c.3820C&gt;T</w:t>
            </w:r>
          </w:p>
        </w:tc>
        <w:tc>
          <w:tcPr>
            <w:tcW w:w="1701" w:type="dxa"/>
            <w:tcBorders>
              <w:top w:val="nil"/>
              <w:left w:val="nil"/>
              <w:bottom w:val="nil"/>
              <w:right w:val="nil"/>
            </w:tcBorders>
            <w:shd w:val="clear" w:color="000000" w:fill="DDEBF7"/>
            <w:noWrap/>
            <w:vAlign w:val="bottom"/>
            <w:hideMark/>
          </w:tcPr>
          <w:p w14:paraId="589E52D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nil"/>
              <w:right w:val="nil"/>
            </w:tcBorders>
            <w:shd w:val="clear" w:color="000000" w:fill="DDEBF7"/>
            <w:noWrap/>
            <w:vAlign w:val="bottom"/>
            <w:hideMark/>
          </w:tcPr>
          <w:p w14:paraId="4CDC75A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p.(Gln1274Ter)</w:t>
            </w:r>
          </w:p>
        </w:tc>
        <w:tc>
          <w:tcPr>
            <w:tcW w:w="940" w:type="dxa"/>
            <w:tcBorders>
              <w:top w:val="nil"/>
              <w:left w:val="nil"/>
              <w:bottom w:val="nil"/>
              <w:right w:val="nil"/>
            </w:tcBorders>
            <w:shd w:val="clear" w:color="000000" w:fill="DDEBF7"/>
            <w:noWrap/>
            <w:vAlign w:val="bottom"/>
            <w:hideMark/>
          </w:tcPr>
          <w:p w14:paraId="409AF51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13BA4B2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6CE0F28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5</w:t>
            </w:r>
          </w:p>
        </w:tc>
        <w:tc>
          <w:tcPr>
            <w:tcW w:w="2065" w:type="dxa"/>
            <w:tcBorders>
              <w:top w:val="nil"/>
              <w:left w:val="nil"/>
              <w:bottom w:val="nil"/>
              <w:right w:val="single" w:sz="4" w:space="0" w:color="auto"/>
            </w:tcBorders>
            <w:shd w:val="clear" w:color="000000" w:fill="DDEBF7"/>
            <w:noWrap/>
            <w:vAlign w:val="bottom"/>
            <w:hideMark/>
          </w:tcPr>
          <w:p w14:paraId="0CC5E29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0D6E7CA1" w14:textId="77777777" w:rsidTr="00E02DA9">
        <w:tc>
          <w:tcPr>
            <w:tcW w:w="1098" w:type="dxa"/>
            <w:tcBorders>
              <w:top w:val="nil"/>
              <w:left w:val="single" w:sz="4" w:space="0" w:color="auto"/>
              <w:bottom w:val="single" w:sz="4" w:space="0" w:color="auto"/>
              <w:right w:val="nil"/>
            </w:tcBorders>
            <w:shd w:val="clear" w:color="auto" w:fill="auto"/>
            <w:noWrap/>
            <w:vAlign w:val="bottom"/>
            <w:hideMark/>
          </w:tcPr>
          <w:p w14:paraId="77344FC8"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 xml:space="preserve">RTEL1 </w:t>
            </w:r>
          </w:p>
        </w:tc>
        <w:tc>
          <w:tcPr>
            <w:tcW w:w="1591" w:type="dxa"/>
            <w:tcBorders>
              <w:top w:val="nil"/>
              <w:left w:val="nil"/>
              <w:bottom w:val="single" w:sz="4" w:space="0" w:color="auto"/>
              <w:right w:val="nil"/>
            </w:tcBorders>
            <w:shd w:val="clear" w:color="auto" w:fill="auto"/>
            <w:noWrap/>
            <w:vAlign w:val="bottom"/>
            <w:hideMark/>
          </w:tcPr>
          <w:p w14:paraId="2CE5B20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c.3811C&gt;T</w:t>
            </w:r>
          </w:p>
        </w:tc>
        <w:tc>
          <w:tcPr>
            <w:tcW w:w="1701" w:type="dxa"/>
            <w:tcBorders>
              <w:top w:val="nil"/>
              <w:left w:val="nil"/>
              <w:bottom w:val="single" w:sz="4" w:space="0" w:color="auto"/>
              <w:right w:val="nil"/>
            </w:tcBorders>
            <w:shd w:val="clear" w:color="auto" w:fill="auto"/>
            <w:noWrap/>
            <w:vAlign w:val="bottom"/>
            <w:hideMark/>
          </w:tcPr>
          <w:p w14:paraId="02EA9E1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NM_001283009.2</w:t>
            </w:r>
          </w:p>
        </w:tc>
        <w:tc>
          <w:tcPr>
            <w:tcW w:w="1507" w:type="dxa"/>
            <w:tcBorders>
              <w:top w:val="nil"/>
              <w:left w:val="nil"/>
              <w:bottom w:val="single" w:sz="4" w:space="0" w:color="auto"/>
              <w:right w:val="nil"/>
            </w:tcBorders>
            <w:shd w:val="clear" w:color="auto" w:fill="auto"/>
            <w:noWrap/>
            <w:vAlign w:val="bottom"/>
            <w:hideMark/>
          </w:tcPr>
          <w:p w14:paraId="7DBEB38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p.(Arg1271Trp)</w:t>
            </w:r>
          </w:p>
        </w:tc>
        <w:tc>
          <w:tcPr>
            <w:tcW w:w="940" w:type="dxa"/>
            <w:tcBorders>
              <w:top w:val="nil"/>
              <w:left w:val="nil"/>
              <w:bottom w:val="single" w:sz="4" w:space="0" w:color="auto"/>
              <w:right w:val="nil"/>
            </w:tcBorders>
            <w:shd w:val="clear" w:color="auto" w:fill="auto"/>
            <w:noWrap/>
            <w:vAlign w:val="bottom"/>
            <w:hideMark/>
          </w:tcPr>
          <w:p w14:paraId="17F9916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single" w:sz="4" w:space="0" w:color="auto"/>
              <w:right w:val="nil"/>
            </w:tcBorders>
            <w:shd w:val="clear" w:color="auto" w:fill="auto"/>
            <w:noWrap/>
            <w:vAlign w:val="bottom"/>
            <w:hideMark/>
          </w:tcPr>
          <w:p w14:paraId="5C4C84C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single" w:sz="4" w:space="0" w:color="auto"/>
              <w:right w:val="nil"/>
            </w:tcBorders>
            <w:shd w:val="clear" w:color="auto" w:fill="auto"/>
            <w:noWrap/>
            <w:vAlign w:val="bottom"/>
            <w:hideMark/>
          </w:tcPr>
          <w:p w14:paraId="7E8E5DA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single" w:sz="4" w:space="0" w:color="auto"/>
              <w:right w:val="single" w:sz="4" w:space="0" w:color="auto"/>
            </w:tcBorders>
            <w:shd w:val="clear" w:color="auto" w:fill="auto"/>
            <w:noWrap/>
            <w:vAlign w:val="bottom"/>
            <w:hideMark/>
          </w:tcPr>
          <w:p w14:paraId="36AC5CB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{"citationItems":[{"id":"ITEM-1","itemData":{"DOI":"10.3390/IJMS24032790/S1","ISSN":"14220067","PMID":"36769106","abstract":"In only around 40% of families with pulmonary fibrosis (PF) a suspected genetic cause can be found. Genetic overlap analysis of Whole Exome Sequencing (WES) data may be a powerful tool to discover new shared variants in novel genes for PF. As a proof of principle, we first selected unrelated PF patients for whom a genetic variant was detected (n = 125) in established PF genes and searched for overlapping variants. Second, we performed WES (n = 149) and identified novel potentially deleterious variants shared by at least two unrelated PF patients. These variants were genotyped in validation cohorts (n = 2748). In 125 unrelated patients, a potentially deleterious variant was detected in known PF genes of which 15 variants in six genes overlapped, involving 51 patients. Overlap analysis of WES data identified two novel variants of interest: TOM1L2 c.421T &gt; C p.(Y141H) and TDP1c.1373dupG p.(S459fs*5), neither gene had been related to pulmonary fibrosis before. Both proteins were present in the alveolar epithelium. No apparent characteristics of telomere disease were observed. This study underlines the potential of searching for overlapping rare potentially deleterious variants to identify disease-associated variants and genes. A previously unreported variant was found in two putative new PF genes, but further research is needed to determine causality.","author":[{"dropping-particle":"","family":"Groen","given":"Karlijn","non-dropping-particle":"","parse-names":false,"suffix":""},{"dropping-particle":"","family":"Vis","given":"Joanne J.","non-dropping-particle":"van der","parse-names":false,"suffix":""},{"dropping-particle":"","family":"Batenburg","given":"Aernoud A.","non-dropping-particle":"van","parse-names":false,"suffix":""},{"dropping-particle":"","family":"Kazemier","given":"Karin M.","non-dropping-particle":"","parse-names":false,"suffix":""},{"dropping-particle":"","family":"Grutters","given":"Jan C.","non-dropping-particle":"","parse-names":false,"suffix":""},{"dropping-particle":"","family":"Moorsel","given":"Coline H.M.","non-dropping-particle":"van","parse-names":false,"suffix":""}],"container-title":"International Journal of Molecular Sciences","id":"ITEM-1","issue":"3","issued":{"date-parts":[["2023","2","1"]]},"page":"2790","publisher":"MDPI","title":"Genetic Variant Overlap Analysis Identifies Established and Putative Genes Involved in Pulmonary Fibrosis","type":"article-journal","volume":"24"},"uris":["http://www.mendeley.com/documents/?uuid=f4432c82-cf80-3750-aff9-97c9f349db64"]}],"mendeley":{"formattedCitation":"(8)","plainTextFormattedCitation":"(8)","previouslyFormattedCitation":"(8)"},"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(8)</w:t>
            </w:r>
            <w:r w:rsidRPr="006E42E0">
              <w:rPr>
                <w:rFonts w:ascii="Verdana" w:eastAsia="Times New Roman" w:hAnsi="Verdana" w:cs="Arial"/>
                <w:color w:val="000000"/>
                <w:sz w:val="16"/>
                <w:szCs w:val="20"/>
                <w:lang w:val="nl-NL" w:eastAsia="nl-NL"/>
              </w:rPr>
              <w:fldChar w:fldCharType="end"/>
            </w:r>
          </w:p>
        </w:tc>
      </w:tr>
      <w:tr w:rsidR="005C5BE9" w:rsidRPr="006E42E0" w14:paraId="280C1437" w14:textId="77777777" w:rsidTr="00E02DA9">
        <w:tc>
          <w:tcPr>
            <w:tcW w:w="1098" w:type="dxa"/>
            <w:tcBorders>
              <w:top w:val="nil"/>
              <w:left w:val="single" w:sz="4" w:space="0" w:color="auto"/>
              <w:bottom w:val="nil"/>
              <w:right w:val="nil"/>
            </w:tcBorders>
            <w:shd w:val="clear" w:color="000000" w:fill="DDEBF7"/>
            <w:noWrap/>
            <w:vAlign w:val="bottom"/>
            <w:hideMark/>
          </w:tcPr>
          <w:p w14:paraId="62AFE847"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TERC</w:t>
            </w:r>
          </w:p>
        </w:tc>
        <w:tc>
          <w:tcPr>
            <w:tcW w:w="1591" w:type="dxa"/>
            <w:tcBorders>
              <w:top w:val="nil"/>
              <w:left w:val="nil"/>
              <w:bottom w:val="nil"/>
              <w:right w:val="nil"/>
            </w:tcBorders>
            <w:shd w:val="clear" w:color="000000" w:fill="DDEBF7"/>
            <w:noWrap/>
            <w:vAlign w:val="bottom"/>
            <w:hideMark/>
          </w:tcPr>
          <w:p w14:paraId="116EEA0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r.30G&gt;A </w:t>
            </w:r>
          </w:p>
        </w:tc>
        <w:tc>
          <w:tcPr>
            <w:tcW w:w="1701" w:type="dxa"/>
            <w:tcBorders>
              <w:top w:val="nil"/>
              <w:left w:val="nil"/>
              <w:bottom w:val="nil"/>
              <w:right w:val="nil"/>
            </w:tcBorders>
            <w:shd w:val="clear" w:color="000000" w:fill="DDEBF7"/>
            <w:noWrap/>
            <w:vAlign w:val="bottom"/>
            <w:hideMark/>
          </w:tcPr>
          <w:p w14:paraId="6715AAA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NR_001566</w:t>
            </w:r>
          </w:p>
        </w:tc>
        <w:tc>
          <w:tcPr>
            <w:tcW w:w="1507" w:type="dxa"/>
            <w:tcBorders>
              <w:top w:val="nil"/>
              <w:left w:val="nil"/>
              <w:bottom w:val="nil"/>
              <w:right w:val="nil"/>
            </w:tcBorders>
            <w:shd w:val="clear" w:color="000000" w:fill="DDEBF7"/>
            <w:noWrap/>
            <w:vAlign w:val="bottom"/>
            <w:hideMark/>
          </w:tcPr>
          <w:p w14:paraId="454159E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c>
          <w:tcPr>
            <w:tcW w:w="940" w:type="dxa"/>
            <w:tcBorders>
              <w:top w:val="nil"/>
              <w:left w:val="nil"/>
              <w:bottom w:val="nil"/>
              <w:right w:val="nil"/>
            </w:tcBorders>
            <w:shd w:val="clear" w:color="000000" w:fill="DDEBF7"/>
            <w:noWrap/>
            <w:vAlign w:val="bottom"/>
            <w:hideMark/>
          </w:tcPr>
          <w:p w14:paraId="7723EA4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37E0B34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424AE89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4EC9A00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plainTextFormattedCitation":"(7)","previouslyFormattedCitation":"(7)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w:t>
            </w:r>
            <w:r w:rsidRPr="006E42E0">
              <w:rPr>
                <w:rFonts w:ascii="Verdana" w:eastAsia="Times New Roman" w:hAnsi="Verdana" w:cs="Arial"/>
                <w:color w:val="000000"/>
                <w:sz w:val="16"/>
                <w:szCs w:val="20"/>
                <w:lang w:val="nl-NL" w:eastAsia="nl-NL"/>
              </w:rPr>
              <w:fldChar w:fldCharType="end"/>
            </w:r>
          </w:p>
        </w:tc>
      </w:tr>
      <w:tr w:rsidR="005C5BE9" w:rsidRPr="006E42E0" w14:paraId="129E107C" w14:textId="77777777" w:rsidTr="00E02DA9">
        <w:tc>
          <w:tcPr>
            <w:tcW w:w="1098" w:type="dxa"/>
            <w:tcBorders>
              <w:top w:val="nil"/>
              <w:left w:val="single" w:sz="4" w:space="0" w:color="auto"/>
              <w:bottom w:val="nil"/>
              <w:right w:val="nil"/>
            </w:tcBorders>
            <w:shd w:val="clear" w:color="auto" w:fill="auto"/>
            <w:noWrap/>
            <w:vAlign w:val="bottom"/>
            <w:hideMark/>
          </w:tcPr>
          <w:p w14:paraId="72705140"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TERC</w:t>
            </w:r>
          </w:p>
        </w:tc>
        <w:tc>
          <w:tcPr>
            <w:tcW w:w="1591" w:type="dxa"/>
            <w:tcBorders>
              <w:top w:val="nil"/>
              <w:left w:val="nil"/>
              <w:bottom w:val="nil"/>
              <w:right w:val="nil"/>
            </w:tcBorders>
            <w:shd w:val="clear" w:color="auto" w:fill="auto"/>
            <w:noWrap/>
            <w:vAlign w:val="bottom"/>
            <w:hideMark/>
          </w:tcPr>
          <w:p w14:paraId="59EA0B3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r.54-57delAACU</w:t>
            </w:r>
          </w:p>
        </w:tc>
        <w:tc>
          <w:tcPr>
            <w:tcW w:w="1701" w:type="dxa"/>
            <w:tcBorders>
              <w:top w:val="nil"/>
              <w:left w:val="nil"/>
              <w:bottom w:val="nil"/>
              <w:right w:val="nil"/>
            </w:tcBorders>
            <w:shd w:val="clear" w:color="auto" w:fill="auto"/>
            <w:noWrap/>
            <w:vAlign w:val="bottom"/>
            <w:hideMark/>
          </w:tcPr>
          <w:p w14:paraId="02BC5C4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NR_001566</w:t>
            </w:r>
          </w:p>
        </w:tc>
        <w:tc>
          <w:tcPr>
            <w:tcW w:w="1507" w:type="dxa"/>
            <w:tcBorders>
              <w:top w:val="nil"/>
              <w:left w:val="nil"/>
              <w:bottom w:val="nil"/>
              <w:right w:val="nil"/>
            </w:tcBorders>
            <w:shd w:val="clear" w:color="auto" w:fill="auto"/>
            <w:noWrap/>
            <w:vAlign w:val="bottom"/>
            <w:hideMark/>
          </w:tcPr>
          <w:p w14:paraId="0F2BC9F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p>
        </w:tc>
        <w:tc>
          <w:tcPr>
            <w:tcW w:w="940" w:type="dxa"/>
            <w:tcBorders>
              <w:top w:val="nil"/>
              <w:left w:val="nil"/>
              <w:bottom w:val="nil"/>
              <w:right w:val="nil"/>
            </w:tcBorders>
            <w:shd w:val="clear" w:color="auto" w:fill="auto"/>
            <w:noWrap/>
            <w:vAlign w:val="bottom"/>
            <w:hideMark/>
          </w:tcPr>
          <w:p w14:paraId="1DF08E0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3084BBD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6F2619A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r w:rsidRPr="006E42E0">
              <w:rPr>
                <w:rFonts w:ascii="Verdana" w:eastAsia="Times New Roman" w:hAnsi="Verdana" w:cs="Arial"/>
                <w:color w:val="000000"/>
                <w:sz w:val="16"/>
                <w:szCs w:val="20"/>
                <w:vertAlign w:val="superscript"/>
                <w:lang w:val="nl-NL" w:eastAsia="nl-NL"/>
              </w:rPr>
              <w:t>#</w:t>
            </w:r>
          </w:p>
        </w:tc>
        <w:tc>
          <w:tcPr>
            <w:tcW w:w="2065" w:type="dxa"/>
            <w:tcBorders>
              <w:top w:val="nil"/>
              <w:left w:val="nil"/>
              <w:bottom w:val="nil"/>
              <w:right w:val="single" w:sz="4" w:space="0" w:color="auto"/>
            </w:tcBorders>
            <w:shd w:val="clear" w:color="auto" w:fill="auto"/>
            <w:noWrap/>
            <w:vAlign w:val="bottom"/>
            <w:hideMark/>
          </w:tcPr>
          <w:p w14:paraId="23B284D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{"citationItems":[{"id":"ITEM-1","itemData":{"DOI":"10.1016/j.ajhg.2012.01.004","ISSN":"1537-6605","PMID":"22341970","abstract":"Revertant mosaicism is an infrequently observed phenomenon caused by spontaneous correction of a pathogenic allele. We have observed such reversions caused by mitotic recombination of mutant TERC (telomerase RNA component) alleles in six patients from four families affected by dyskeratosis congenita (DC). DC is a multisystem disorder characterized by mucocutaneous abnormalities, dystrophic nails, bone-marrow failure, lung fibrosis, liver cirrhosis, and cancer. We identified a 4 nt deletion in TERC in a family with an autosomal-dominant form of DC. In two affected brothers without bone-marrow failure, sequence analysis revealed pronounced overrepresentation of the wild-type allele in blood cells, whereas no such skewing was observed in the other tissues tested. These observations suggest that this mosaic pattern might have resulted from somatic reversion of the mutated allele to the normal allele in blood-forming cells. SNP-microarray analysis on blood DNA from the two brothers indeed showed independent events of acquired segmental isodisomy of chromosome 3q, including TERC, indicating that the reversions must have resulted from mitotic recombination events. Subsequently, after developing a highly sensitive method of detecting mosaic homozygosity, we have found four additional cases with a mosaic-reversion pattern in blood cells; these four cases are part of a cohort of 17 individuals with germline TERC mutations. This shows that revertant mosaicism is a recurrent event in DC. This finding has important implications for improving diagnostic testing and understanding the variable phenotype of DC.","author":[{"dropping-particle":"","family":"Jongmans","given":"Marjolijn C J","non-dropping-particle":"","parse-names":false,"suffix":""},{"dropping-particle":"","family":"Verwiel","given":"Eugene T P","non-dropping-particle":"","parse-names":false,"suffix":""},{"dropping-particle":"","family":"Heijdra","given":"Yvonne","non-dropping-particle":"","parse-names":false,"suffix":""},{"dropping-particle":"","family":"Vulliamy","given":"Tom","non-dropping-particle":"","parse-names":false,"suffix":""},{"dropping-particle":"","family":"Kamping","given":"Eveline J","non-dropping-particle":"","parse-names":false,"suffix":""},{"dropping-particle":"","family":"Hehir-Kwa","given":"Jayne Y","non-dropping-particle":"","parse-names":false,"suffix":""},{"dropping-particle":"","family":"Bongers","given":"Ernie M H F","non-dropping-particle":"","parse-names":false,"suffix":""},{"dropping-particle":"","family":"Pfundt","given":"Rolph","non-dropping-particle":"","parse-names":false,"suffix":""},{"dropping-particle":"","family":"Emst","given":"Liesbeth","non-dropping-particle":"van","parse-names":false,"suffix":""},{"dropping-particle":"","family":"Leeuwen","given":"Frank N","non-dropping-particle":"van","parse-names":false,"suffix":""},{"dropping-particle":"","family":"Gassen","given":"Koen L I","non-dropping-particle":"van","parse-names":false,"suffix":""},{"dropping-particle":"","family":"Geurts van Kessel","given":"Ad","non-dropping-particle":"","parse-names":false,"suffix":""},{"dropping-particle":"","family":"Dokal","given":"Inderjeet","non-dropping-particle":"","parse-names":false,"suffix":""},{"dropping-particle":"","family":"Hoogerbrugge","given":"Nicoline","non-dropping-particle":"","parse-names":false,"suffix":""},{"dropping-particle":"","family":"Ligtenberg","given":"Marjolijn J L","non-dropping-particle":"","parse-names":false,"suffix":""},{"dropping-particle":"","family":"Kuiper","given":"Roland P","non-dropping-particle":"","parse-names":false,"suffix":""}],"container-title":"American journal of human genetics","id":"ITEM-1","issue":"3","issued":{"date-parts":[["2012","3","9"]]},"page":"426-33","title":"Revertant somatic mosaicism by mitotic recombination in dyskeratosis congenita.","type":"article-journal","volume":"90"},"uris":["http://www.mendeley.com/documents/?uuid=362354ac-589a-35ea-9afa-9cf1bb337d9f"]},{"id":"ITEM-2","itemData":{"DOI":"10.1016/J.CHEST.2020.03.069","ISSN":"0012-3692","abstract":"BACKGROUND\nGermline mutations in the gene encoding TERT cause haploinsufficiency with subsequent telomere shortening. TERT mutations are associated with short telomere syndromes, such as pulmonary fibrosis (PF), which is often the first manifestation of a short telomere syndrome. Telomere length is heritable, and progeny of telomerase mutation carriers are known to have shorter telomeres. In families with TERT mutations, genetic anticipation, the earlier onset of symptoms with successive generation, is described. Little is known on the number of generations that may pass before disease occurs in families with a TERT mutation. \n\nRESEARCH QUESTION\nThe objective of this study was to determine classification and origin of the new TERT c.2005T mutation from population genetics and genealogic data and disease history of affected families. \n\nSTUDY DESIGN AND METHODS\nThe TERT gene of 240 patients with familial PF was screened for mutations. Additionally, 1,015 patients with PF, 1,237 patients with an interstitial lung disease (ILD) without PF, and 529 healthy control subjects were genotyped for the TERT c.2005C&gt;T mutation. Genealogic research was performed on all patients who carried the TERT c.2005T mutation. \n\nRESULTS\nWe detected the TERT c.2005T (p.Arg669Trp) mutation in 13 out of 1,255 patients with PF vs none of the patients with ILD without PF and the healthy control subjects. Genealogic research connected four of the TERT c.2005T mutation carriers to a common ancestor who lived seven generations back, spanning a period of 300 years. \n\nINTERPRETATION\nThe TERT c.2005T mutation is a pathogenic mutation and associates with PF. This study learns that a latency period of &gt; 300 years may pass before the cumulative effect of telomere shortening eventually leads to PF. This finding underlines the complexity of the clinical interpretation of TERT mutations because, not the presence of the mutation, but the result of genetic anticipation, is associated with disease. Therefore, multidisciplinary discussion between pulmonary physicians, clinical geneticists, and genetic laboratory experts is recommended.","author":[{"dropping-particle":"","family":"Vis","given":"Joanne J.","non-dropping-particle":"van der","parse-names":false,"suffix":""},{"dropping-particle":"","family":"Smagt","given":"Jasper J.","non-dropping-particle":"van der","parse-names":false,"suffix":""},{"dropping-particle":"","family":"Hennekam","given":"Frederic A.M.","non-dropping-particle":"","parse-names":false,"suffix":""},{"dropping-particle":"","family":"Grutters","given":"Jan C.","non-dropping-particle":"","parse-names":false,"suffix":""},{"dropping-particle":"","family":"Moorsel","given":"Coline H.M.","non-dropping-particle":"van","parse-names":false,"suffix":""}],"container-title":"Chest","id":"ITEM-2","issue":"2","issued":{"date-parts":[["2020","8","1"]]},"page":"612-619","publisher":"Elsevier","title":"Pulmonary Fibrosis and a TERT Founder Mutation With a Latency Period of 300 Years","type":"article-journal","volume":"158"},"uris":["http://www.mendeley.com/documents/?uuid=f80005df-6a32-3a43-868f-8bb42f223afb"]},{"id":"ITEM-3","itemData":{"DOI":"10.1001/JAMANETWORKOPEN.2024.50111","ISSN":"25743805","PMID":"39661387","abstract":"Importance: Telomere biology disorders (TBDs) are inherited cancer-prone bone marrow failure syndromes with differences in morbidity and mortality based on mode of inheritance. Objective: To quantify cancer risks in TBDs by genetic subgroups. Design, Setting, and Participants: This longitudinal cohort study of TBDs assessed cancer occurrences from 2002 through 2022. Participants were individuals with a TBD-associated pathogenic germline variant recruited across institutions by self-referral. Data were collected and analyzed through June 30, 2022. Exposures: The exposure was TBD genotypes, with subgroups defined by inheritance pattern (autosomal-dominant [AD-non-TINF2] vs autosomal-recessive/X-linked [AR/XLR] vs AD-TINF2). Main Outcomes and Measures: The main outcome was cancer; secondary outcomes included death, or organ transplant. Cumulative cancer incidence was determined considering death or transplant as competing events. Observed:expected (O:E) ratios of cancer before and after any organ transplant were calculated using the National Cancer Institute's Surveillance, Epidemiology, and End Results Program. Results: Among 230 individuals with TBD (135 [58.7%] male; median [range] age at last follow-up, 34.6 [1.4-82.2] years) included, the risk of cancer was 3-fold higher than the general population (O:E, 3.35 [95% CI, 2.32-4.68]). The highest risk was observed in individuals with AR/XLR (O:E, 19.16 [95% CI, 9.19-35.24]) with a significantly younger cancer onset than in individuals with AD-non-TINF2 (median [range] age, 36.7 [25.2-53.6] years vs 44.5 [32.2-67.5] years; P =.01). The risk of solid tumors was highest in individuals with AR/XLR (O:E = 23.97 [95% CI, 10.96-45.50]), predominantly head and neck squamous cell carcinomas (O:E, 276.00 [95% CI, 75.20-706.67]). Hematologic malignant neoplasm risk was highest in individuals with AD-non-TINF2 (O:E, 9.41 [95% CI, 4.30-17.86]). Solid tumor cumulative incidence increased to 12% for individuals with AR/XLR by age 45 years and to 13% for individuals with AD-non-TINF2 by age 70 years. The cumulative incidence of hematologic malignant neoplasms leveled off at 2% by age 30 years and 19% by age 70 years in individuals with AR/XLR and AD-non-TINF2, respectively. Individuals with AD-TINF2 showed the highest cumulative incidence for transplant or death (49% by age 15 years). Following transplant, individuals with AR/XLR (O:E, 136.11 [95% CI, 54.72-280.44) or AD-TINF2 (O:E, 81.07 [95% CI, 16.72-236.92]) had the …","author":[{"dropping-particle":"","family":"Niewisch","given":"Marena R.","non-dropping-particle":"","parse-names":false,"suffix":""},{"dropping-particle":"","family":"Kim","given":"Jung","non-dropping-particle":"","parse-names":false,"suffix":""},{"dropping-particle":"","family":"Giri","given":"Neelam","non-dropping-particle":"","parse-names":false,"suffix":""},{"dropping-particle":"","family":"Lunger","given":"Judith C.","non-dropping-particle":"","parse-names":false,"suffix":""},{"dropping-particle":"","family":"McReynolds","given":"Lisa J.","non-dropping-particle":"","parse-names":false,"suffix":""},{"dropping-particle":"","family":"Savage","given":"Sharon A.","non-dropping-particle":"","parse-names":false,"suffix":""}],"container-title":"JAMA Network Open","id":"ITEM-3","issue":"12","issued":{"date-parts":[["2024","12","11"]]},"page":"e2450111","publisher":"American Medical Association","title":"Genotype and Associated Cancer Risk in Individuals With Telomere Biology Disorders","type":"article-journal","volume":"7"},"uris":["http://www.mendeley.com/documents/?uuid=dbce65b3-b87d-36d5-8feb-56941a885f75"]}],"mendeley":{"formattedCitation":"(23,30,31)","plainTextFormattedCitation":"(23,30,31)","previouslyFormattedCitation":"(23,30,31)"},"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(23,30,31)</w:t>
            </w:r>
            <w:r w:rsidRPr="006E42E0">
              <w:rPr>
                <w:rFonts w:ascii="Verdana" w:eastAsia="Times New Roman" w:hAnsi="Verdana" w:cs="Arial"/>
                <w:color w:val="000000"/>
                <w:sz w:val="16"/>
                <w:szCs w:val="20"/>
                <w:lang w:val="nl-NL" w:eastAsia="nl-NL"/>
              </w:rPr>
              <w:fldChar w:fldCharType="end"/>
            </w:r>
          </w:p>
        </w:tc>
      </w:tr>
      <w:tr w:rsidR="005C5BE9" w:rsidRPr="006E42E0" w14:paraId="70161DC3" w14:textId="77777777" w:rsidTr="00E02DA9">
        <w:tc>
          <w:tcPr>
            <w:tcW w:w="1098" w:type="dxa"/>
            <w:tcBorders>
              <w:top w:val="nil"/>
              <w:left w:val="single" w:sz="4" w:space="0" w:color="auto"/>
              <w:bottom w:val="nil"/>
              <w:right w:val="nil"/>
            </w:tcBorders>
            <w:shd w:val="clear" w:color="000000" w:fill="DDEBF7"/>
            <w:noWrap/>
            <w:vAlign w:val="bottom"/>
            <w:hideMark/>
          </w:tcPr>
          <w:p w14:paraId="54EB0E42"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TERC</w:t>
            </w:r>
          </w:p>
        </w:tc>
        <w:tc>
          <w:tcPr>
            <w:tcW w:w="1591" w:type="dxa"/>
            <w:tcBorders>
              <w:top w:val="nil"/>
              <w:left w:val="nil"/>
              <w:bottom w:val="nil"/>
              <w:right w:val="nil"/>
            </w:tcBorders>
            <w:shd w:val="clear" w:color="000000" w:fill="DDEBF7"/>
            <w:noWrap/>
            <w:vAlign w:val="bottom"/>
            <w:hideMark/>
          </w:tcPr>
          <w:p w14:paraId="588ED01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r.91G&gt;C</w:t>
            </w:r>
          </w:p>
        </w:tc>
        <w:tc>
          <w:tcPr>
            <w:tcW w:w="1701" w:type="dxa"/>
            <w:tcBorders>
              <w:top w:val="nil"/>
              <w:left w:val="nil"/>
              <w:bottom w:val="nil"/>
              <w:right w:val="nil"/>
            </w:tcBorders>
            <w:shd w:val="clear" w:color="000000" w:fill="DDEBF7"/>
            <w:noWrap/>
            <w:vAlign w:val="bottom"/>
            <w:hideMark/>
          </w:tcPr>
          <w:p w14:paraId="79D1111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NR_001566</w:t>
            </w:r>
          </w:p>
        </w:tc>
        <w:tc>
          <w:tcPr>
            <w:tcW w:w="1507" w:type="dxa"/>
            <w:tcBorders>
              <w:top w:val="nil"/>
              <w:left w:val="nil"/>
              <w:bottom w:val="nil"/>
              <w:right w:val="nil"/>
            </w:tcBorders>
            <w:shd w:val="clear" w:color="000000" w:fill="DDEBF7"/>
            <w:noWrap/>
            <w:vAlign w:val="bottom"/>
            <w:hideMark/>
          </w:tcPr>
          <w:p w14:paraId="64887A7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c>
          <w:tcPr>
            <w:tcW w:w="940" w:type="dxa"/>
            <w:tcBorders>
              <w:top w:val="nil"/>
              <w:left w:val="nil"/>
              <w:bottom w:val="nil"/>
              <w:right w:val="nil"/>
            </w:tcBorders>
            <w:shd w:val="clear" w:color="000000" w:fill="DDEBF7"/>
            <w:noWrap/>
            <w:vAlign w:val="bottom"/>
            <w:hideMark/>
          </w:tcPr>
          <w:p w14:paraId="62CDFC9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136122C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107EE21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6EB3502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plainTextFormattedCitation":"(7)","previouslyFormattedCitation":"(7)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w:t>
            </w:r>
            <w:r w:rsidRPr="006E42E0">
              <w:rPr>
                <w:rFonts w:ascii="Verdana" w:eastAsia="Times New Roman" w:hAnsi="Verdana" w:cs="Arial"/>
                <w:color w:val="000000"/>
                <w:sz w:val="16"/>
                <w:szCs w:val="20"/>
                <w:lang w:val="nl-NL" w:eastAsia="nl-NL"/>
              </w:rPr>
              <w:fldChar w:fldCharType="end"/>
            </w:r>
          </w:p>
        </w:tc>
      </w:tr>
      <w:tr w:rsidR="005C5BE9" w:rsidRPr="006E42E0" w14:paraId="195527D9" w14:textId="77777777" w:rsidTr="00E02DA9">
        <w:tc>
          <w:tcPr>
            <w:tcW w:w="1098" w:type="dxa"/>
            <w:tcBorders>
              <w:top w:val="nil"/>
              <w:left w:val="single" w:sz="4" w:space="0" w:color="auto"/>
              <w:bottom w:val="nil"/>
              <w:right w:val="nil"/>
            </w:tcBorders>
            <w:shd w:val="clear" w:color="auto" w:fill="auto"/>
            <w:noWrap/>
            <w:vAlign w:val="bottom"/>
            <w:hideMark/>
          </w:tcPr>
          <w:p w14:paraId="1B80B3F5"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TERC</w:t>
            </w:r>
          </w:p>
        </w:tc>
        <w:tc>
          <w:tcPr>
            <w:tcW w:w="1591" w:type="dxa"/>
            <w:tcBorders>
              <w:top w:val="nil"/>
              <w:left w:val="nil"/>
              <w:bottom w:val="nil"/>
              <w:right w:val="nil"/>
            </w:tcBorders>
            <w:shd w:val="clear" w:color="auto" w:fill="auto"/>
            <w:noWrap/>
            <w:vAlign w:val="bottom"/>
            <w:hideMark/>
          </w:tcPr>
          <w:p w14:paraId="33848A0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r.216-229del14</w:t>
            </w:r>
          </w:p>
        </w:tc>
        <w:tc>
          <w:tcPr>
            <w:tcW w:w="1701" w:type="dxa"/>
            <w:tcBorders>
              <w:top w:val="nil"/>
              <w:left w:val="nil"/>
              <w:bottom w:val="nil"/>
              <w:right w:val="nil"/>
            </w:tcBorders>
            <w:shd w:val="clear" w:color="auto" w:fill="auto"/>
            <w:noWrap/>
            <w:vAlign w:val="bottom"/>
            <w:hideMark/>
          </w:tcPr>
          <w:p w14:paraId="7EB122E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NR_001566</w:t>
            </w:r>
          </w:p>
        </w:tc>
        <w:tc>
          <w:tcPr>
            <w:tcW w:w="1507" w:type="dxa"/>
            <w:tcBorders>
              <w:top w:val="nil"/>
              <w:left w:val="nil"/>
              <w:bottom w:val="nil"/>
              <w:right w:val="nil"/>
            </w:tcBorders>
            <w:shd w:val="clear" w:color="auto" w:fill="auto"/>
            <w:noWrap/>
            <w:vAlign w:val="bottom"/>
            <w:hideMark/>
          </w:tcPr>
          <w:p w14:paraId="6C96219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p>
        </w:tc>
        <w:tc>
          <w:tcPr>
            <w:tcW w:w="940" w:type="dxa"/>
            <w:tcBorders>
              <w:top w:val="nil"/>
              <w:left w:val="nil"/>
              <w:bottom w:val="nil"/>
              <w:right w:val="nil"/>
            </w:tcBorders>
            <w:shd w:val="clear" w:color="auto" w:fill="auto"/>
            <w:noWrap/>
            <w:vAlign w:val="bottom"/>
            <w:hideMark/>
          </w:tcPr>
          <w:p w14:paraId="56934D9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auto" w:fill="auto"/>
            <w:noWrap/>
            <w:vAlign w:val="bottom"/>
            <w:hideMark/>
          </w:tcPr>
          <w:p w14:paraId="6C14421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60385AF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tcPr>
          <w:p w14:paraId="6D05FA0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{"citationItems":[{"id":"ITEM-1","itemData":{"DOI":"10.1182/BLOOD-2005-01-0247","ISSN":"0006-4971","PMID":"15886322","abstract":"Heterozygous mutations of the human telomerase RNA template gene (TERC) have been described in patients with acquired aplastic anemia and the autosomal dominant form of dyskeratosis congenita (DKC). Patients with mutations in both TERC alleles have not yet been reported. Here, we report a patient with DKC who inherited 2 distinct TERC sequence variants from her parents; a deletion (216_229del) in one and a point mutation (37A&gt;G) in the other allele of the TERC gene, Her marrow was hypocellular and showed an abnormal clone [46, XX t(7; 21)(q34;q22)]. The telomere lengths in leukocytes of the patient and her relatives were shorter than those of the age-matched controls and were progressively shorter in subsequent generations of family members with the 216_229del allele. Telomerase enzymatic levels in lymphocytes from the patient were approximately half of those measured in healthy controls. The 216_229del mutation failed to reconstitute telomerase activity in transfected cells, but, when coexpressed with the 37A&gt;G variant, telomerase activity was only modestly suppressed. These clinical and laboratory findings support the concept that telomerase levels in human hematopoietic stem cells are tightly controlled as even moderately reduced levels result in accelerated telomere shortening and eventual marrow failure. © 2005 by The American Society of Hematology.","author":[{"dropping-particle":"","family":"Ly","given":"Hinh","non-dropping-particle":"","parse-names":false,"suffix":""},{"dropping-particle":"","family":"Schertzer","given":"Mike","non-dropping-particle":"","parse-names":false,"suffix":""},{"dropping-particle":"","family":"Jastaniah","given":"Wasil","non-dropping-particle":"","parse-names":false,"suffix":""},{"dropping-particle":"","family":"Davis","given":"Jeff","non-dropping-particle":"","parse-names":false,"suffix":""},{"dropping-particle":"","family":"Yong","given":"Siu Li","non-dropping-particle":"","parse-names":false,"suffix":""},{"dropping-particle":"","family":"Ouyang","given":"Qin","non-dropping-particle":"","parse-names":false,"suffix":""},{"dropping-particle":"","family":"Blackburn","given":"Elizabeth H.","non-dropping-particle":"","parse-names":false,"suffix":""},{"dropping-particle":"","family":"Parslow","given":"Tristram G.","non-dropping-particle":"","parse-names":false,"suffix":""},{"dropping-particle":"","family":"Lansdorp","given":"Peter M.","non-dropping-particle":"","parse-names":false,"suffix":""}],"container-title":"Blood","id":"ITEM-1","issue":"4","issued":{"date-parts":[["2005","8","15"]]},"page":"1246-1252","publisher":"Blood","title":"Identification and functional characterization of 2 variant alleles of the telomerase RNA template gene (TERC) in a patient with dyskeratosis congenita","type":"article-journal","volume":"106"},"uris":["http://www.mendeley.com/documents/?uuid=fe7c4cd8-3cad-30a8-af31-1ff6faefd98d"]}],"mendeley":{"formattedCitation":"(32)","plainTextFormattedCitation":"(32)","previouslyFormattedCitation":"(32)"},"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(32)</w:t>
            </w:r>
            <w:r w:rsidRPr="006E42E0">
              <w:rPr>
                <w:rFonts w:ascii="Verdana" w:eastAsia="Times New Roman" w:hAnsi="Verdana" w:cs="Arial"/>
                <w:color w:val="000000"/>
                <w:sz w:val="16"/>
                <w:szCs w:val="20"/>
                <w:lang w:val="nl-NL" w:eastAsia="nl-NL"/>
              </w:rPr>
              <w:fldChar w:fldCharType="end"/>
            </w:r>
          </w:p>
        </w:tc>
      </w:tr>
      <w:tr w:rsidR="005C5BE9" w:rsidRPr="006E42E0" w14:paraId="6DD5175D" w14:textId="77777777" w:rsidTr="00E02DA9">
        <w:tc>
          <w:tcPr>
            <w:tcW w:w="1098" w:type="dxa"/>
            <w:tcBorders>
              <w:top w:val="nil"/>
              <w:left w:val="single" w:sz="4" w:space="0" w:color="auto"/>
              <w:bottom w:val="nil"/>
              <w:right w:val="nil"/>
            </w:tcBorders>
            <w:shd w:val="clear" w:color="000000" w:fill="DDEBF7"/>
            <w:noWrap/>
            <w:vAlign w:val="bottom"/>
            <w:hideMark/>
          </w:tcPr>
          <w:p w14:paraId="72E672E4"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TERC</w:t>
            </w:r>
          </w:p>
        </w:tc>
        <w:tc>
          <w:tcPr>
            <w:tcW w:w="1591" w:type="dxa"/>
            <w:tcBorders>
              <w:top w:val="nil"/>
              <w:left w:val="nil"/>
              <w:bottom w:val="nil"/>
              <w:right w:val="nil"/>
            </w:tcBorders>
            <w:shd w:val="clear" w:color="000000" w:fill="DDEBF7"/>
            <w:noWrap/>
            <w:vAlign w:val="bottom"/>
            <w:hideMark/>
          </w:tcPr>
          <w:p w14:paraId="0DD2847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r.304_305delAG</w:t>
            </w:r>
          </w:p>
        </w:tc>
        <w:tc>
          <w:tcPr>
            <w:tcW w:w="1701" w:type="dxa"/>
            <w:tcBorders>
              <w:top w:val="nil"/>
              <w:left w:val="nil"/>
              <w:bottom w:val="nil"/>
              <w:right w:val="nil"/>
            </w:tcBorders>
            <w:shd w:val="clear" w:color="000000" w:fill="DDEBF7"/>
            <w:noWrap/>
            <w:vAlign w:val="bottom"/>
            <w:hideMark/>
          </w:tcPr>
          <w:p w14:paraId="6030E24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NR_001566</w:t>
            </w:r>
          </w:p>
        </w:tc>
        <w:tc>
          <w:tcPr>
            <w:tcW w:w="1507" w:type="dxa"/>
            <w:tcBorders>
              <w:top w:val="nil"/>
              <w:left w:val="nil"/>
              <w:bottom w:val="nil"/>
              <w:right w:val="nil"/>
            </w:tcBorders>
            <w:shd w:val="clear" w:color="000000" w:fill="DDEBF7"/>
            <w:noWrap/>
            <w:vAlign w:val="bottom"/>
            <w:hideMark/>
          </w:tcPr>
          <w:p w14:paraId="4E66CE0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c>
          <w:tcPr>
            <w:tcW w:w="940" w:type="dxa"/>
            <w:tcBorders>
              <w:top w:val="nil"/>
              <w:left w:val="nil"/>
              <w:bottom w:val="nil"/>
              <w:right w:val="nil"/>
            </w:tcBorders>
            <w:shd w:val="clear" w:color="000000" w:fill="DDEBF7"/>
            <w:noWrap/>
            <w:vAlign w:val="bottom"/>
            <w:hideMark/>
          </w:tcPr>
          <w:p w14:paraId="58FBFBB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000000" w:fill="DDEBF7"/>
            <w:noWrap/>
            <w:vAlign w:val="bottom"/>
            <w:hideMark/>
          </w:tcPr>
          <w:p w14:paraId="55F4E61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2F2BB9D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3B84B9B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413EB984" w14:textId="77777777" w:rsidTr="00E02DA9">
        <w:tc>
          <w:tcPr>
            <w:tcW w:w="1098" w:type="dxa"/>
            <w:tcBorders>
              <w:top w:val="nil"/>
              <w:left w:val="single" w:sz="4" w:space="0" w:color="auto"/>
              <w:bottom w:val="single" w:sz="4" w:space="0" w:color="auto"/>
              <w:right w:val="nil"/>
            </w:tcBorders>
            <w:shd w:val="clear" w:color="auto" w:fill="auto"/>
            <w:noWrap/>
            <w:vAlign w:val="bottom"/>
            <w:hideMark/>
          </w:tcPr>
          <w:p w14:paraId="22EE36FC"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TERC</w:t>
            </w:r>
          </w:p>
        </w:tc>
        <w:tc>
          <w:tcPr>
            <w:tcW w:w="1591" w:type="dxa"/>
            <w:tcBorders>
              <w:top w:val="nil"/>
              <w:left w:val="nil"/>
              <w:bottom w:val="single" w:sz="4" w:space="0" w:color="auto"/>
              <w:right w:val="nil"/>
            </w:tcBorders>
            <w:shd w:val="clear" w:color="auto" w:fill="auto"/>
            <w:noWrap/>
            <w:vAlign w:val="bottom"/>
            <w:hideMark/>
          </w:tcPr>
          <w:p w14:paraId="27C0201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r.448A&gt;G</w:t>
            </w:r>
          </w:p>
        </w:tc>
        <w:tc>
          <w:tcPr>
            <w:tcW w:w="1701" w:type="dxa"/>
            <w:tcBorders>
              <w:top w:val="nil"/>
              <w:left w:val="nil"/>
              <w:bottom w:val="single" w:sz="4" w:space="0" w:color="auto"/>
              <w:right w:val="nil"/>
            </w:tcBorders>
            <w:shd w:val="clear" w:color="auto" w:fill="auto"/>
            <w:noWrap/>
            <w:vAlign w:val="bottom"/>
            <w:hideMark/>
          </w:tcPr>
          <w:p w14:paraId="109CC5B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NR_001566</w:t>
            </w:r>
          </w:p>
        </w:tc>
        <w:tc>
          <w:tcPr>
            <w:tcW w:w="1507" w:type="dxa"/>
            <w:tcBorders>
              <w:top w:val="nil"/>
              <w:left w:val="nil"/>
              <w:bottom w:val="single" w:sz="4" w:space="0" w:color="auto"/>
              <w:right w:val="nil"/>
            </w:tcBorders>
            <w:shd w:val="clear" w:color="auto" w:fill="auto"/>
            <w:noWrap/>
            <w:vAlign w:val="bottom"/>
            <w:hideMark/>
          </w:tcPr>
          <w:p w14:paraId="6959B46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c>
          <w:tcPr>
            <w:tcW w:w="940" w:type="dxa"/>
            <w:tcBorders>
              <w:top w:val="nil"/>
              <w:left w:val="nil"/>
              <w:bottom w:val="single" w:sz="4" w:space="0" w:color="auto"/>
              <w:right w:val="nil"/>
            </w:tcBorders>
            <w:shd w:val="clear" w:color="auto" w:fill="auto"/>
            <w:noWrap/>
            <w:vAlign w:val="bottom"/>
            <w:hideMark/>
          </w:tcPr>
          <w:p w14:paraId="316AB2B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single" w:sz="4" w:space="0" w:color="auto"/>
              <w:right w:val="nil"/>
            </w:tcBorders>
            <w:shd w:val="clear" w:color="auto" w:fill="auto"/>
            <w:noWrap/>
            <w:vAlign w:val="bottom"/>
            <w:hideMark/>
          </w:tcPr>
          <w:p w14:paraId="6557653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single" w:sz="4" w:space="0" w:color="auto"/>
              <w:right w:val="nil"/>
            </w:tcBorders>
            <w:shd w:val="clear" w:color="auto" w:fill="auto"/>
            <w:noWrap/>
            <w:vAlign w:val="bottom"/>
            <w:hideMark/>
          </w:tcPr>
          <w:p w14:paraId="64D281B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single" w:sz="4" w:space="0" w:color="auto"/>
              <w:right w:val="single" w:sz="4" w:space="0" w:color="auto"/>
            </w:tcBorders>
            <w:shd w:val="clear" w:color="auto" w:fill="auto"/>
            <w:noWrap/>
            <w:vAlign w:val="bottom"/>
            <w:hideMark/>
          </w:tcPr>
          <w:p w14:paraId="7AC70CB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{"citationItems":[{"id":"ITEM-1","itemData":{"DOI":"10.1182/blood-2015-03-633388","ISSN":"1528-0020","PMID":"26024875","abstract":"Dyskeratosis congenita (DC) and related diseases are a heterogeneous group of disorders characterized by impaired telomere maintenance, known collectively as the telomeropathies. Disease-causing variants have been identified in 10 telomere-related genes including the reverse transcriptase (TERT) and the RNA component (TERC) of the telomerase complex. Variants in TERC and TERT can impede telomere elongation causing stem cells to enter premature replicative senescence and/or apoptosis as telomeres become critically short. This explains the major impact of the disease on highly proliferative tissues such as the bone marrow and skin. However, telomerase variants are not always fully penetrant and in some families disease-causing variants are seen in asymptomatic family members. As a result, determining the pathogenic status of newly identified variants in TERC or TERT can be quite challenging. Over a 3-year period, we have identified 26 telomerase variants (16 of which are novel) in 23 families. Additional investigations (including family segregation and functional studies) enabled these to be categorized into 3 groups: (1) disease-causing (n = 15), (2) uncertain status (n = 6), and (3) bystanders (n = 5). Remarkably, this process has also enabled us to identify families with novel mechanisms of inheriting human telomeropathies. These include triallelic mutations, involving 2 different telomerase genes, and an epigenetic-like inheritance of short telomeres in the absence of a telomerase mutation. This study therefore highlights that telomerase variants have highly variable functional and clinical manifestations and require thorough investigation to assess their pathogenic contribution.","author":[{"dropping-particle":"","family":"Collopy","given":"Laura C","non-dropping-particle":"","parse-names":false,"suffix":""},{"dropping-particle":"","family":"Walne","given":"Amanda J","non-dropping-particle":"","parse-names":false,"suffix":""},{"dropping-particle":"","family":"Cardoso","given":"Shirleny","non-dropping-particle":"","parse-names":false,"suffix":""},{"dropping-particle":"","family":"la Fuente","given":"Josu","non-dropping-particle":"de","parse-names":false,"suffix":""},{"dropping-particle":"","family":"Mohamed","given":"Mahfuzah","non-dropping-particle":"","parse-names":false,"suffix":""},{"dropping-particle":"","family":"Toriello","given":"Helga","non-dropping-particle":"","parse-names":false,"suffix":""},{"dropping-particle":"","family":"Tamary","given":"Hannah","non-dropping-particle":"","parse-names":false,"suffix":""},{"dropping-particle":"V","family":"Ling","given":"Adam J Y","non-dropping-particle":"","parse-names":false,"suffix":""},{"dropping-particle":"","family":"Lloyd","given":"Timothy","non-dropping-particle":"","parse-names":false,"suffix":""},{"dropping-particle":"","family":"Kassam","given":"Rebecca","non-dropping-particle":"","parse-names":false,"suffix":""},{"dropping-particle":"","family":"Tummala","given":"Hemanth","non-dropping-particle":"","parse-names":false,"suffix":""},{"dropping-particle":"","family":"Vulliamy","given":"Thomas J","non-dropping-particle":"","parse-names":false,"suffix":""},{"dropping-particle":"","family":"Dokal","given":"Inderjeet","non-dropping-particle":"","parse-names":false,"suffix":""}],"container-title":"Blood","id":"ITEM-1","issue":"2","issued":{"date-parts":[["2015","7","9"]]},"page":"176-84","publisher":"Blood","title":"Triallelic and epigenetic-like inheritance in human disorders of telomerase.","type":"article-journal","volume":"126"},"uris":["http://www.mendeley.com/documents/?uuid=7c053bb3-4407-3f8b-8bf9-05f74caef858"]},{"id":"ITEM-2","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journal","id":"ITEM-2","issue":"2","issued":{"date-parts":[["2021","2","1"]]},"publisher":"Eur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(7,26)","plainTextFormattedCitation":"(7,26)","previouslyFormattedCitation":"(7,26)"},"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(7,26)</w:t>
            </w:r>
            <w:r w:rsidRPr="006E42E0">
              <w:rPr>
                <w:rFonts w:ascii="Verdana" w:eastAsia="Times New Roman" w:hAnsi="Verdana" w:cs="Arial"/>
                <w:color w:val="000000"/>
                <w:sz w:val="16"/>
                <w:szCs w:val="20"/>
                <w:lang w:val="nl-NL" w:eastAsia="nl-NL"/>
              </w:rPr>
              <w:fldChar w:fldCharType="end"/>
            </w:r>
          </w:p>
        </w:tc>
      </w:tr>
      <w:tr w:rsidR="005C5BE9" w:rsidRPr="006E42E0" w14:paraId="73817165" w14:textId="77777777" w:rsidTr="00E02DA9">
        <w:tc>
          <w:tcPr>
            <w:tcW w:w="1098" w:type="dxa"/>
            <w:tcBorders>
              <w:top w:val="nil"/>
              <w:left w:val="single" w:sz="4" w:space="0" w:color="auto"/>
              <w:bottom w:val="nil"/>
              <w:right w:val="nil"/>
            </w:tcBorders>
            <w:shd w:val="clear" w:color="000000" w:fill="DDEBF7"/>
            <w:noWrap/>
            <w:vAlign w:val="bottom"/>
            <w:hideMark/>
          </w:tcPr>
          <w:p w14:paraId="1E5FE747"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60385EF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c.89G&gt;T</w:t>
            </w:r>
          </w:p>
        </w:tc>
        <w:tc>
          <w:tcPr>
            <w:tcW w:w="1701" w:type="dxa"/>
            <w:tcBorders>
              <w:top w:val="nil"/>
              <w:left w:val="nil"/>
              <w:bottom w:val="nil"/>
              <w:right w:val="nil"/>
            </w:tcBorders>
            <w:shd w:val="clear" w:color="000000" w:fill="DDEBF7"/>
            <w:noWrap/>
            <w:vAlign w:val="bottom"/>
            <w:hideMark/>
          </w:tcPr>
          <w:p w14:paraId="6DA0113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30C0F22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p.(Arg30Leu)</w:t>
            </w:r>
          </w:p>
        </w:tc>
        <w:tc>
          <w:tcPr>
            <w:tcW w:w="940" w:type="dxa"/>
            <w:tcBorders>
              <w:top w:val="nil"/>
              <w:left w:val="nil"/>
              <w:bottom w:val="nil"/>
              <w:right w:val="nil"/>
            </w:tcBorders>
            <w:shd w:val="clear" w:color="000000" w:fill="DDEBF7"/>
            <w:noWrap/>
            <w:vAlign w:val="bottom"/>
            <w:hideMark/>
          </w:tcPr>
          <w:p w14:paraId="75176C9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1EAE625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2300143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5513CBE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7DCCCF0F" w14:textId="77777777" w:rsidTr="00E02DA9">
        <w:tc>
          <w:tcPr>
            <w:tcW w:w="1098" w:type="dxa"/>
            <w:tcBorders>
              <w:top w:val="nil"/>
              <w:left w:val="single" w:sz="4" w:space="0" w:color="auto"/>
              <w:bottom w:val="nil"/>
              <w:right w:val="nil"/>
            </w:tcBorders>
            <w:shd w:val="clear" w:color="auto" w:fill="auto"/>
            <w:noWrap/>
            <w:vAlign w:val="bottom"/>
            <w:hideMark/>
          </w:tcPr>
          <w:p w14:paraId="47E816CB"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2DBF413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c.92T&gt;C</w:t>
            </w:r>
          </w:p>
        </w:tc>
        <w:tc>
          <w:tcPr>
            <w:tcW w:w="1701" w:type="dxa"/>
            <w:tcBorders>
              <w:top w:val="nil"/>
              <w:left w:val="nil"/>
              <w:bottom w:val="nil"/>
              <w:right w:val="nil"/>
            </w:tcBorders>
            <w:shd w:val="clear" w:color="auto" w:fill="auto"/>
            <w:noWrap/>
            <w:vAlign w:val="bottom"/>
            <w:hideMark/>
          </w:tcPr>
          <w:p w14:paraId="1D34A74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08031F2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p.(Leu31Pro)</w:t>
            </w:r>
          </w:p>
        </w:tc>
        <w:tc>
          <w:tcPr>
            <w:tcW w:w="940" w:type="dxa"/>
            <w:tcBorders>
              <w:top w:val="nil"/>
              <w:left w:val="nil"/>
              <w:bottom w:val="nil"/>
              <w:right w:val="nil"/>
            </w:tcBorders>
            <w:shd w:val="clear" w:color="auto" w:fill="auto"/>
            <w:noWrap/>
            <w:vAlign w:val="bottom"/>
            <w:hideMark/>
          </w:tcPr>
          <w:p w14:paraId="7ACEB70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6750EA5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263B51F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4CC35CD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7130464E" w14:textId="77777777" w:rsidTr="00E02DA9">
        <w:tc>
          <w:tcPr>
            <w:tcW w:w="1098" w:type="dxa"/>
            <w:tcBorders>
              <w:top w:val="nil"/>
              <w:left w:val="single" w:sz="4" w:space="0" w:color="auto"/>
              <w:bottom w:val="nil"/>
              <w:right w:val="nil"/>
            </w:tcBorders>
            <w:shd w:val="clear" w:color="000000" w:fill="DDEBF7"/>
            <w:noWrap/>
            <w:vAlign w:val="bottom"/>
            <w:hideMark/>
          </w:tcPr>
          <w:p w14:paraId="35306C6F"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1DBCAD1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c.232A&gt;T</w:t>
            </w:r>
          </w:p>
        </w:tc>
        <w:tc>
          <w:tcPr>
            <w:tcW w:w="1701" w:type="dxa"/>
            <w:tcBorders>
              <w:top w:val="nil"/>
              <w:left w:val="nil"/>
              <w:bottom w:val="nil"/>
              <w:right w:val="nil"/>
            </w:tcBorders>
            <w:shd w:val="clear" w:color="000000" w:fill="DDEBF7"/>
            <w:noWrap/>
            <w:vAlign w:val="bottom"/>
            <w:hideMark/>
          </w:tcPr>
          <w:p w14:paraId="6A48881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7B98F00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p.(Lys78X)</w:t>
            </w:r>
          </w:p>
        </w:tc>
        <w:tc>
          <w:tcPr>
            <w:tcW w:w="940" w:type="dxa"/>
            <w:tcBorders>
              <w:top w:val="nil"/>
              <w:left w:val="nil"/>
              <w:bottom w:val="nil"/>
              <w:right w:val="nil"/>
            </w:tcBorders>
            <w:shd w:val="clear" w:color="000000" w:fill="DDEBF7"/>
            <w:noWrap/>
            <w:vAlign w:val="bottom"/>
            <w:hideMark/>
          </w:tcPr>
          <w:p w14:paraId="353D466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0AC30C6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7BE9DB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66B60D7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plainTextFormattedCitation":"(7)","previouslyFormattedCitation":"(7)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w:t>
            </w:r>
            <w:r w:rsidRPr="006E42E0">
              <w:rPr>
                <w:rFonts w:ascii="Verdana" w:eastAsia="Times New Roman" w:hAnsi="Verdana" w:cs="Arial"/>
                <w:color w:val="000000"/>
                <w:sz w:val="16"/>
                <w:szCs w:val="20"/>
                <w:lang w:val="nl-NL" w:eastAsia="nl-NL"/>
              </w:rPr>
              <w:fldChar w:fldCharType="end"/>
            </w:r>
          </w:p>
        </w:tc>
      </w:tr>
      <w:tr w:rsidR="005C5BE9" w:rsidRPr="006E42E0" w14:paraId="14E7DF89" w14:textId="77777777" w:rsidTr="00E02DA9">
        <w:tc>
          <w:tcPr>
            <w:tcW w:w="1098" w:type="dxa"/>
            <w:tcBorders>
              <w:top w:val="nil"/>
              <w:left w:val="single" w:sz="4" w:space="0" w:color="auto"/>
              <w:bottom w:val="nil"/>
              <w:right w:val="nil"/>
            </w:tcBorders>
            <w:shd w:val="clear" w:color="auto" w:fill="auto"/>
            <w:noWrap/>
            <w:vAlign w:val="bottom"/>
            <w:hideMark/>
          </w:tcPr>
          <w:p w14:paraId="64060CA1"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571F64B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c.286G&gt;T</w:t>
            </w:r>
          </w:p>
        </w:tc>
        <w:tc>
          <w:tcPr>
            <w:tcW w:w="1701" w:type="dxa"/>
            <w:tcBorders>
              <w:top w:val="nil"/>
              <w:left w:val="nil"/>
              <w:bottom w:val="nil"/>
              <w:right w:val="nil"/>
            </w:tcBorders>
            <w:shd w:val="clear" w:color="auto" w:fill="auto"/>
            <w:noWrap/>
            <w:vAlign w:val="bottom"/>
            <w:hideMark/>
          </w:tcPr>
          <w:p w14:paraId="6A678D5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21A6C3D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p.(Val96Leu)</w:t>
            </w:r>
          </w:p>
        </w:tc>
        <w:tc>
          <w:tcPr>
            <w:tcW w:w="940" w:type="dxa"/>
            <w:tcBorders>
              <w:top w:val="nil"/>
              <w:left w:val="nil"/>
              <w:bottom w:val="nil"/>
              <w:right w:val="nil"/>
            </w:tcBorders>
            <w:shd w:val="clear" w:color="auto" w:fill="auto"/>
            <w:noWrap/>
            <w:vAlign w:val="bottom"/>
            <w:hideMark/>
          </w:tcPr>
          <w:p w14:paraId="15B3B22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29C71C2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568EBEC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auto" w:fill="auto"/>
            <w:noWrap/>
            <w:vAlign w:val="bottom"/>
            <w:hideMark/>
          </w:tcPr>
          <w:p w14:paraId="3D3AD41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69CF268C" w14:textId="77777777" w:rsidTr="00E02DA9">
        <w:tc>
          <w:tcPr>
            <w:tcW w:w="1098" w:type="dxa"/>
            <w:tcBorders>
              <w:top w:val="nil"/>
              <w:left w:val="single" w:sz="4" w:space="0" w:color="auto"/>
              <w:bottom w:val="nil"/>
              <w:right w:val="nil"/>
            </w:tcBorders>
            <w:shd w:val="clear" w:color="000000" w:fill="DDEBF7"/>
            <w:noWrap/>
            <w:vAlign w:val="bottom"/>
            <w:hideMark/>
          </w:tcPr>
          <w:p w14:paraId="1E774870"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6122B6F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c.299G &gt; A</w:t>
            </w:r>
          </w:p>
        </w:tc>
        <w:tc>
          <w:tcPr>
            <w:tcW w:w="1701" w:type="dxa"/>
            <w:tcBorders>
              <w:top w:val="nil"/>
              <w:left w:val="nil"/>
              <w:bottom w:val="nil"/>
              <w:right w:val="nil"/>
            </w:tcBorders>
            <w:shd w:val="clear" w:color="000000" w:fill="DDEBF7"/>
            <w:noWrap/>
            <w:vAlign w:val="bottom"/>
            <w:hideMark/>
          </w:tcPr>
          <w:p w14:paraId="0BD2307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199A466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p.(Gly100Asp)</w:t>
            </w:r>
          </w:p>
        </w:tc>
        <w:tc>
          <w:tcPr>
            <w:tcW w:w="940" w:type="dxa"/>
            <w:tcBorders>
              <w:top w:val="nil"/>
              <w:left w:val="nil"/>
              <w:bottom w:val="nil"/>
              <w:right w:val="nil"/>
            </w:tcBorders>
            <w:shd w:val="clear" w:color="000000" w:fill="DDEBF7"/>
            <w:noWrap/>
            <w:vAlign w:val="bottom"/>
            <w:hideMark/>
          </w:tcPr>
          <w:p w14:paraId="4E8BE350" w14:textId="19CADBBC" w:rsidR="006E42E0" w:rsidRPr="006E42E0" w:rsidRDefault="006E42E0" w:rsidP="008556BD">
            <w:pPr>
              <w:spacing w:after="0" w:line="240" w:lineRule="auto"/>
              <w:jc w:val="center"/>
              <w:rPr>
                <w:rFonts w:ascii="Verdana" w:eastAsia="Times New Roman" w:hAnsi="Verdana" w:cs="Arial"/>
                <w:color w:val="000000"/>
                <w:sz w:val="16"/>
                <w:szCs w:val="20"/>
                <w:lang w:val="nl-NL" w:eastAsia="nl-NL"/>
              </w:rPr>
            </w:pPr>
            <w:r w:rsidRPr="008556BD">
              <w:rPr>
                <w:rFonts w:ascii="Verdana" w:eastAsia="Times New Roman" w:hAnsi="Verdana" w:cs="Arial"/>
                <w:color w:val="000000"/>
                <w:sz w:val="16"/>
                <w:szCs w:val="20"/>
                <w:lang w:val="nl-NL" w:eastAsia="nl-NL"/>
              </w:rPr>
              <w:t xml:space="preserve"> </w:t>
            </w:r>
            <w:r w:rsidR="008556BD" w:rsidRPr="008556BD">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679C649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5CC616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3CC1971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plainTextFormattedCitation":"(7)","previouslyFormattedCitation":"(7)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w:t>
            </w:r>
            <w:r w:rsidRPr="006E42E0">
              <w:rPr>
                <w:rFonts w:ascii="Verdana" w:eastAsia="Times New Roman" w:hAnsi="Verdana" w:cs="Arial"/>
                <w:color w:val="000000"/>
                <w:sz w:val="16"/>
                <w:szCs w:val="20"/>
                <w:lang w:val="nl-NL" w:eastAsia="nl-NL"/>
              </w:rPr>
              <w:fldChar w:fldCharType="end"/>
            </w:r>
          </w:p>
        </w:tc>
      </w:tr>
      <w:tr w:rsidR="005C5BE9" w:rsidRPr="006E42E0" w14:paraId="53C53C4A" w14:textId="77777777" w:rsidTr="00E02DA9">
        <w:tc>
          <w:tcPr>
            <w:tcW w:w="1098" w:type="dxa"/>
            <w:tcBorders>
              <w:top w:val="nil"/>
              <w:left w:val="single" w:sz="4" w:space="0" w:color="auto"/>
              <w:bottom w:val="nil"/>
              <w:right w:val="nil"/>
            </w:tcBorders>
            <w:shd w:val="clear" w:color="auto" w:fill="auto"/>
            <w:noWrap/>
            <w:vAlign w:val="bottom"/>
            <w:hideMark/>
          </w:tcPr>
          <w:p w14:paraId="4B06C218"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5D50E88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c.373A&gt;C</w:t>
            </w:r>
          </w:p>
        </w:tc>
        <w:tc>
          <w:tcPr>
            <w:tcW w:w="1701" w:type="dxa"/>
            <w:tcBorders>
              <w:top w:val="nil"/>
              <w:left w:val="nil"/>
              <w:bottom w:val="nil"/>
              <w:right w:val="nil"/>
            </w:tcBorders>
            <w:shd w:val="clear" w:color="auto" w:fill="auto"/>
            <w:noWrap/>
            <w:vAlign w:val="bottom"/>
            <w:hideMark/>
          </w:tcPr>
          <w:p w14:paraId="03F4C29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5FDA860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p.(Asn125His)</w:t>
            </w:r>
          </w:p>
        </w:tc>
        <w:tc>
          <w:tcPr>
            <w:tcW w:w="940" w:type="dxa"/>
            <w:tcBorders>
              <w:top w:val="nil"/>
              <w:left w:val="nil"/>
              <w:bottom w:val="nil"/>
              <w:right w:val="nil"/>
            </w:tcBorders>
            <w:shd w:val="clear" w:color="auto" w:fill="auto"/>
            <w:noWrap/>
            <w:vAlign w:val="bottom"/>
            <w:hideMark/>
          </w:tcPr>
          <w:p w14:paraId="5D55A77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3A058A8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019FDC7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6CD8C9D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20A57EF1" w14:textId="77777777" w:rsidTr="00E02DA9">
        <w:tc>
          <w:tcPr>
            <w:tcW w:w="1098" w:type="dxa"/>
            <w:tcBorders>
              <w:top w:val="nil"/>
              <w:left w:val="single" w:sz="4" w:space="0" w:color="auto"/>
              <w:bottom w:val="nil"/>
              <w:right w:val="nil"/>
            </w:tcBorders>
            <w:shd w:val="clear" w:color="000000" w:fill="DDEBF7"/>
            <w:noWrap/>
            <w:vAlign w:val="bottom"/>
            <w:hideMark/>
          </w:tcPr>
          <w:p w14:paraId="50A6C4D0"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28D948E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c.375C&gt;G</w:t>
            </w:r>
          </w:p>
        </w:tc>
        <w:tc>
          <w:tcPr>
            <w:tcW w:w="1701" w:type="dxa"/>
            <w:tcBorders>
              <w:top w:val="nil"/>
              <w:left w:val="nil"/>
              <w:bottom w:val="nil"/>
              <w:right w:val="nil"/>
            </w:tcBorders>
            <w:shd w:val="clear" w:color="000000" w:fill="DDEBF7"/>
            <w:noWrap/>
            <w:vAlign w:val="bottom"/>
            <w:hideMark/>
          </w:tcPr>
          <w:p w14:paraId="32CEFB5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498C491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p.(Asn125Lys)</w:t>
            </w:r>
          </w:p>
        </w:tc>
        <w:tc>
          <w:tcPr>
            <w:tcW w:w="940" w:type="dxa"/>
            <w:tcBorders>
              <w:top w:val="nil"/>
              <w:left w:val="nil"/>
              <w:bottom w:val="nil"/>
              <w:right w:val="nil"/>
            </w:tcBorders>
            <w:shd w:val="clear" w:color="000000" w:fill="DDEBF7"/>
            <w:noWrap/>
            <w:vAlign w:val="bottom"/>
            <w:hideMark/>
          </w:tcPr>
          <w:p w14:paraId="25DDAC9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4432C22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850" w:type="dxa"/>
            <w:tcBorders>
              <w:top w:val="nil"/>
              <w:left w:val="nil"/>
              <w:bottom w:val="nil"/>
              <w:right w:val="nil"/>
            </w:tcBorders>
            <w:shd w:val="clear" w:color="000000" w:fill="DDEBF7"/>
            <w:noWrap/>
            <w:vAlign w:val="bottom"/>
            <w:hideMark/>
          </w:tcPr>
          <w:p w14:paraId="6A4FD6F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5</w:t>
            </w:r>
          </w:p>
        </w:tc>
        <w:tc>
          <w:tcPr>
            <w:tcW w:w="2065" w:type="dxa"/>
            <w:tcBorders>
              <w:top w:val="nil"/>
              <w:left w:val="nil"/>
              <w:bottom w:val="nil"/>
              <w:right w:val="single" w:sz="4" w:space="0" w:color="auto"/>
            </w:tcBorders>
            <w:shd w:val="clear" w:color="000000" w:fill="DDEBF7"/>
            <w:noWrap/>
            <w:vAlign w:val="bottom"/>
            <w:hideMark/>
          </w:tcPr>
          <w:p w14:paraId="13F7B34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{"citationItems":[{"id":"ITEM-1","itemData":{"DOI":"10.1111/resp.14145","ISSN":"1440-1843","PMID":"34580961","abstract":"BACKGROUND AND OBJECTIVE Diagnostic and predictive genetic testing for disease cause and risk estimation is common in many countries. For genetic diseases, predictive test results are commonly straightforward: presence of the mutation involves increased risk for disease and absence of the mutation involves no inherit risk for disease. Germline mutations in telomere-related genes (TRGs) can lead to telomere shortening and are associated with short telomere syndrome (STS). Telomere length is heritable, and in families with STS due to a TRG mutation, progeny with and without the TRG mutation is known to have shorter than average telomeres. We hypothesize that progeny of TRG mutation carriers who did not inherit the TRG mutation may still develop pulmonary fibrosis. METHODS A genetic screen of 99 unrelated families with familial pulmonary fibrosis revealed five patients with features of pulmonary fibrosis but without carrying the familial disease-causing TRG mutation. RESULTS Features of STS were present in each family, including short telomeres in blood and tissue of the non-mutation carrying patients. Additional genetic, clinical or environmental risk factors for pulmonary fibrosis were present in each non-mutation carrying patient. CONCLUSION Our study shows that non-mutation carrying first-degree relatives in families with STS are at increased risk for pulmonary fibrosis. Disease development may be triggered by inherited short telomeres and additional risk factors for disease. This observation has profound consequences for genetic counselling. Unlike any other genetic syndrome, absence of the mutation does not imply absence of disease risk. Therefore, clinical follow-up is still urged for non-mutation carrying first-degree family members.","author":[{"dropping-particle":"","family":"Vis","given":"Joanne J","non-dropping-particle":"van der","parse-names":false,"suffix":""},{"dropping-particle":"","family":"Smagt","given":"Jasper J","non-dropping-particle":"van der","parse-names":false,"suffix":""},{"dropping-particle":"","family":"Batenburg","given":"Aernoud A","non-dropping-particle":"van","parse-names":false,"suffix":""},{"dropping-particle":"","family":"Goldschmeding","given":"Roel","non-dropping-particle":"","parse-names":false,"suffix":""},{"dropping-particle":"","family":"Es","given":"H Wouter","non-dropping-particle":"van","parse-names":false,"suffix":""},{"dropping-particle":"","family":"Grutters","given":"Jan C","non-dropping-particle":"","parse-names":false,"suffix":""},{"dropping-particle":"","family":"Moorsel","given":"Coline H M","non-dropping-particle":"van","parse-names":false,"suffix":""}],"container-title":"Respirology (Carlton, Vic.)","id":"ITEM-1","issued":{"date-parts":[["2021","9","27"]]},"publisher":"Respirology","title":"Pulmonary fibrosis in non-mutation carriers of families with short telomere syndrome gene mutations.","type":"article-journal"},"uris":["http://www.mendeley.com/documents/?uuid=5f876d1b-be31-3f8f-a217-4f78acce5cfa"]}],"mendeley":{"formattedCitation":"(33)","plainTextFormattedCitation":"(33)","previouslyFormattedCitation":"(33)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(33)</w:t>
            </w:r>
            <w:r w:rsidRPr="006E42E0">
              <w:rPr>
                <w:rFonts w:ascii="Verdana" w:eastAsia="Times New Roman" w:hAnsi="Verdana" w:cs="Arial"/>
                <w:color w:val="000000"/>
                <w:sz w:val="16"/>
                <w:szCs w:val="20"/>
                <w:lang w:val="nl-NL" w:eastAsia="nl-NL"/>
              </w:rPr>
              <w:fldChar w:fldCharType="end"/>
            </w:r>
          </w:p>
        </w:tc>
      </w:tr>
      <w:tr w:rsidR="005C5BE9" w:rsidRPr="006E42E0" w14:paraId="73C49DF1" w14:textId="77777777" w:rsidTr="00E02DA9">
        <w:tc>
          <w:tcPr>
            <w:tcW w:w="1098" w:type="dxa"/>
            <w:tcBorders>
              <w:top w:val="nil"/>
              <w:left w:val="single" w:sz="4" w:space="0" w:color="auto"/>
              <w:bottom w:val="nil"/>
              <w:right w:val="nil"/>
            </w:tcBorders>
            <w:shd w:val="clear" w:color="auto" w:fill="auto"/>
            <w:noWrap/>
            <w:vAlign w:val="bottom"/>
            <w:hideMark/>
          </w:tcPr>
          <w:p w14:paraId="0803965B"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0CABDA6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c.395G&gt;A </w:t>
            </w:r>
          </w:p>
        </w:tc>
        <w:tc>
          <w:tcPr>
            <w:tcW w:w="1701" w:type="dxa"/>
            <w:tcBorders>
              <w:top w:val="nil"/>
              <w:left w:val="nil"/>
              <w:bottom w:val="nil"/>
              <w:right w:val="nil"/>
            </w:tcBorders>
            <w:shd w:val="clear" w:color="auto" w:fill="auto"/>
            <w:noWrap/>
            <w:vAlign w:val="bottom"/>
            <w:hideMark/>
          </w:tcPr>
          <w:p w14:paraId="37E5935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7D52D4E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p.(Arg132Gln)</w:t>
            </w:r>
          </w:p>
        </w:tc>
        <w:tc>
          <w:tcPr>
            <w:tcW w:w="940" w:type="dxa"/>
            <w:tcBorders>
              <w:top w:val="nil"/>
              <w:left w:val="nil"/>
              <w:bottom w:val="nil"/>
              <w:right w:val="nil"/>
            </w:tcBorders>
            <w:shd w:val="clear" w:color="auto" w:fill="auto"/>
            <w:noWrap/>
            <w:vAlign w:val="bottom"/>
            <w:hideMark/>
          </w:tcPr>
          <w:p w14:paraId="6DBEDA1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4DC1907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5D0765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7959595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{"citationItems":[{"id":"ITEM-1","itemData":{"DOI":"10.1183/13993003.02115-2015","ISSN":"13993003","abstract":"Telomerase reverse transcriptase ( TERT ) or telomerase RNA ( TERC ) gene mutation is a major monogenic cause of pulmonary fibrosis. Sequencing of TERT / TERC genes is proposed to patients with familial pulmonary fibrosis. Little is known about the possible predictors of this mutation and its impact on prognosis. We retrospectively analysed all the genetic diagnoses made between 2007–2014 in patients with pulmonary fibrosis. We evaluated the prevalence of TERT / TERC disease-associated variant (DAV), factors associated with a DAV, and the impact of the DAV on survival. 237 patients with pulmonary fibrosis (153 with familial pulmonary fibrosis, 84 with telomere syndrome features without familial pulmonary fibrosis) were tested for TERT / TERC DAV. DAV was diagnosed in 40 patients (16.8%), including five with non-idiopathic interstitial pneumonia. Prevalence of TERT / TERC DAV did not significantly differ between patients with familial pulmonary fibrosis or with only telomere syndrome features (18.2% versus 16.4%). Young age, red blood cell macrocytosis, and low platelet count were associated with the presence of DAV; the probability of DAV was increased for patients 40–60 years. Transplant-free survival was lower with than without TERT / TERC DAV (4.2 versus 7.2 years; p=0.046). TERT / TERC DAV were associated with specific clinical and biological features and reduced transplant-free survival.","author":[{"dropping-particle":"","family":"Borie","given":"Raphael","non-dropping-particle":"","parse-names":false,"suffix":""},{"dropping-particle":"","family":"Tabèze","given":"Laure","non-dropping-particle":"","parse-names":false,"suffix":""},{"dropping-particle":"","family":"Thabut","given":"Gabriel","non-dropping-particle":"","parse-names":false,"suffix":""},{"dropping-particle":"","family":"Nunes","given":"Hilario","non-dropping-particle":"","parse-names":false,"suffix":""},{"dropping-particle":"","family":"Cottin","given":"Vincent","non-dropping-particle":"","parse-names":false,"suffix":""},{"dropping-particle":"","family":"Marchand-Adam","given":"Sylvain","non-dropping-particle":"","parse-names":false,"suffix":""},{"dropping-particle":"","family":"Prevot","given":"Grégoire","non-dropping-particle":"","parse-names":false,"suffix":""},{"dropping-particle":"","family":"Tazi","given":"Abdellatif","non-dropping-particle":"","parse-names":false,"suffix":""},{"dropping-particle":"","family":"Cadranel","given":"Jacques","non-dropping-particle":"","parse-names":false,"suffix":""},{"dropping-particle":"","family":"Mal","given":"Herve","non-dropping-particle":"","parse-names":false,"suffix":""},{"dropping-particle":"","family":"Lidwine","given":"Wemeau Stervinou","non-dropping-particle":"","parse-names":false,"suffix":""},{"dropping-particle":"","family":"Lafaurie","given":"Anne Bergeron","non-dropping-particle":"","parse-names":false,"suffix":""},{"dropping-particle":"","family":"Israel-Biet","given":"Dominique","non-dropping-particle":"","parse-names":false,"suffix":""},{"dropping-particle":"","family":"Picard","given":"Clement","non-dropping-particle":"","parse-names":false,"suffix":""},{"dropping-particle":"","family":"Gaubert","given":"Martine Reynaud","non-dropping-particle":"","parse-names":false,"suffix":""},{"dropping-particle":"","family":"Jouneau","given":"Stephane","non-dropping-particle":"","parse-names":false,"suffix":""},{"dropping-particle":"","family":"Naccache","given":"Jean Marc","non-dropping-particle":"","parse-names":false,"suffix":""},{"dropping-particle":"","family":"Mankikian","given":"Julie","non-dropping-particle":"","parse-names":false,"suffix":""},{"dropping-particle":"","family":"Ménard","given":"Christelle","non-dropping-particle":"","parse-names":false,"suffix":""},{"dropping-particle":"","family":"Cordier","given":"Jean François","non-dropping-particle":"","parse-names":false,"suffix":""},{"dropping-particle":"","family":"Valeyre","given":"Dominique","non-dropping-particle":"","parse-names":false,"suffix":""},{"dropping-particle":"","family":"Reocreux","given":"Marion","non-dropping-particle":"","parse-names":false,"suffix":""},{"dropping-particle":"","family":"Grandchamp","given":"Bernard","non-dropping-particle":"","parse-names":false,"suffix":""},{"dropping-particle":"","family":"Revy","given":"Patrick","non-dropping-particle":"","parse-names":false,"suffix":""},{"dropping-particle":"","family":"Kannengiesser","given":"Caroline","non-dropping-particle":"","parse-names":false,"suffix":""},{"dropping-particle":"","family":"Crestani","given":"Bruno","non-dropping-particle":"","parse-names":false,"suffix":""}],"container-title":"European Respiratory Journal","id":"ITEM-1","issue":"6","issued":{"date-parts":[["2016"]]},"page":"1721-1731","title":"Prevalence and characteristics of TERT and TERC mutations in suspected genetic pulmonary fibrosis","type":"article-journal","volume":"48"},"uris":["http://www.mendeley.com/documents/?uuid=0b2ae990-b2f2-4320-956f-8ffdde4d14ef"]},{"id":"ITEM-2","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journal","id":"ITEM-2","issue":"2","issued":{"date-parts":[["2021","2","1"]]},"publisher":"Eur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(7,34)","plainTextFormattedCitation":"(7,34)","previouslyFormattedCitation":"(7,34)"},"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(7,34)</w:t>
            </w:r>
            <w:r w:rsidRPr="006E42E0">
              <w:rPr>
                <w:rFonts w:ascii="Verdana" w:eastAsia="Times New Roman" w:hAnsi="Verdana" w:cs="Arial"/>
                <w:color w:val="000000"/>
                <w:sz w:val="16"/>
                <w:szCs w:val="20"/>
                <w:lang w:val="nl-NL" w:eastAsia="nl-NL"/>
              </w:rPr>
              <w:fldChar w:fldCharType="end"/>
            </w:r>
          </w:p>
        </w:tc>
      </w:tr>
      <w:tr w:rsidR="005C5BE9" w:rsidRPr="006E42E0" w14:paraId="02582AC5" w14:textId="77777777" w:rsidTr="00E02DA9">
        <w:tc>
          <w:tcPr>
            <w:tcW w:w="1098" w:type="dxa"/>
            <w:tcBorders>
              <w:top w:val="nil"/>
              <w:left w:val="single" w:sz="4" w:space="0" w:color="auto"/>
              <w:bottom w:val="nil"/>
              <w:right w:val="nil"/>
            </w:tcBorders>
            <w:shd w:val="clear" w:color="000000" w:fill="DDEBF7"/>
            <w:noWrap/>
            <w:vAlign w:val="bottom"/>
            <w:hideMark/>
          </w:tcPr>
          <w:p w14:paraId="58EC09D4"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7241FDC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c.436G&gt;A</w:t>
            </w:r>
          </w:p>
        </w:tc>
        <w:tc>
          <w:tcPr>
            <w:tcW w:w="1701" w:type="dxa"/>
            <w:tcBorders>
              <w:top w:val="nil"/>
              <w:left w:val="nil"/>
              <w:bottom w:val="nil"/>
              <w:right w:val="nil"/>
            </w:tcBorders>
            <w:shd w:val="clear" w:color="000000" w:fill="DDEBF7"/>
            <w:noWrap/>
            <w:vAlign w:val="bottom"/>
            <w:hideMark/>
          </w:tcPr>
          <w:p w14:paraId="68B1AD7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035940F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p.(Asp146Asn)</w:t>
            </w:r>
          </w:p>
        </w:tc>
        <w:tc>
          <w:tcPr>
            <w:tcW w:w="940" w:type="dxa"/>
            <w:tcBorders>
              <w:top w:val="nil"/>
              <w:left w:val="nil"/>
              <w:bottom w:val="nil"/>
              <w:right w:val="nil"/>
            </w:tcBorders>
            <w:shd w:val="clear" w:color="000000" w:fill="DDEBF7"/>
            <w:noWrap/>
            <w:vAlign w:val="bottom"/>
            <w:hideMark/>
          </w:tcPr>
          <w:p w14:paraId="121F2D0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510F872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5BC1286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1C36EE1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1353F1AA" w14:textId="77777777" w:rsidTr="00E02DA9">
        <w:tc>
          <w:tcPr>
            <w:tcW w:w="1098" w:type="dxa"/>
            <w:tcBorders>
              <w:top w:val="nil"/>
              <w:left w:val="single" w:sz="4" w:space="0" w:color="auto"/>
              <w:bottom w:val="nil"/>
              <w:right w:val="nil"/>
            </w:tcBorders>
            <w:shd w:val="clear" w:color="auto" w:fill="auto"/>
            <w:noWrap/>
            <w:vAlign w:val="bottom"/>
            <w:hideMark/>
          </w:tcPr>
          <w:p w14:paraId="0B6D6F35"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004FFB1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c.455T&gt;A</w:t>
            </w:r>
          </w:p>
        </w:tc>
        <w:tc>
          <w:tcPr>
            <w:tcW w:w="1701" w:type="dxa"/>
            <w:tcBorders>
              <w:top w:val="nil"/>
              <w:left w:val="nil"/>
              <w:bottom w:val="nil"/>
              <w:right w:val="nil"/>
            </w:tcBorders>
            <w:shd w:val="clear" w:color="auto" w:fill="auto"/>
            <w:noWrap/>
            <w:vAlign w:val="bottom"/>
            <w:hideMark/>
          </w:tcPr>
          <w:p w14:paraId="176103C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7FDAD71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p.(Leu152Gln)</w:t>
            </w:r>
          </w:p>
        </w:tc>
        <w:tc>
          <w:tcPr>
            <w:tcW w:w="940" w:type="dxa"/>
            <w:tcBorders>
              <w:top w:val="nil"/>
              <w:left w:val="nil"/>
              <w:bottom w:val="nil"/>
              <w:right w:val="nil"/>
            </w:tcBorders>
            <w:shd w:val="clear" w:color="auto" w:fill="auto"/>
            <w:noWrap/>
            <w:vAlign w:val="bottom"/>
            <w:hideMark/>
          </w:tcPr>
          <w:p w14:paraId="097A80F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3BB1D66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307AE50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75B09BB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{"citationItems":[{"id":"ITEM-1","itemData":{"DOI":"10.1371/journal.pone.0189467","ISSN":"19326203","abstract":"© 2017 Snetselaar et al. This is an open access article distributed under the terms of the Creative Commons Attribution License, which permits unrestricted use, distribution, and reproduction in any medium, provided the original author and source are credited. Telomere maintenance dysfunction has been implicated in the pathogenesis of Idiopathic Pulmonary Fibrosis (IPF). However, the mechanism of how telomere length is related to fibrosis in the lungs is unknown. Surgical lung biopsies of IPF patients typically show a heterogeneous pattern of non-fibrotic and fibrotic areas. Therefore, telomere length (TL) in both lung areas of patients with IPF and familial interstitial pneumonia was compared, specifically in alveolar type 2 (AT2) cells. Fluorescent in situ hybridization was used to determine TL in non-fibrotic and fibrotic areas of 35 subjects. Monochrome multiplex quantitative polymerase chain reaction (MMqPCR) was used for 51 whole lung biopsies and blood TL measurements. For sporadic IPF subjects, AT2 cell TL in non-fibrotic areas was 56% longer than in fibrotic areas. No such difference was observed in the surrounding lung cells. In subjects carrying a telomerase reverse transcriptase (TERT) mutation, AT2 cell TL was significantly shorter than in sporadic subjects. However, no difference in surrounding cell TL was observed between these subject groups. Finally, using biopsy MMqPCR TL measurements, it was determined that IPF subjects with shortest lung TL had a significantly worse survival than patients with long TL. This study shows that shortening of telomeres critically affects AT2 cells in fibrotic areas, implying TL as a cause of fibrogenesis. Furthermore, short lung telomere length is associated with decreased survival.","author":[{"dropping-particle":"","family":"Snetselaar","given":"R.","non-dropping-particle":"","parse-names":false,"suffix":""},{"dropping-particle":"","family":"Batenburg","given":"A.A.","non-dropping-particle":"van","parse-names":false,"suffix":""},{"dropping-particle":"","family":"Oosterhout","given":"M.F.M.","non-dropping-particle":"Van","parse-names":false,"suffix":""},{"dropping-particle":"","family":"Kazemier","given":"K.M.","non-dropping-particle":"","parse-names":false,"suffix":""},{"dropping-particle":"","family":"Roothaan","given":"S.M.","non-dropping-particle":"","parse-names":false,"suffix":""},{"dropping-particle":"","family":"Peeters","given":"T.","non-dropping-particle":"","parse-names":false,"suffix":""},{"dropping-particle":"","family":"Vis","given":"J.J.","non-dropping-particle":"van der","parse-names":false,"suffix":""},{"dropping-particle":"","family":"Goldschmeding","given":"R.","non-dropping-particle":"","parse-names":false,"suffix":""},{"dropping-particle":"","family":"Grutters","given":"J.C.","non-dropping-particle":"","parse-names":false,"suffix":""},{"dropping-particle":"","family":"Moorsel","given":"C.H.M.","non-dropping-particle":"Van","parse-names":false,"suffix":""}],"container-title":"PLoS ONE","id":"ITEM-1","issue":"12","issued":{"date-parts":[["2017"]]},"title":"Short telomere length in IPF lung associates with fibrotic lesions and predicts survival","type":"article-journal","volume":"12"},"uris":["http://www.mendeley.com/documents/?uuid=32e905c8-0dc8-32b1-8fcb-d58cd04841a4"]}],"mendeley":{"formattedCitation":"(35)","plainTextFormattedCitation":"(35)","previouslyFormattedCitation":"(35)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(35)</w:t>
            </w:r>
            <w:r w:rsidRPr="006E42E0">
              <w:rPr>
                <w:rFonts w:ascii="Verdana" w:eastAsia="Times New Roman" w:hAnsi="Verdana" w:cs="Arial"/>
                <w:color w:val="000000"/>
                <w:sz w:val="16"/>
                <w:szCs w:val="20"/>
                <w:lang w:val="nl-NL" w:eastAsia="nl-NL"/>
              </w:rPr>
              <w:fldChar w:fldCharType="end"/>
            </w:r>
          </w:p>
        </w:tc>
      </w:tr>
      <w:tr w:rsidR="005C5BE9" w:rsidRPr="006E42E0" w14:paraId="2F6BA239" w14:textId="77777777" w:rsidTr="00E02DA9">
        <w:tc>
          <w:tcPr>
            <w:tcW w:w="1098" w:type="dxa"/>
            <w:tcBorders>
              <w:top w:val="nil"/>
              <w:left w:val="single" w:sz="4" w:space="0" w:color="auto"/>
              <w:bottom w:val="nil"/>
              <w:right w:val="nil"/>
            </w:tcBorders>
            <w:shd w:val="clear" w:color="000000" w:fill="DDEBF7"/>
            <w:noWrap/>
            <w:vAlign w:val="bottom"/>
            <w:hideMark/>
          </w:tcPr>
          <w:p w14:paraId="166AC33A"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18D051F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c.515G&gt;A</w:t>
            </w:r>
          </w:p>
        </w:tc>
        <w:tc>
          <w:tcPr>
            <w:tcW w:w="1701" w:type="dxa"/>
            <w:tcBorders>
              <w:top w:val="nil"/>
              <w:left w:val="nil"/>
              <w:bottom w:val="nil"/>
              <w:right w:val="nil"/>
            </w:tcBorders>
            <w:shd w:val="clear" w:color="000000" w:fill="DDEBF7"/>
            <w:noWrap/>
            <w:vAlign w:val="bottom"/>
            <w:hideMark/>
          </w:tcPr>
          <w:p w14:paraId="0AE4B4D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02FB571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p.(Gly172Glu)</w:t>
            </w:r>
          </w:p>
        </w:tc>
        <w:tc>
          <w:tcPr>
            <w:tcW w:w="940" w:type="dxa"/>
            <w:tcBorders>
              <w:top w:val="nil"/>
              <w:left w:val="nil"/>
              <w:bottom w:val="nil"/>
              <w:right w:val="nil"/>
            </w:tcBorders>
            <w:shd w:val="clear" w:color="000000" w:fill="DDEBF7"/>
            <w:noWrap/>
            <w:vAlign w:val="bottom"/>
            <w:hideMark/>
          </w:tcPr>
          <w:p w14:paraId="7F4971F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3FA5CB5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567621B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0CF85F4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plainTextFormattedCitation":"(7)","previouslyFormattedCitation":"(7)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w:t>
            </w:r>
            <w:r w:rsidRPr="006E42E0">
              <w:rPr>
                <w:rFonts w:ascii="Verdana" w:eastAsia="Times New Roman" w:hAnsi="Verdana" w:cs="Arial"/>
                <w:color w:val="000000"/>
                <w:sz w:val="16"/>
                <w:szCs w:val="20"/>
                <w:lang w:val="nl-NL" w:eastAsia="nl-NL"/>
              </w:rPr>
              <w:fldChar w:fldCharType="end"/>
            </w:r>
          </w:p>
        </w:tc>
      </w:tr>
      <w:tr w:rsidR="005C5BE9" w:rsidRPr="006E42E0" w14:paraId="0ADE6CC4" w14:textId="77777777" w:rsidTr="00E02DA9">
        <w:tc>
          <w:tcPr>
            <w:tcW w:w="1098" w:type="dxa"/>
            <w:tcBorders>
              <w:top w:val="nil"/>
              <w:left w:val="single" w:sz="4" w:space="0" w:color="auto"/>
              <w:bottom w:val="nil"/>
              <w:right w:val="nil"/>
            </w:tcBorders>
            <w:shd w:val="clear" w:color="auto" w:fill="auto"/>
            <w:noWrap/>
            <w:vAlign w:val="bottom"/>
            <w:hideMark/>
          </w:tcPr>
          <w:p w14:paraId="4F3B3B79"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2E6577D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c.973T&gt;G</w:t>
            </w:r>
          </w:p>
        </w:tc>
        <w:tc>
          <w:tcPr>
            <w:tcW w:w="1701" w:type="dxa"/>
            <w:tcBorders>
              <w:top w:val="nil"/>
              <w:left w:val="nil"/>
              <w:bottom w:val="nil"/>
              <w:right w:val="nil"/>
            </w:tcBorders>
            <w:shd w:val="clear" w:color="auto" w:fill="auto"/>
            <w:noWrap/>
            <w:vAlign w:val="bottom"/>
            <w:hideMark/>
          </w:tcPr>
          <w:p w14:paraId="05B30F4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415DFC0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p.(Tyr325Asp)</w:t>
            </w:r>
          </w:p>
        </w:tc>
        <w:tc>
          <w:tcPr>
            <w:tcW w:w="940" w:type="dxa"/>
            <w:tcBorders>
              <w:top w:val="nil"/>
              <w:left w:val="nil"/>
              <w:bottom w:val="nil"/>
              <w:right w:val="nil"/>
            </w:tcBorders>
            <w:shd w:val="clear" w:color="auto" w:fill="auto"/>
            <w:noWrap/>
            <w:vAlign w:val="bottom"/>
            <w:hideMark/>
          </w:tcPr>
          <w:p w14:paraId="4D9A34D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2FEAF57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63D71D9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4E96D10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{"citationItems":[{"id":"ITEM-1","itemData":{"DOI":"10.1111/resp.14145","ISSN":"1440-1843","PMID":"34580961","abstract":"BACKGROUND AND OBJECTIVE Diagnostic and predictive genetic testing for disease cause and risk estimation is common in many countries. For genetic diseases, predictive test results are commonly straightforward: presence of the mutation involves increased risk for disease and absence of the mutation involves no inherit risk for disease. Germline mutations in telomere-related genes (TRGs) can lead to telomere shortening and are associated with short telomere syndrome (STS). Telomere length is heritable, and in families with STS due to a TRG mutation, progeny with and without the TRG mutation is known to have shorter than average telomeres. We hypothesize that progeny of TRG mutation carriers who did not inherit the TRG mutation may still develop pulmonary fibrosis. METHODS A genetic screen of 99 unrelated families with familial pulmonary fibrosis revealed five patients with features of pulmonary fibrosis but without carrying the familial disease-causing TRG mutation. RESULTS Features of STS were present in each family, including short telomeres in blood and tissue of the non-mutation carrying patients. Additional genetic, clinical or environmental risk factors for pulmonary fibrosis were present in each non-mutation carrying patient. CONCLUSION Our study shows that non-mutation carrying first-degree relatives in families with STS are at increased risk for pulmonary fibrosis. Disease development may be triggered by inherited short telomeres and additional risk factors for disease. This observation has profound consequences for genetic counselling. Unlike any other genetic syndrome, absence of the mutation does not imply absence of disease risk. Therefore, clinical follow-up is still urged for non-mutation carrying first-degree family members.","author":[{"dropping-particle":"","family":"Vis","given":"Joanne J","non-dropping-particle":"van der","parse-names":false,"suffix":""},{"dropping-particle":"","family":"Smagt","given":"Jasper J","non-dropping-particle":"van der","parse-names":false,"suffix":""},{"dropping-particle":"","family":"Batenburg","given":"Aernoud A","non-dropping-particle":"van","parse-names":false,"suffix":""},{"dropping-particle":"","family":"Goldschmeding","given":"Roel","non-dropping-particle":"","parse-names":false,"suffix":""},{"dropping-particle":"","family":"Es","given":"H Wouter","non-dropping-particle":"van","parse-names":false,"suffix":""},{"dropping-particle":"","family":"Grutters","given":"Jan C","non-dropping-particle":"","parse-names":false,"suffix":""},{"dropping-particle":"","family":"Moorsel","given":"Coline H M","non-dropping-particle":"van","parse-names":false,"suffix":""}],"container-title":"Respirology (Carlton, Vic.)","id":"ITEM-1","issued":{"date-parts":[["2021","9","27"]]},"publisher":"Respirology","title":"Pulmonary fibrosis in non-mutation carriers of families with short telomere syndrome gene mutations.","type":"article-journal"},"uris":["http://www.mendeley.com/documents/?uuid=5f876d1b-be31-3f8f-a217-4f78acce5cfa"]}],"mendeley":{"formattedCitation":"(33)","plainTextFormattedCitation":"(33)","previouslyFormattedCitation":"(33)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(33)</w:t>
            </w:r>
            <w:r w:rsidRPr="006E42E0">
              <w:rPr>
                <w:rFonts w:ascii="Verdana" w:eastAsia="Times New Roman" w:hAnsi="Verdana" w:cs="Arial"/>
                <w:color w:val="000000"/>
                <w:sz w:val="16"/>
                <w:szCs w:val="20"/>
                <w:lang w:val="nl-NL" w:eastAsia="nl-NL"/>
              </w:rPr>
              <w:fldChar w:fldCharType="end"/>
            </w:r>
          </w:p>
        </w:tc>
      </w:tr>
      <w:tr w:rsidR="005C5BE9" w:rsidRPr="006E42E0" w14:paraId="5D2EBCB1" w14:textId="77777777" w:rsidTr="00E02DA9">
        <w:tc>
          <w:tcPr>
            <w:tcW w:w="1098" w:type="dxa"/>
            <w:tcBorders>
              <w:top w:val="nil"/>
              <w:left w:val="single" w:sz="4" w:space="0" w:color="auto"/>
              <w:bottom w:val="nil"/>
              <w:right w:val="nil"/>
            </w:tcBorders>
            <w:shd w:val="clear" w:color="000000" w:fill="DDEBF7"/>
            <w:noWrap/>
            <w:vAlign w:val="bottom"/>
            <w:hideMark/>
          </w:tcPr>
          <w:p w14:paraId="11FF3F8C"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0835950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c.1151A&gt;T</w:t>
            </w:r>
          </w:p>
        </w:tc>
        <w:tc>
          <w:tcPr>
            <w:tcW w:w="1701" w:type="dxa"/>
            <w:tcBorders>
              <w:top w:val="nil"/>
              <w:left w:val="nil"/>
              <w:bottom w:val="nil"/>
              <w:right w:val="nil"/>
            </w:tcBorders>
            <w:shd w:val="clear" w:color="000000" w:fill="DDEBF7"/>
            <w:noWrap/>
            <w:vAlign w:val="bottom"/>
            <w:hideMark/>
          </w:tcPr>
          <w:p w14:paraId="0AA23B9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0CD46C0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p.(Gln384Leu)</w:t>
            </w:r>
          </w:p>
        </w:tc>
        <w:tc>
          <w:tcPr>
            <w:tcW w:w="940" w:type="dxa"/>
            <w:tcBorders>
              <w:top w:val="nil"/>
              <w:left w:val="nil"/>
              <w:bottom w:val="nil"/>
              <w:right w:val="nil"/>
            </w:tcBorders>
            <w:shd w:val="clear" w:color="000000" w:fill="DDEBF7"/>
            <w:noWrap/>
            <w:vAlign w:val="bottom"/>
            <w:hideMark/>
          </w:tcPr>
          <w:p w14:paraId="4C419C3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0C12C8F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47B5780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17CAE13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54B107E5" w14:textId="77777777" w:rsidTr="00E02DA9">
        <w:tc>
          <w:tcPr>
            <w:tcW w:w="1098" w:type="dxa"/>
            <w:tcBorders>
              <w:top w:val="nil"/>
              <w:left w:val="single" w:sz="4" w:space="0" w:color="auto"/>
              <w:bottom w:val="nil"/>
              <w:right w:val="nil"/>
            </w:tcBorders>
            <w:shd w:val="clear" w:color="auto" w:fill="auto"/>
            <w:noWrap/>
            <w:vAlign w:val="bottom"/>
            <w:hideMark/>
          </w:tcPr>
          <w:p w14:paraId="6509B79A"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40D57EF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c.1212del</w:t>
            </w:r>
          </w:p>
        </w:tc>
        <w:tc>
          <w:tcPr>
            <w:tcW w:w="1701" w:type="dxa"/>
            <w:tcBorders>
              <w:top w:val="nil"/>
              <w:left w:val="nil"/>
              <w:bottom w:val="nil"/>
              <w:right w:val="nil"/>
            </w:tcBorders>
            <w:shd w:val="clear" w:color="auto" w:fill="auto"/>
            <w:noWrap/>
            <w:vAlign w:val="bottom"/>
            <w:hideMark/>
          </w:tcPr>
          <w:p w14:paraId="5974926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6821A75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p.(Tyr405fs)</w:t>
            </w:r>
          </w:p>
        </w:tc>
        <w:tc>
          <w:tcPr>
            <w:tcW w:w="940" w:type="dxa"/>
            <w:tcBorders>
              <w:top w:val="nil"/>
              <w:left w:val="nil"/>
              <w:bottom w:val="nil"/>
              <w:right w:val="nil"/>
            </w:tcBorders>
            <w:shd w:val="clear" w:color="auto" w:fill="auto"/>
            <w:noWrap/>
            <w:vAlign w:val="bottom"/>
            <w:hideMark/>
          </w:tcPr>
          <w:p w14:paraId="6E1D0B8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6B50BF0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3BCEF7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523BA18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plainTextFormattedCitation":"(7)","previouslyFormattedCitation":"(7)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w:t>
            </w:r>
            <w:r w:rsidRPr="006E42E0">
              <w:rPr>
                <w:rFonts w:ascii="Verdana" w:eastAsia="Times New Roman" w:hAnsi="Verdana" w:cs="Arial"/>
                <w:color w:val="000000"/>
                <w:sz w:val="16"/>
                <w:szCs w:val="20"/>
                <w:lang w:val="nl-NL" w:eastAsia="nl-NL"/>
              </w:rPr>
              <w:fldChar w:fldCharType="end"/>
            </w:r>
          </w:p>
        </w:tc>
      </w:tr>
      <w:tr w:rsidR="005C5BE9" w:rsidRPr="006E42E0" w14:paraId="7FBD1100" w14:textId="77777777" w:rsidTr="00E02DA9">
        <w:tc>
          <w:tcPr>
            <w:tcW w:w="1098" w:type="dxa"/>
            <w:tcBorders>
              <w:top w:val="nil"/>
              <w:left w:val="single" w:sz="4" w:space="0" w:color="auto"/>
              <w:bottom w:val="nil"/>
              <w:right w:val="nil"/>
            </w:tcBorders>
            <w:shd w:val="clear" w:color="000000" w:fill="DDEBF7"/>
            <w:noWrap/>
            <w:vAlign w:val="bottom"/>
            <w:hideMark/>
          </w:tcPr>
          <w:p w14:paraId="2688B116"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64FE6B1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c.1272dup</w:t>
            </w:r>
          </w:p>
        </w:tc>
        <w:tc>
          <w:tcPr>
            <w:tcW w:w="1701" w:type="dxa"/>
            <w:tcBorders>
              <w:top w:val="nil"/>
              <w:left w:val="nil"/>
              <w:bottom w:val="nil"/>
              <w:right w:val="nil"/>
            </w:tcBorders>
            <w:shd w:val="clear" w:color="000000" w:fill="DDEBF7"/>
            <w:noWrap/>
            <w:vAlign w:val="bottom"/>
            <w:hideMark/>
          </w:tcPr>
          <w:p w14:paraId="0F60146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73FA5C5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p.(Val425fs)</w:t>
            </w:r>
          </w:p>
        </w:tc>
        <w:tc>
          <w:tcPr>
            <w:tcW w:w="940" w:type="dxa"/>
            <w:tcBorders>
              <w:top w:val="nil"/>
              <w:left w:val="nil"/>
              <w:bottom w:val="nil"/>
              <w:right w:val="nil"/>
            </w:tcBorders>
            <w:shd w:val="clear" w:color="000000" w:fill="DDEBF7"/>
            <w:noWrap/>
            <w:vAlign w:val="bottom"/>
            <w:hideMark/>
          </w:tcPr>
          <w:p w14:paraId="66B69CE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000000" w:fill="DDEBF7"/>
            <w:noWrap/>
            <w:vAlign w:val="bottom"/>
            <w:hideMark/>
          </w:tcPr>
          <w:p w14:paraId="06AD1AA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39E4A4B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138F690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{"citationItems":[{"id":"ITEM-1","itemData":{"DOI":"10.1183/23120541.00441-2024","ISSN":"2312-0541","abstract":"ExtractSarcoidosis is a multisystem granulomatous inflammatory disorder of unknown etiology which preferentially affects the lungs and lymph nodes and is one of the most common forms of interstitial lung disease (ILD). Disease course in sarcoidosis is heterogeneous, varying from benign and self-resolving to progressive and lethal, and the extent of pulmonary fibrosis (PF) has been identified as a predictor of mortality [1]. For patients with chronic ILD, a self-reported family history of ILD was shown to predict a shorter survival [2]. However, as sarcoidosis patients were never included in such analyses, the impact of having a family member with pulmonary fibrosis in this condition remains undocumented. In this study, we determined the disease phenotype of sarcoidosis patients with a self-reported family history of pulmonary fibrosis. Furthermore, genetic factors associated with risk for familial pulmonary fibrosis (FPF) [3] were evaluated.","author":[{"dropping-particle":"","family":"Planté-Bordeneuve","given":"Thomas","non-dropping-particle":"","parse-names":false,"suffix":""},{"dropping-particle":"","family":"Terwiel","given":"Michelle","non-dropping-particle":"","parse-names":false,"suffix":""},{"dropping-particle":"van der","family":"Vis","given":"Joanne J.","non-dropping-particle":"","parse-names":false,"suffix":""},{"dropping-particle":"Van","family":"Es","given":"Wouter","non-dropping-particle":"","parse-names":false,"suffix":""},{"dropping-particle":"","family":"Veltkamp","given":"Marcel","non-dropping-particle":"","parse-names":false,"suffix":""},{"dropping-particle":"","family":"Grutters","given":"Jan C.","non-dropping-particle":"","parse-names":false,"suffix":""},{"dropping-particle":"van","family":"Moorsel","given":"Coline H.M.","non-dropping-particle":"","parse-names":false,"suffix":""}],"container-title":"ERJ Open Research","id":"ITEM-1","issued":{"date-parts":[["2024","10","4"]]},"page":"00441-2024","publisher":"European Respiratory Society","title":"Family history of pulmonary fibrosis impacts prognosis in patients with sarcoidosis","type":"article-journal"},"uris":["http://www.mendeley.com/documents/?uuid=12172ff8-aa8a-3071-95be-101faa603679"]}],"mendeley":{"formattedCitation":"(36)","plainTextFormattedCitation":"(36)","previouslyFormattedCitation":"(36)"},"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(36)</w:t>
            </w:r>
            <w:r w:rsidRPr="006E42E0">
              <w:rPr>
                <w:rFonts w:ascii="Verdana" w:eastAsia="Times New Roman" w:hAnsi="Verdana" w:cs="Arial"/>
                <w:color w:val="000000"/>
                <w:sz w:val="16"/>
                <w:szCs w:val="20"/>
                <w:lang w:val="nl-NL" w:eastAsia="nl-NL"/>
              </w:rPr>
              <w:fldChar w:fldCharType="end"/>
            </w:r>
          </w:p>
        </w:tc>
      </w:tr>
      <w:tr w:rsidR="005C5BE9" w:rsidRPr="006E42E0" w14:paraId="77FA7F79" w14:textId="77777777" w:rsidTr="00E02DA9">
        <w:tc>
          <w:tcPr>
            <w:tcW w:w="1098" w:type="dxa"/>
            <w:tcBorders>
              <w:top w:val="nil"/>
              <w:left w:val="single" w:sz="4" w:space="0" w:color="auto"/>
              <w:bottom w:val="nil"/>
              <w:right w:val="nil"/>
            </w:tcBorders>
            <w:shd w:val="clear" w:color="auto" w:fill="auto"/>
            <w:noWrap/>
            <w:vAlign w:val="bottom"/>
            <w:hideMark/>
          </w:tcPr>
          <w:p w14:paraId="13421694"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6968DCB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c.1445del</w:t>
            </w:r>
          </w:p>
        </w:tc>
        <w:tc>
          <w:tcPr>
            <w:tcW w:w="1701" w:type="dxa"/>
            <w:tcBorders>
              <w:top w:val="nil"/>
              <w:left w:val="nil"/>
              <w:bottom w:val="nil"/>
              <w:right w:val="nil"/>
            </w:tcBorders>
            <w:shd w:val="clear" w:color="auto" w:fill="auto"/>
            <w:noWrap/>
            <w:vAlign w:val="bottom"/>
            <w:hideMark/>
          </w:tcPr>
          <w:p w14:paraId="76E7639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25E48A4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p.(His482ProfsX27)</w:t>
            </w:r>
          </w:p>
        </w:tc>
        <w:tc>
          <w:tcPr>
            <w:tcW w:w="940" w:type="dxa"/>
            <w:tcBorders>
              <w:top w:val="nil"/>
              <w:left w:val="nil"/>
              <w:bottom w:val="nil"/>
              <w:right w:val="nil"/>
            </w:tcBorders>
            <w:shd w:val="clear" w:color="auto" w:fill="auto"/>
            <w:noWrap/>
            <w:vAlign w:val="bottom"/>
            <w:hideMark/>
          </w:tcPr>
          <w:p w14:paraId="4B9960F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auto" w:fill="auto"/>
            <w:noWrap/>
            <w:vAlign w:val="bottom"/>
            <w:hideMark/>
          </w:tcPr>
          <w:p w14:paraId="562AC7A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4239B07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3A34004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0D006C48" w14:textId="77777777" w:rsidTr="00E02DA9">
        <w:tc>
          <w:tcPr>
            <w:tcW w:w="1098" w:type="dxa"/>
            <w:tcBorders>
              <w:top w:val="nil"/>
              <w:left w:val="single" w:sz="4" w:space="0" w:color="auto"/>
              <w:bottom w:val="nil"/>
              <w:right w:val="nil"/>
            </w:tcBorders>
            <w:shd w:val="clear" w:color="000000" w:fill="DDEBF7"/>
            <w:noWrap/>
            <w:vAlign w:val="bottom"/>
            <w:hideMark/>
          </w:tcPr>
          <w:p w14:paraId="5FF93832"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76EDBE1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c.1584T&gt;G</w:t>
            </w:r>
          </w:p>
        </w:tc>
        <w:tc>
          <w:tcPr>
            <w:tcW w:w="1701" w:type="dxa"/>
            <w:tcBorders>
              <w:top w:val="nil"/>
              <w:left w:val="nil"/>
              <w:bottom w:val="nil"/>
              <w:right w:val="nil"/>
            </w:tcBorders>
            <w:shd w:val="clear" w:color="000000" w:fill="DDEBF7"/>
            <w:noWrap/>
            <w:vAlign w:val="bottom"/>
            <w:hideMark/>
          </w:tcPr>
          <w:p w14:paraId="19A24FB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02D93E4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p.(Cys528Trp)</w:t>
            </w:r>
          </w:p>
        </w:tc>
        <w:tc>
          <w:tcPr>
            <w:tcW w:w="940" w:type="dxa"/>
            <w:tcBorders>
              <w:top w:val="nil"/>
              <w:left w:val="nil"/>
              <w:bottom w:val="nil"/>
              <w:right w:val="nil"/>
            </w:tcBorders>
            <w:shd w:val="clear" w:color="000000" w:fill="DDEBF7"/>
            <w:noWrap/>
            <w:vAlign w:val="bottom"/>
            <w:hideMark/>
          </w:tcPr>
          <w:p w14:paraId="6336197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2D7C63A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850" w:type="dxa"/>
            <w:tcBorders>
              <w:top w:val="nil"/>
              <w:left w:val="nil"/>
              <w:bottom w:val="nil"/>
              <w:right w:val="nil"/>
            </w:tcBorders>
            <w:shd w:val="clear" w:color="000000" w:fill="DDEBF7"/>
            <w:noWrap/>
            <w:vAlign w:val="bottom"/>
            <w:hideMark/>
          </w:tcPr>
          <w:p w14:paraId="18087BC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2065" w:type="dxa"/>
            <w:tcBorders>
              <w:top w:val="nil"/>
              <w:left w:val="nil"/>
              <w:bottom w:val="nil"/>
              <w:right w:val="single" w:sz="4" w:space="0" w:color="auto"/>
            </w:tcBorders>
            <w:shd w:val="clear" w:color="000000" w:fill="DDEBF7"/>
            <w:noWrap/>
            <w:vAlign w:val="bottom"/>
            <w:hideMark/>
          </w:tcPr>
          <w:p w14:paraId="18804C6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{"citationItems":[{"id":"ITEM-1","itemData":{"DOI":"10.1371/journal.pone.0189467","ISSN":"19326203","abstract":"© 2017 Snetselaar et al. This is an open access article distributed under the terms of the Creative Commons Attribution License, which permits unrestricted use, distribution, and reproduction in any medium, provided the original author and source are credited. Telomere maintenance dysfunction has been implicated in the pathogenesis of Idiopathic Pulmonary Fibrosis (IPF). However, the mechanism of how telomere length is related to fibrosis in the lungs is unknown. Surgical lung biopsies of IPF patients typically show a heterogeneous pattern of non-fibrotic and fibrotic areas. Therefore, telomere length (TL) in both lung areas of patients with IPF and familial interstitial pneumonia was compared, specifically in alveolar type 2 (AT2) cells. Fluorescent in situ hybridization was used to determine TL in non-fibrotic and fibrotic areas of 35 subjects. Monochrome multiplex quantitative polymerase chain reaction (MMqPCR) was used for 51 whole lung biopsies and blood TL measurements. For sporadic IPF subjects, AT2 cell TL in non-fibrotic areas was 56% longer than in fibrotic areas. No such difference was observed in the surrounding lung cells. In subjects carrying a telomerase reverse transcriptase (TERT) mutation, AT2 cell TL was significantly shorter than in sporadic subjects. However, no difference in surrounding cell TL was observed between these subject groups. Finally, using biopsy MMqPCR TL measurements, it was determined that IPF subjects with shortest lung TL had a significantly worse survival than patients with long TL. This study shows that shortening of telomeres critically affects AT2 cells in fibrotic areas, implying TL as a cause of fibrogenesis. Furthermore, short lung telomere length is associated with decreased survival.","author":[{"dropping-particle":"","family":"Snetselaar","given":"R.","non-dropping-particle":"","parse-names":false,"suffix":""},{"dropping-particle":"","family":"Batenburg","given":"A.A.","non-dropping-particle":"van","parse-names":false,"suffix":""},{"dropping-particle":"","family":"Oosterhout","given":"M.F.M.","non-dropping-particle":"Van","parse-names":false,"suffix":""},{"dropping-particle":"","family":"Kazemier","given":"K.M.","non-dropping-particle":"","parse-names":false,"suffix":""},{"dropping-particle":"","family":"Roothaan","given":"S.M.","non-dropping-particle":"","parse-names":false,"suffix":""},{"dropping-particle":"","family":"Peeters","given":"T.","non-dropping-particle":"","parse-names":false,"suffix":""},{"dropping-particle":"","family":"Vis","given":"J.J.","non-dropping-particle":"van der","parse-names":false,"suffix":""},{"dropping-particle":"","family":"Goldschmeding","given":"R.","non-dropping-particle":"","parse-names":false,"suffix":""},{"dropping-particle":"","family":"Grutters","given":"J.C.","non-dropping-particle":"","parse-names":false,"suffix":""},{"dropping-particle":"","family":"Moorsel","given":"C.H.M.","non-dropping-particle":"Van","parse-names":false,"suffix":""}],"container-title":"PLoS ONE","id":"ITEM-1","issue":"12","issued":{"date-parts":[["2017"]]},"title":"Short telomere length in IPF lung associates with fibrotic lesions and predicts survival","type":"article-journal","volume":"12"},"uris":["http://www.mendeley.com/documents/?uuid=32e905c8-0dc8-32b1-8fcb-d58cd04841a4"]},{"id":"ITEM-2","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journal","id":"ITEM-2","issue":"2","issued":{"date-parts":[["2021","2","1"]]},"publisher":"Eur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(7,35)","plainTextFormattedCitation":"(7,35)","previouslyFormattedCitation":"(7,35)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(7,35)</w:t>
            </w:r>
            <w:r w:rsidRPr="006E42E0">
              <w:rPr>
                <w:rFonts w:ascii="Verdana" w:eastAsia="Times New Roman" w:hAnsi="Verdana" w:cs="Arial"/>
                <w:color w:val="000000"/>
                <w:sz w:val="16"/>
                <w:szCs w:val="20"/>
                <w:lang w:val="nl-NL" w:eastAsia="nl-NL"/>
              </w:rPr>
              <w:fldChar w:fldCharType="end"/>
            </w:r>
          </w:p>
        </w:tc>
      </w:tr>
      <w:tr w:rsidR="005C5BE9" w:rsidRPr="006E42E0" w14:paraId="5DB98668" w14:textId="77777777" w:rsidTr="00E02DA9">
        <w:tc>
          <w:tcPr>
            <w:tcW w:w="1098" w:type="dxa"/>
            <w:tcBorders>
              <w:top w:val="nil"/>
              <w:left w:val="single" w:sz="4" w:space="0" w:color="auto"/>
              <w:bottom w:val="nil"/>
              <w:right w:val="nil"/>
            </w:tcBorders>
            <w:shd w:val="clear" w:color="auto" w:fill="auto"/>
            <w:noWrap/>
            <w:vAlign w:val="bottom"/>
            <w:hideMark/>
          </w:tcPr>
          <w:p w14:paraId="6446BD9A"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lastRenderedPageBreak/>
              <w:t>TERT</w:t>
            </w:r>
          </w:p>
        </w:tc>
        <w:tc>
          <w:tcPr>
            <w:tcW w:w="1591" w:type="dxa"/>
            <w:tcBorders>
              <w:top w:val="nil"/>
              <w:left w:val="nil"/>
              <w:bottom w:val="nil"/>
              <w:right w:val="nil"/>
            </w:tcBorders>
            <w:shd w:val="clear" w:color="auto" w:fill="auto"/>
            <w:noWrap/>
            <w:vAlign w:val="bottom"/>
            <w:hideMark/>
          </w:tcPr>
          <w:p w14:paraId="08E4A6A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c.1698_1700delCAC</w:t>
            </w:r>
          </w:p>
        </w:tc>
        <w:tc>
          <w:tcPr>
            <w:tcW w:w="1701" w:type="dxa"/>
            <w:tcBorders>
              <w:top w:val="nil"/>
              <w:left w:val="nil"/>
              <w:bottom w:val="nil"/>
              <w:right w:val="nil"/>
            </w:tcBorders>
            <w:shd w:val="clear" w:color="auto" w:fill="auto"/>
            <w:noWrap/>
            <w:vAlign w:val="bottom"/>
            <w:hideMark/>
          </w:tcPr>
          <w:p w14:paraId="46DAD34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53E8068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p.(Tyr567del)</w:t>
            </w:r>
          </w:p>
        </w:tc>
        <w:tc>
          <w:tcPr>
            <w:tcW w:w="940" w:type="dxa"/>
            <w:tcBorders>
              <w:top w:val="nil"/>
              <w:left w:val="nil"/>
              <w:bottom w:val="nil"/>
              <w:right w:val="nil"/>
            </w:tcBorders>
            <w:shd w:val="clear" w:color="auto" w:fill="auto"/>
            <w:noWrap/>
            <w:vAlign w:val="bottom"/>
            <w:hideMark/>
          </w:tcPr>
          <w:p w14:paraId="074EA08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6E70A20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7204914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2065" w:type="dxa"/>
            <w:tcBorders>
              <w:top w:val="nil"/>
              <w:left w:val="nil"/>
              <w:bottom w:val="nil"/>
              <w:right w:val="single" w:sz="4" w:space="0" w:color="auto"/>
            </w:tcBorders>
            <w:shd w:val="clear" w:color="auto" w:fill="auto"/>
            <w:noWrap/>
            <w:vAlign w:val="bottom"/>
            <w:hideMark/>
          </w:tcPr>
          <w:p w14:paraId="344532C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{"citationItems":[{"id":"ITEM-1","itemData":{"DOI":"10.1371/journal.pone.0189467","ISSN":"19326203","abstract":"© 2017 Snetselaar et al. This is an open access article distributed under the terms of the Creative Commons Attribution License, which permits unrestricted use, distribution, and reproduction in any medium, provided the original author and source are credited. Telomere maintenance dysfunction has been implicated in the pathogenesis of Idiopathic Pulmonary Fibrosis (IPF). However, the mechanism of how telomere length is related to fibrosis in the lungs is unknown. Surgical lung biopsies of IPF patients typically show a heterogeneous pattern of non-fibrotic and fibrotic areas. Therefore, telomere length (TL) in both lung areas of patients with IPF and familial interstitial pneumonia was compared, specifically in alveolar type 2 (AT2) cells. Fluorescent in situ hybridization was used to determine TL in non-fibrotic and fibrotic areas of 35 subjects. Monochrome multiplex quantitative polymerase chain reaction (MMqPCR) was used for 51 whole lung biopsies and blood TL measurements. For sporadic IPF subjects, AT2 cell TL in non-fibrotic areas was 56% longer than in fibrotic areas. No such difference was observed in the surrounding lung cells. In subjects carrying a telomerase reverse transcriptase (TERT) mutation, AT2 cell TL was significantly shorter than in sporadic subjects. However, no difference in surrounding cell TL was observed between these subject groups. Finally, using biopsy MMqPCR TL measurements, it was determined that IPF subjects with shortest lung TL had a significantly worse survival than patients with long TL. This study shows that shortening of telomeres critically affects AT2 cells in fibrotic areas, implying TL as a cause of fibrogenesis. Furthermore, short lung telomere length is associated with decreased survival.","author":[{"dropping-particle":"","family":"Snetselaar","given":"R.","non-dropping-particle":"","parse-names":false,"suffix":""},{"dropping-particle":"","family":"Batenburg","given":"A.A.","non-dropping-particle":"van","parse-names":false,"suffix":""},{"dropping-particle":"","family":"Oosterhout","given":"M.F.M.","non-dropping-particle":"Van","parse-names":false,"suffix":""},{"dropping-particle":"","family":"Kazemier","given":"K.M.","non-dropping-particle":"","parse-names":false,"suffix":""},{"dropping-particle":"","family":"Roothaan","given":"S.M.","non-dropping-particle":"","parse-names":false,"suffix":""},{"dropping-particle":"","family":"Peeters","given":"T.","non-dropping-particle":"","parse-names":false,"suffix":""},{"dropping-particle":"","family":"Vis","given":"J.J.","non-dropping-particle":"van der","parse-names":false,"suffix":""},{"dropping-particle":"","family":"Goldschmeding","given":"R.","non-dropping-particle":"","parse-names":false,"suffix":""},{"dropping-particle":"","family":"Grutters","given":"J.C.","non-dropping-particle":"","parse-names":false,"suffix":""},{"dropping-particle":"","family":"Moorsel","given":"C.H.M.","non-dropping-particle":"Van","parse-names":false,"suffix":""}],"container-title":"PLoS ONE","id":"ITEM-1","issue":"12","issued":{"date-parts":[["2017"]]},"title":"Short telomere length in IPF lung associates with fibrotic lesions and predicts survival","type":"article-journal","volume":"12"},"uris":["http://www.mendeley.com/documents/?uuid=32e905c8-0dc8-32b1-8fcb-d58cd04841a4"]},{"id":"ITEM-2","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journal","id":"ITEM-2","issue":"2","issued":{"date-parts":[["2021","2","1"]]},"publisher":"Eur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(7,35)","plainTextFormattedCitation":"(7,35)","previouslyFormattedCitation":"(7,35)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(7,35)</w:t>
            </w:r>
            <w:r w:rsidRPr="006E42E0">
              <w:rPr>
                <w:rFonts w:ascii="Verdana" w:eastAsia="Times New Roman" w:hAnsi="Verdana" w:cs="Arial"/>
                <w:color w:val="000000"/>
                <w:sz w:val="16"/>
                <w:szCs w:val="20"/>
                <w:lang w:val="nl-NL" w:eastAsia="nl-NL"/>
              </w:rPr>
              <w:fldChar w:fldCharType="end"/>
            </w:r>
          </w:p>
        </w:tc>
      </w:tr>
      <w:tr w:rsidR="005C5BE9" w:rsidRPr="006E42E0" w14:paraId="1E6C3985" w14:textId="77777777" w:rsidTr="00E02DA9">
        <w:tc>
          <w:tcPr>
            <w:tcW w:w="1098" w:type="dxa"/>
            <w:tcBorders>
              <w:top w:val="nil"/>
              <w:left w:val="single" w:sz="4" w:space="0" w:color="auto"/>
              <w:bottom w:val="nil"/>
              <w:right w:val="nil"/>
            </w:tcBorders>
            <w:shd w:val="clear" w:color="000000" w:fill="DDEBF7"/>
            <w:noWrap/>
            <w:vAlign w:val="bottom"/>
            <w:hideMark/>
          </w:tcPr>
          <w:p w14:paraId="316631A1"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388AABE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c.1726C &gt; T</w:t>
            </w:r>
          </w:p>
        </w:tc>
        <w:tc>
          <w:tcPr>
            <w:tcW w:w="1701" w:type="dxa"/>
            <w:tcBorders>
              <w:top w:val="nil"/>
              <w:left w:val="nil"/>
              <w:bottom w:val="nil"/>
              <w:right w:val="nil"/>
            </w:tcBorders>
            <w:shd w:val="clear" w:color="000000" w:fill="DDEBF7"/>
            <w:noWrap/>
            <w:vAlign w:val="bottom"/>
            <w:hideMark/>
          </w:tcPr>
          <w:p w14:paraId="3AF1A28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62F4ADD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p.(Tyr576His)</w:t>
            </w:r>
          </w:p>
        </w:tc>
        <w:tc>
          <w:tcPr>
            <w:tcW w:w="940" w:type="dxa"/>
            <w:tcBorders>
              <w:top w:val="nil"/>
              <w:left w:val="nil"/>
              <w:bottom w:val="nil"/>
              <w:right w:val="nil"/>
            </w:tcBorders>
            <w:shd w:val="clear" w:color="000000" w:fill="DDEBF7"/>
            <w:noWrap/>
            <w:vAlign w:val="bottom"/>
            <w:hideMark/>
          </w:tcPr>
          <w:p w14:paraId="5FBE160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1A5FED3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6D1C860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7A4E06E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{"citationItems":[{"id":"ITEM-1","itemData":{"DOI":"10.3390/IJMS24032790/S1","ISSN":"14220067","PMID":"36769106","abstract":"In only around 40% of families with pulmonary fibrosis (PF) a suspected genetic cause can be found. Genetic overlap analysis of Whole Exome Sequencing (WES) data may be a powerful tool to discover new shared variants in novel genes for PF. As a proof of principle, we first selected unrelated PF patients for whom a genetic variant was detected (n = 125) in established PF genes and searched for overlapping variants. Second, we performed WES (n = 149) and identified novel potentially deleterious variants shared by at least two unrelated PF patients. These variants were genotyped in validation cohorts (n = 2748). In 125 unrelated patients, a potentially deleterious variant was detected in known PF genes of which 15 variants in six genes overlapped, involving 51 patients. Overlap analysis of WES data identified two novel variants of interest: TOM1L2 c.421T &gt; C p.(Y141H) and TDP1c.1373dupG p.(S459fs*5), neither gene had been related to pulmonary fibrosis before. Both proteins were present in the alveolar epithelium. No apparent characteristics of telomere disease were observed. This study underlines the potential of searching for overlapping rare potentially deleterious variants to identify disease-associated variants and genes. A previously unreported variant was found in two putative new PF genes, but further research is needed to determine causality.","author":[{"dropping-particle":"","family":"Groen","given":"Karlijn","non-dropping-particle":"","parse-names":false,"suffix":""},{"dropping-particle":"","family":"Vis","given":"Joanne J.","non-dropping-particle":"van der","parse-names":false,"suffix":""},{"dropping-particle":"","family":"Batenburg","given":"Aernoud A.","non-dropping-particle":"van","parse-names":false,"suffix":""},{"dropping-particle":"","family":"Kazemier","given":"Karin M.","non-dropping-particle":"","parse-names":false,"suffix":""},{"dropping-particle":"","family":"Grutters","given":"Jan C.","non-dropping-particle":"","parse-names":false,"suffix":""},{"dropping-particle":"","family":"Moorsel","given":"Coline H.M.","non-dropping-particle":"van","parse-names":false,"suffix":""}],"container-title":"International Journal of Molecular Sciences","id":"ITEM-1","issue":"3","issued":{"date-parts":[["2023","2","1"]]},"page":"2790","publisher":"MDPI","title":"Genetic Variant Overlap Analysis Identifies Established and Putative Genes Involved in Pulmonary Fibrosis","type":"article-journal","volume":"24"},"uris":["http://www.mendeley.com/documents/?uuid=f4432c82-cf80-3750-aff9-97c9f349db64"]}],"mendeley":{"formattedCitation":"(8)","plainTextFormattedCitation":"(8)","previouslyFormattedCitation":"(8)"},"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(8)</w:t>
            </w:r>
            <w:r w:rsidRPr="006E42E0">
              <w:rPr>
                <w:rFonts w:ascii="Verdana" w:eastAsia="Times New Roman" w:hAnsi="Verdana" w:cs="Arial"/>
                <w:color w:val="000000"/>
                <w:sz w:val="16"/>
                <w:szCs w:val="20"/>
                <w:lang w:val="nl-NL" w:eastAsia="nl-NL"/>
              </w:rPr>
              <w:fldChar w:fldCharType="end"/>
            </w:r>
          </w:p>
        </w:tc>
      </w:tr>
      <w:tr w:rsidR="005C5BE9" w:rsidRPr="006E42E0" w14:paraId="676F73B5" w14:textId="77777777" w:rsidTr="00E02DA9">
        <w:tc>
          <w:tcPr>
            <w:tcW w:w="1098" w:type="dxa"/>
            <w:tcBorders>
              <w:top w:val="nil"/>
              <w:left w:val="single" w:sz="4" w:space="0" w:color="auto"/>
              <w:bottom w:val="nil"/>
              <w:right w:val="nil"/>
            </w:tcBorders>
            <w:shd w:val="clear" w:color="auto" w:fill="auto"/>
            <w:noWrap/>
            <w:vAlign w:val="bottom"/>
            <w:hideMark/>
          </w:tcPr>
          <w:p w14:paraId="38E75632"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1DE27C7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c.1729C&gt;T</w:t>
            </w:r>
          </w:p>
        </w:tc>
        <w:tc>
          <w:tcPr>
            <w:tcW w:w="1701" w:type="dxa"/>
            <w:tcBorders>
              <w:top w:val="nil"/>
              <w:left w:val="nil"/>
              <w:bottom w:val="nil"/>
              <w:right w:val="nil"/>
            </w:tcBorders>
            <w:shd w:val="clear" w:color="auto" w:fill="auto"/>
            <w:noWrap/>
            <w:vAlign w:val="bottom"/>
            <w:hideMark/>
          </w:tcPr>
          <w:p w14:paraId="14CD422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216F03F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p.(Arg577Trp)</w:t>
            </w:r>
          </w:p>
        </w:tc>
        <w:tc>
          <w:tcPr>
            <w:tcW w:w="940" w:type="dxa"/>
            <w:tcBorders>
              <w:top w:val="nil"/>
              <w:left w:val="nil"/>
              <w:bottom w:val="nil"/>
              <w:right w:val="nil"/>
            </w:tcBorders>
            <w:shd w:val="clear" w:color="auto" w:fill="auto"/>
            <w:noWrap/>
            <w:vAlign w:val="bottom"/>
            <w:hideMark/>
          </w:tcPr>
          <w:p w14:paraId="3AF71C7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350C4BB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33C070D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6</w:t>
            </w:r>
          </w:p>
        </w:tc>
        <w:tc>
          <w:tcPr>
            <w:tcW w:w="2065" w:type="dxa"/>
            <w:tcBorders>
              <w:top w:val="nil"/>
              <w:left w:val="nil"/>
              <w:bottom w:val="nil"/>
              <w:right w:val="single" w:sz="4" w:space="0" w:color="auto"/>
            </w:tcBorders>
            <w:shd w:val="clear" w:color="auto" w:fill="auto"/>
            <w:noWrap/>
            <w:vAlign w:val="bottom"/>
            <w:hideMark/>
          </w:tcPr>
          <w:p w14:paraId="78B589A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mutation","type":"article-journal","volume":"57"},"uris":["http://www.mendeley.com/documents/?uuid=449872d5-b359-3355-8d25-fe681381e043"]},{"id":"ITEM-2","itemData":{"DOI":"10.1111/resp.14145","ISSN":"1440-1843","PMID":"34580961","abstract":"BACKGROUND AND OBJECTIVE Diagnostic and predictive genetic testing for disease cause and risk estimation is common in many countries. For genetic diseases, predictive test results are commonly straightforward: presence of the mutation involves increased risk for disease and absence of the mutation involves no inherit risk for disease. Germline mutations in telomere-related genes (TRGs) can lead to telomere shortening and are associated with short telomere syndrome (STS). Telomere length is heritable, and in families with STS due to a TRG mutation, progeny with and without the TRG mutation is known to have shorter than average telomeres. We hypothesize that progeny of TRG mutation carriers who did not inherit the TRG mutation may still develop pulmonary fibrosis. METHODS A genetic screen of 99 unrelated families with familial pulmonary fibrosis revealed five patients with features of pulmonary fibrosis but without carrying the familial disease-causing TRG mutation. RESULTS Features of STS were present in each family, including short telomeres in blood and tissue of the non-mutation carrying patients. Additional genetic, clinical or environmental risk factors for pulmonary fibrosis were present in each non-mutation carrying patient. CONCLUSION Our study shows that non-mutation carrying first-degree relatives in families with STS are at increased risk for pulmonary fibrosis. Disease development may be triggered by inherited short telomeres and additional risk factors for disease. This observation has profound consequences for genetic counselling. Unlike any other genetic syndrome, absence of the mutation does not imply absence of disease risk. Therefore, clinical follow-up is still urged for non-mutation carrying first-degree family members.","author":[{"dropping-particle":"","family":"Vis","given":"Joanne J","non-dropping-particle":"van der","parse-names":false,"suffix":""},{"dropping-particle":"","family":"Smagt","given":"Jasper J","non-dropping-particle":"van der","parse-names":false,"suffix":""},{"dropping-particle":"","family":"Batenburg","given":"Aernoud A","non-dropping-particle":"van","parse-names":false,"suffix":""},{"dropping-particle":"","family":"Goldschmeding","given":"Roel","non-dropping-particle":"","parse-names":false,"suffix":""},{"dropping-particle":"","family":"Es","given":"H Wouter","non-dropping-particle":"van","parse-names":false,"suffix":""},{"dropping-particle":"","family":"Grutters","given":"Jan C","non-dropping-particle":"","parse-names":false,"suffix":""},{"dropping-particle":"","family":"Moorsel","given":"Coline H M","non-dropping-particle":"van","parse-names":false,"suffix":""}],"container-title":"Respirology (Carlton, Vic.)","id":"ITEM-2","issued":{"date-parts":[["2021","9","27"]]},"publisher":"Respirology","title":"Pulmonary fibrosis in non-mutation carriers of families with short telomere syndrome gene mutations.","type":"article-journal"},"uris":["http://www.mendeley.com/documents/?uuid=5f876d1b-be31-3f8f-a217-4f78acce5cfa"]}],"mendeley":{"formattedCitation":"(7,33)","plainTextFormattedCitation":"(7,33)","previouslyFormattedCitation":"(7,33)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(7,33)</w:t>
            </w:r>
            <w:r w:rsidRPr="006E42E0">
              <w:rPr>
                <w:rFonts w:ascii="Verdana" w:eastAsia="Times New Roman" w:hAnsi="Verdana" w:cs="Arial"/>
                <w:color w:val="000000"/>
                <w:sz w:val="16"/>
                <w:szCs w:val="20"/>
                <w:lang w:val="nl-NL" w:eastAsia="nl-NL"/>
              </w:rPr>
              <w:fldChar w:fldCharType="end"/>
            </w:r>
          </w:p>
        </w:tc>
      </w:tr>
      <w:tr w:rsidR="005C5BE9" w:rsidRPr="006E42E0" w14:paraId="27FFA78F" w14:textId="77777777" w:rsidTr="00E02DA9">
        <w:tc>
          <w:tcPr>
            <w:tcW w:w="1098" w:type="dxa"/>
            <w:tcBorders>
              <w:top w:val="nil"/>
              <w:left w:val="single" w:sz="4" w:space="0" w:color="auto"/>
              <w:bottom w:val="nil"/>
              <w:right w:val="nil"/>
            </w:tcBorders>
            <w:shd w:val="clear" w:color="000000" w:fill="DDEBF7"/>
            <w:noWrap/>
            <w:vAlign w:val="bottom"/>
            <w:hideMark/>
          </w:tcPr>
          <w:p w14:paraId="39B6DA12"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36D8ACE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xml:space="preserve">c.1885G&gt;A </w:t>
            </w:r>
          </w:p>
        </w:tc>
        <w:tc>
          <w:tcPr>
            <w:tcW w:w="1701" w:type="dxa"/>
            <w:tcBorders>
              <w:top w:val="nil"/>
              <w:left w:val="nil"/>
              <w:bottom w:val="nil"/>
              <w:right w:val="nil"/>
            </w:tcBorders>
            <w:shd w:val="clear" w:color="000000" w:fill="DDEBF7"/>
            <w:noWrap/>
            <w:vAlign w:val="bottom"/>
            <w:hideMark/>
          </w:tcPr>
          <w:p w14:paraId="316E9F0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7BD8438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p.(Gly629Arg)</w:t>
            </w:r>
          </w:p>
        </w:tc>
        <w:tc>
          <w:tcPr>
            <w:tcW w:w="940" w:type="dxa"/>
            <w:tcBorders>
              <w:top w:val="nil"/>
              <w:left w:val="nil"/>
              <w:bottom w:val="nil"/>
              <w:right w:val="nil"/>
            </w:tcBorders>
            <w:shd w:val="clear" w:color="000000" w:fill="DDEBF7"/>
            <w:noWrap/>
            <w:vAlign w:val="bottom"/>
            <w:hideMark/>
          </w:tcPr>
          <w:p w14:paraId="32A2BC4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281CBDF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1B16B7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3E74F59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{"citationItems":[{"id":"ITEM-1","itemData":{"DOI":"10.1164/rccm.201610-2088OC","ISSN":"1073-449X","PMID":"28099038","abstract":"RATIONALE Idiopathic pulmonary fibrosis (IPF) is an increasingly recognized, often fatal lung disease of unknown etiology. OBJECTIVES The aim of this study was to use whole-exome sequencing to improve understanding of the genetic architecture of pulmonary fibrosis. METHODS We performed a case-control exome-wide collapsing analysis including 262 unrelated individuals with pulmonary fibrosis clinically classified as IPF according to American Thoracic Society/European Respiratory Society/Japanese Respiratory Society/Latin American Thoracic Association guidelines (81.3%), usual interstitial pneumonia secondary to autoimmune conditions (11.5%), or fibrosing nonspecific interstitial pneumonia (7.2%). The majority (87%) of case subjects reported no family history of pulmonary fibrosis. MEASUREMENTS AND MAIN RESULTS We searched 18,668 protein-coding genes for an excess of rare deleterious genetic variation using whole-exome sequence data from 262 case subjects with pulmonary fibrosis and 4,141 control subjects drawn from among a set of individuals of European ancestry. Comparing genetic variation across 18,668 protein-coding genes, we found a study-wide significant (P</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&lt;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4.5</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Verdana"/>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10-7) case enrichment of qualifying variants in TERT, RTEL1, and PARN. A model qualifying ultrarare, deleterious, nonsynonymous variants implicated TERT and RTEL1, and a model specifically qualifying loss-of-function variants implicated RTEL1 and PARN. A subanalysis of 186 case subjects with sporadic IPF confirmed TERT, RTEL1, and PARN as study-wide significant contributors to sporadic IPF. Collectively, 11.3% of case subjects with sporadic IPF carried a qualifying variant in one of these three genes compared with the 0.3% carrier rate observed among control subjects (odds ratio, 47.7; 95% confidence interval, 21.5-111.6; P</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5.5</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Verdana"/>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10-22). CONCLUSIONS We identified TERT, RTEL1, and PARN-three telomere-related genes previously implicated in familial pulmonary fibrosis-as significant contributors to sporadic IPF. These results support the idea that telomere dysfunction is involved in IPF pathogenesis.","author":[{"dropping-particle":"","family":"Petrovski","given":"Slavé","non-dropping-particle":"","parse-names":false,"suffix":""},{"dropping-particle":"","family":"Todd","given":"Jamie L.","non-dropping-particle":"","parse-names":false,"suffix":""},{"dropping-particle":"","family":"Durheim","given":"Michael T.","non-dropping-particle":"","parse-names":false,"suffix":""},{"dropping-particle":"","family":"Wang","given":"Quanli","non-dropping-particle":"","parse-names":false,"suffix":""},{"dropping-particle":"","family":"Chien","given":"Jason W.","non-dropping-particle":"","parse-names":false,"suffix":""},{"dropping-particle":"","family":"Kelly","given":"Fran L.","non-dropping-particle":"","parse-names":false,"suffix":""},{"dropping-particle":"","family":"Frankel","given":"Courtney","non-dropping-particle":"","parse-names":false,"suffix":""},{"dropping-particle":"","family":"Mebane","given":"Caroline M.","non-dropping-particle":"","parse-names":false,"suffix":""},{"dropping-particle":"","family":"Ren","given":"Zhong","non-dropping-particle":"","parse-names":false,"suffix":""},{"dropping-particle":"","family":"Bridgers","given":"Joshua","non-dropping-particle":"","parse-names":false,"suffix":""},{"dropping-particle":"","family":"Urban","given":"Thomas J.","non-dropping-particle":"","parse-names":false,"suffix":""},{"dropping-particle":"","family":"Malone","given":"Colin D.","non-dropping-particle":"","parse-names":false,"suffix":""},{"dropping-particle":"","family":"Finlen Copeland","given":"Ashley","non-dropping-particle":"","parse-names":false,"suffix":""},{"dropping-particle":"","family":"Brinkley","given":"Christie","non-dropping-particle":"","parse-names":false,"suffix":""},{"dropping-particle":"","family":"Allen","given":"Andrew S.","non-dropping-particle":"","parse-names":false,"suffix":""},{"dropping-particle":"","family":"O’Riordan","given":"Thomas","non-dropping-particle":"","parse-names":false,"suffix":""},{"dropping-particle":"","family":"McHutchison","given":"John G.","non-dropping-particle":"","parse-names":false,"suffix":""},{"dropping-particle":"","family":"Palmer","given":"Scott M.","non-dropping-particle":"","parse-names":false,"suffix":""},{"dropping-particle":"","family":"Goldstein","given":"David B.","non-dropping-particle":"","parse-names":false,"suffix":""}],"container-title":"American Journal of Respiratory and Critical Care Medicine","id":"ITEM-1","issue":"1","issued":{"date-parts":[["2017","7","1"]]},"page":"82-93","title":"An Exome Sequencing Study to Assess the Role of Rare Genetic Variation in Pulmonary Fibrosis","type":"article-journal","volume":"196"},"uris":["http://www.mendeley.com/documents/?uuid=a509aa63-2e39-3fb6-a263-9943008be67e"]}],"mendeley":{"formattedCitation":"(20)","plainTextFormattedCitation":"(20)","previouslyFormattedCitation":"(20)"},"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(20)</w:t>
            </w:r>
            <w:r w:rsidRPr="006E42E0">
              <w:rPr>
                <w:rFonts w:ascii="Verdana" w:eastAsia="Times New Roman" w:hAnsi="Verdana" w:cs="Arial"/>
                <w:color w:val="000000"/>
                <w:sz w:val="16"/>
                <w:szCs w:val="20"/>
                <w:lang w:val="nl-NL" w:eastAsia="nl-NL"/>
              </w:rPr>
              <w:fldChar w:fldCharType="end"/>
            </w:r>
          </w:p>
        </w:tc>
      </w:tr>
      <w:tr w:rsidR="005C5BE9" w:rsidRPr="006E42E0" w14:paraId="190AF143" w14:textId="77777777" w:rsidTr="00E02DA9">
        <w:tc>
          <w:tcPr>
            <w:tcW w:w="1098" w:type="dxa"/>
            <w:tcBorders>
              <w:top w:val="nil"/>
              <w:left w:val="single" w:sz="4" w:space="0" w:color="auto"/>
              <w:bottom w:val="nil"/>
              <w:right w:val="nil"/>
            </w:tcBorders>
            <w:shd w:val="clear" w:color="auto" w:fill="auto"/>
            <w:noWrap/>
            <w:vAlign w:val="bottom"/>
            <w:hideMark/>
          </w:tcPr>
          <w:p w14:paraId="15CBE7C7"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4A87741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c.2005C&gt;T</w:t>
            </w:r>
          </w:p>
        </w:tc>
        <w:tc>
          <w:tcPr>
            <w:tcW w:w="1701" w:type="dxa"/>
            <w:tcBorders>
              <w:top w:val="nil"/>
              <w:left w:val="nil"/>
              <w:bottom w:val="nil"/>
              <w:right w:val="nil"/>
            </w:tcBorders>
            <w:shd w:val="clear" w:color="auto" w:fill="auto"/>
            <w:noWrap/>
            <w:vAlign w:val="bottom"/>
            <w:hideMark/>
          </w:tcPr>
          <w:p w14:paraId="497C818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4882BBB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p.(Arg669Trp)</w:t>
            </w:r>
          </w:p>
        </w:tc>
        <w:tc>
          <w:tcPr>
            <w:tcW w:w="940" w:type="dxa"/>
            <w:tcBorders>
              <w:top w:val="nil"/>
              <w:left w:val="nil"/>
              <w:bottom w:val="nil"/>
              <w:right w:val="nil"/>
            </w:tcBorders>
            <w:shd w:val="clear" w:color="auto" w:fill="auto"/>
            <w:noWrap/>
            <w:vAlign w:val="bottom"/>
            <w:hideMark/>
          </w:tcPr>
          <w:p w14:paraId="5A69205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auto" w:fill="auto"/>
            <w:noWrap/>
            <w:vAlign w:val="bottom"/>
            <w:hideMark/>
          </w:tcPr>
          <w:p w14:paraId="0E0BA6C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12</w:t>
            </w:r>
          </w:p>
        </w:tc>
        <w:tc>
          <w:tcPr>
            <w:tcW w:w="850" w:type="dxa"/>
            <w:tcBorders>
              <w:top w:val="nil"/>
              <w:left w:val="nil"/>
              <w:bottom w:val="nil"/>
              <w:right w:val="nil"/>
            </w:tcBorders>
            <w:shd w:val="clear" w:color="auto" w:fill="auto"/>
            <w:noWrap/>
            <w:vAlign w:val="bottom"/>
            <w:hideMark/>
          </w:tcPr>
          <w:p w14:paraId="7009874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20*</w:t>
            </w:r>
          </w:p>
        </w:tc>
        <w:tc>
          <w:tcPr>
            <w:tcW w:w="2065" w:type="dxa"/>
            <w:tcBorders>
              <w:top w:val="nil"/>
              <w:left w:val="nil"/>
              <w:bottom w:val="nil"/>
              <w:right w:val="single" w:sz="4" w:space="0" w:color="auto"/>
            </w:tcBorders>
            <w:shd w:val="clear" w:color="auto" w:fill="auto"/>
            <w:noWrap/>
            <w:vAlign w:val="bottom"/>
            <w:hideMark/>
          </w:tcPr>
          <w:p w14:paraId="3897224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{"citationItems":[{"id":"ITEM-1","itemData":{"DOI":"10.1183/13993003.00308-2016","ISSN":"13993003","PMID":"27540018","abstract":"Heterozygous mutations in four telomere-related genes have been linked to pulmonary fibrosis, but little is known about similarities or differences of affected individuals. 115 patients with mutations in telomerase reverse transcriptase ( TERT ) (n=75), telomerase RNA component ( TERC ) (n=7), regulator of telomere elongation helicase 1 ( RTEL1 ) (n=14) and poly(A)-specific ribonuclease ( PARN ) (n=19) were identified and clinical data were analysed. Approximately one-half (46%) had a multidisciplinary diagnosis of idiopathic pulmonary fibrosis (IPF); others had unclassifiable lung fibrosis (20%), chronic hypersensitivity pneumonitis (12%), pleuroparenchymal fibroelastosis (10%), interstitial pneumonia with autoimmune features (7%), an idiopathic interstitial pneumonia (4%) and connective tissue disease-related interstitial fibrosis (3%). Discordant interstitial lung disease diagnoses were found in affected individuals from 80% of families. Patients with TERC mutations were diagnosed at an earlier age than those with PARN mutations (51±11 years versus 64±8 years; p=0.03) and had a higher incidence of haematological comorbidities. The mean rate of forced vital capacity decline was 300 mL·year −1 and the median time to death or transplant was 2.87 years. There was no significant difference in time to death or transplant for patients across gene mutation groups or for patients with a diagnosis of IPF versus a non-IPF diagnosis. Genetic mutations in telomere related genes lead to a variety of interstitial lung disease (ILD) diagnoses that are universally progressive.","author":[{"dropping-particle":"","family":"Newton","given":"Chad A.","non-dropping-particle":"","parse-names":false,"suffix":""},{"dropping-particle":"","family":"Batra","given":"Kiran","non-dropping-particle":"","parse-names":false,"suffix":""},{"dropping-particle":"","family":"Torrealba","given":"Jose","non-dropping-particle":"","parse-names":false,"suffix":""},{"dropping-particle":"","family":"Kozlitina","given":"Julia","non-dropping-particle":"","parse-names":false,"suffix":""},{"dropping-particle":"","family":"Glazer","given":"Craig S.","non-dropping-particle":"","parse-names":false,"suffix":""},{"dropping-particle":"","family":"Aravena","given":"Carlos","non-dropping-particle":"","parse-names":false,"suffix":""},{"dropping-particle":"","family":"Meyer","given":"Keith","non-dropping-particle":"","parse-names":false,"suffix":""},{"dropping-particle":"","family":"Raghu","given":"Ganesh","non-dropping-particle":"","parse-names":false,"suffix":""},{"dropping-particle":"","family":"Collard","given":"Harold R.","non-dropping-particle":"","parse-names":false,"suffix":""},{"dropping-particle":"","family":"Garcia","given":"Christine Kim","non-dropping-particle":"","parse-names":false,"suffix":""}],"container-title":"European Respiratory Journal","id":"ITEM-1","issue":"6","issued":{"date-parts":[["2016","12"]]},"page":"1710-1720","title":"Telomere-related lung fibrosis is diagnostically heterogeneous but uniformly progressive","type":"article-journal","volume":"48"},"uris":["http://www.mendeley.com/documents/?uuid=bf2b8e8b-0812-4459-8548-56b85d585a32"]},{"id":"ITEM-2","itemData":{"DOI":"10.1016/J.CHEST.2020.03.069","ISSN":"0012-3692","abstract":"BACKGROUND\nGermline mutations in the gene encoding TERT cause haploinsufficiency with subsequent telomere shortening. TERT mutations are associated with short telomere syndromes, such as pulmonary fibrosis (PF), which is often the first manifestation of a short telomere syndrome. Telomere length is heritable, and progeny of telomerase mutation carriers are known to have shorter telomeres. In families with TERT mutations, genetic anticipation, the earlier onset of symptoms with successive generation, is described. Little is known on the number of generations that may pass before disease occurs in families with a TERT mutation. \n\nRESEARCH QUESTION\nThe objective of this study was to determine classification and origin of the new TERT c.2005T mutation from population genetics and genealogic data and disease history of affected families. \n\nSTUDY DESIGN AND METHODS\nThe TERT gene of 240 patients with familial PF was screened for mutations. Additionally, 1,015 patients with PF, 1,237 patients with an interstitial lung disease (ILD) without PF, and 529 healthy control subjects were genotyped for the TERT c.2005C&gt;T mutation. Genealogic research was performed on all patients who carried the TERT c.2005T mutation. \n\nRESULTS\nWe detected the TERT c.2005T (p.Arg669Trp) mutation in 13 out of 1,255 patients with PF vs none of the patients with ILD without PF and the healthy control subjects. Genealogic research connected four of the TERT c.2005T mutation carriers to a common ancestor who lived seven generations back, spanning a period of 300 years. \n\nINTERPRETATION\nThe TERT c.2005T mutation is a pathogenic mutation and associates with PF. This study learns that a latency period of &gt; 300 years may pass before the cumulative effect of telomere shortening eventually leads to PF. This finding underlines the complexity of the clinical interpretation of TERT mutations because, not the presence of the mutation, but the result of genetic anticipation, is associated with disease. Therefore, multidisciplinary discussion between pulmonary physicians, clinical geneticists, and genetic laboratory experts is recommended.","author":[{"dropping-particle":"","family":"Vis","given":"Joanne J.","non-dropping-particle":"van der","parse-names":false,"suffix":""},{"dropping-particle":"","family":"Smagt","given":"Jasper J.","non-dropping-particle":"van der","parse-names":false,"suffix":""},{"dropping-particle":"","family":"Hennekam","given":"Frederic A.M.","non-dropping-particle":"","parse-names":false,"suffix":""},{"dropping-particle":"","family":"Grutters","given":"Jan C.","non-dropping-particle":"","parse-names":false,"suffix":""},{"dropping-particle":"","family":"Moorsel","given":"Coline H.M.","non-dropping-particle":"van","parse-names":false,"suffix":""}],"container-title":"Chest","id":"ITEM-2","issue":"2","issued":{"date-parts":[["2020","8","1"]]},"page":"612-619","publisher":"Elsevier","title":"Pulmonary Fibrosis and a TERT Founder Mutation With a Latency Period of 300 Years","type":"article-journal","volume":"158"},"uris":["http://www.mendeley.com/documents/?uuid=f80005df-6a32-3a43-868f-8bb42f223afb"]},{"id":"ITEM-3","itemData":{"DOI":"10.1016/S2213-2600(18)30135-8","ISSN":"2213-2619","PMID":"29891356","abstract":"Background: Idiopathic pulmonary fibrosis (IPF) risk has a strong genetic component. Studies have implicated variations at several loci, including TERT, surfactant genes, and a single nucleotide polymorphism at chr11p15 (rs35705950) in the intergenic region between TOLLIP and MUC5B. Patients with IPF who have risk alleles at rs35705950 have longer survival from the time of IPF diagnosis than do patients homozygous for the non-risk allele, whereas patients with shorter telomeres have shorter survival times. We aimed to assess whether rare protein-altering variants in genes regulating telomere length are enriched in patients with IPF homozygous for the non-risk alleles at rs35705950. Methods: Between Nov 1, 2014, and Nov 1, 2016, we assessed blood samples from patients aged 40 years or older and of European ancestry with sporadic IPF from three international phase 3 clinical trials (INSPIRE, CAPACITY, ASCEND), one phase 2 study (RIFF), and US-based observational studies (Vanderbilt Clinical Interstitial Lung Disease Registry and the UCSF Interstitial Lung Disease Clinic registry cohorts) at the Broad Institute (Cambridge, MA, USA) and Human Longevity (San Diego, CA, USA). We also assessed blood samples from non-IPF controls in several clinical trials. We did whole-genome sequencing to assess telomere length and identify rare protein-altering variants, stratified by rs35705950 genotype. We also assessed rare functional variation in TERT exons and compared telomere length and disease progression across genotypes. Findings: We assessed samples from 1510 patients with IPF and 1874 non-IPF controls. 30 (3%) of 1046 patients with an rs35705950 risk allele had a rare protein-altering variant in TERT compared with 34 (7%) of 464 non-risk allele carriers (odds ratio 0·40 [95% CI 0·24–0·66], p=0·00039). Subsequent analyses identified enrichment of rare protein-altering variants in PARN and RTEL1, and rare variation in TERC in patients with IPF compared with controls. We expanded our study population to provide a more accurate estimation of rare variant frequency in these four loci, and to calculate telomere length. The proportion of patients with at least one rare variant in TERT, PARN, TERC, or RTEL1 was higher in patients with IPF than in controls (149 [9%] of 1739 patients vs 205 [2%] of 8645 controls, p=2·44 × 10−8). Patients with IPF who had a variant in any of the four identified telomerase component genes had telomeres that were 3·69–16·10% shorter than pati…","author":[{"dropping-particle":"","family":"Dressen","given":"Amy","non-dropping-particle":"","parse-names":false,"suffix":""},{"dropping-particle":"","family":"Abbas","given":"Alexander R.","non-dropping-particle":"","parse-names":false,"suffix":""},{"dropping-particle":"","family":"Cabanski","given":"Christopher","non-dropping-particle":"","parse-names":false,"suffix":""},{"dropping-particle":"","family":"Reeder","given":"Janina","non-dropping-particle":"","parse-names":false,"suffix":""},{"dropping-particle":"","family":"Ramalingam","given":"Thirumalai R.","non-dropping-particle":"","parse-names":false,"suffix":""},{"dropping-particle":"","family":"Neighbors","given":"Margaret","non-dropping-particle":"","parse-names":false,"suffix":""},{"dropping-particle":"","family":"Bhangale","given":"Tushar R.","non-dropping-particle":"","parse-names":false,"suffix":""},{"dropping-particle":"","family":"Brauer","given":"Matthew J.","non-dropping-particle":"","parse-names":false,"suffix":""},{"dropping-particle":"","family":"Hunkapiller","given":"Julie","non-dropping-particle":"","parse-names":false,"suffix":""},{"dropping-particle":"","family":"Reeder","given":"Jens","non-dropping-particle":"","parse-names":false,"suffix":""},{"dropping-particle":"","family":"Mukhyala","given":"Kiran","non-dropping-particle":"","parse-names":false,"suffix":""},{"dropping-particle":"","family":"Cuenco","given":"Karen","non-dropping-particle":"","parse-names":false,"suffix":""},{"dropping-particle":"","family":"Tom","given":"Jennifer","non-dropping-particle":"","parse-names":false,"suffix":""},{"dropping-particle":"","family":"Cowgill","given":"Amy","non-dropping-particle":"","parse-names":false,"suffix":""},{"dropping-particle":"","family":"Vogel","given":"Jan","non-dropping-particle":"","parse-names":false,"suffix":""},{"dropping-particle":"","family":"Forrest","given":"William F.","non-dropping-particle":"","parse-names":false,"suffix":""},{"dropping-particle":"","family":"Collard","given":"Harold R.","non-dropping-particle":"","parse-names":false,"suffix":""},{"dropping-particle":"","family":"Wolters","given":"Paul J.","non-dropping-particle":"","parse-names":false,"suffix":""},{"dropping-particle":"","family":"Kropski","given":"Jonathan A.","non-dropping-particle":"","parse-names":false,"suffix":""},{"dropping-particle":"","family":"Lancaster","given":"Lisa H.","non-dropping-particle":"","parse-names":false,"suffix":""},{"dropping-particle":"","family":"Blackwell","given":"Timothy S.","non-dropping-particle":"","parse-names":false,"suffix":""},{"dropping-particle":"","family":"Arron","given":"Joseph R.","non-dropping-particle":"","parse-names":false,"suffix":""},{"dropping-particle":"","family":"Yaspan","given":"Brian L.","non-dropping-particle":"","parse-names":false,"suffix":""}],"container-title":"The Lancet. Respiratory medicine","id":"ITEM-3","issue":"8","issued":{"date-parts":[["2018","8","1"]]},"page":"603-614","publisher":"Lancet Respir Med","title":"Analysis of protein-altering variants in telomerase genes and their association with MUC5B common variant status in patients with idiopathic pulmonary fibrosis: a candidate gene sequencing study","type":"article-journal","volume":"6"},"uris":["http://www.mendeley.com/documents/?uuid=55704541-9ff7-341c-ae97-7c383b83fb44"]},{"id":"ITEM-4","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journal","id":"ITEM-4","issue":"2","issued":{"date-parts":[["2021","2","1"]]},"publisher":"Eur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mutation","type":"article-journal","volume":"57"},"uris":["http://www.mendeley.com/documents/?uuid=449872d5-b359-3355-8d25-fe681381e043"]},{"id":"ITEM-5","itemData":{"DOI":"10.1183/13993003.00577-2022","ISSN":"1399-3003","PMID":"36028256","abstract":"Background Whole genome sequencing (WGS) can detect variants and estimate telomere length. The clinical utility of WGS in estimating risk, progression and survival of pulmonary fibrosis patients is unknown. Methods In this observational cohort study, we performed WGS on 949 patients with idiopathic pulmonary fibrosis or familial pulmonary fibrosis to determine rare and common variant genotypes, estimate telomere length and assess the association of genomic factors with clinical outcomes. Results WGS estimates of telomere length correlated with quantitative PCR (R=0.65) and Southern blot (R=0.71) measurements. Rare deleterious qualifying variants were found in 14% of the total cohort, with a five-fold increase in those with a family history of disease versus those without (25% versus 5%). Most rare qualifying variants (85%) were found in telomere-related genes and were associated with shorter telomere lengths. Rare qualifying variants had a greater effect on telomere length than a polygenic risk score calculated using 20 common variants previously associated with telomere length. The common variant polygenic risk score predicted telomere length only in sporadic disease. Reduced transplant-free survival was associated with rare qualifying variants, shorter quantitative PCR-measured telomere lengths and absence of the MUC5B promoter (rs35705950) single nucleotide polymorphism, but not with WGS-estimated telomere length or the common variant polygenic risk score. Disease progression was associated with both measures of telomere length (quantitative PCR measured and WGS estimated), rare qualifying variants and the common variant polygenic risk score. Conclusion As a single test, WGS can inform pulmonary fibrosis genetic-mediated risk, evaluate the functional effect of telomere-related variants by estimating telomere length, and prognosticate clinically relevant disease outcomes.","author":[{"dropping-particle":"","family":"Zhang","given":"David","non-dropping-particle":"","parse-names":false,"suffix":""},{"dropping-particle":"","family":"Newton","given":"Chad A.","non-dropping-particle":"","parse-names":false,"suffix":""},{"dropping-particle":"","family":"Wang","given":"Binhan","non-dropping-particle":"","parse-names":false,"suffix":""},{"dropping-particle":"","family":"Povysil","given":"Gundula","non-dropping-particle":"","parse-names":false,"suffix":""},{"dropping-particle":"","family":"Noth","given":"Imre","non-dropping-particle":"","parse-names":false,"suffix":""},{"dropping-particle":"","family":"Martinez","given":"Fernando J.","non-dropping-particle":"","parse-names":false,"suffix":""},{"dropping-particle":"","family":"Raghu","given":"Ganesh","non-dropping-particle":"","parse-names":false,"suffix":""},{"dropping-particle":"","family":"Goldstein","given":"David","non-dropping-particle":"","parse-names":false,"suffix":""},{"dropping-particle":"","family":"Garcia","given":"Christine Kim","non-dropping-particle":"","parse-names":false,"suffix":""}],"container-title":"The European respiratory journal","id":"ITEM-5","issue":"6","issued":{"date-parts":[["2022","12","1"]]},"publisher":"Eur Respir J","title":"Utility of whole genome sequencing in assessing risk and clinically relevant outcomes for pulmonary fibrosis","type":"article-journal","volume":"60"},"uris":["http://www.mendeley.com/documents/?uuid=f0aff755-49ef-3a91-a242-5681db5153eb"]}],"mendeley":{"formattedCitation":"(7,13,22,31,37)","plainTextFormattedCitation":"(7,13,22,31,37)","previouslyFormattedCitation":"(7,13,22,31,37)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(7,13,22,31,37)</w:t>
            </w:r>
            <w:r w:rsidRPr="006E42E0">
              <w:rPr>
                <w:rFonts w:ascii="Verdana" w:eastAsia="Times New Roman" w:hAnsi="Verdana" w:cs="Arial"/>
                <w:color w:val="000000"/>
                <w:sz w:val="16"/>
                <w:szCs w:val="20"/>
                <w:lang w:val="nl-NL" w:eastAsia="nl-NL"/>
              </w:rPr>
              <w:fldChar w:fldCharType="end"/>
            </w:r>
          </w:p>
        </w:tc>
      </w:tr>
      <w:tr w:rsidR="005C5BE9" w:rsidRPr="006E42E0" w14:paraId="3DD44321" w14:textId="77777777" w:rsidTr="00E02DA9">
        <w:tc>
          <w:tcPr>
            <w:tcW w:w="1098" w:type="dxa"/>
            <w:tcBorders>
              <w:top w:val="nil"/>
              <w:left w:val="single" w:sz="4" w:space="0" w:color="auto"/>
              <w:bottom w:val="nil"/>
              <w:right w:val="nil"/>
            </w:tcBorders>
            <w:shd w:val="clear" w:color="000000" w:fill="DDEBF7"/>
            <w:noWrap/>
            <w:vAlign w:val="bottom"/>
            <w:hideMark/>
          </w:tcPr>
          <w:p w14:paraId="53D6474B"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5E79EBA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c.2011C&gt;T</w:t>
            </w:r>
          </w:p>
        </w:tc>
        <w:tc>
          <w:tcPr>
            <w:tcW w:w="1701" w:type="dxa"/>
            <w:tcBorders>
              <w:top w:val="nil"/>
              <w:left w:val="nil"/>
              <w:bottom w:val="nil"/>
              <w:right w:val="nil"/>
            </w:tcBorders>
            <w:shd w:val="clear" w:color="000000" w:fill="DDEBF7"/>
            <w:noWrap/>
            <w:vAlign w:val="bottom"/>
            <w:hideMark/>
          </w:tcPr>
          <w:p w14:paraId="0653271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3F10402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p.(Arg671Trp)</w:t>
            </w:r>
          </w:p>
        </w:tc>
        <w:tc>
          <w:tcPr>
            <w:tcW w:w="940" w:type="dxa"/>
            <w:tcBorders>
              <w:top w:val="nil"/>
              <w:left w:val="nil"/>
              <w:bottom w:val="nil"/>
              <w:right w:val="nil"/>
            </w:tcBorders>
            <w:shd w:val="clear" w:color="000000" w:fill="DDEBF7"/>
            <w:noWrap/>
            <w:vAlign w:val="bottom"/>
            <w:hideMark/>
          </w:tcPr>
          <w:p w14:paraId="6D79EFF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79F86BE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4A4FDF7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753CF01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{"citationItems":[{"id":"ITEM-1","itemData":{"DOI":"10.1371/journal.pone.0010680","ISSN":"1932-6203","author":[{"dropping-particle":"","family":"Diaz de Leon","given":"Alberto","non-dropping-particle":"","parse-names":false,"suffix":""},{"dropping-particle":"","family":"Cronkhite","given":"Jennifer T.","non-dropping-particle":"","parse-names":false,"suffix":""},{"dropping-particle":"","family":"Katzenstein","given":"Anna-Luise A.","non-dropping-particle":"","parse-names":false,"suffix":""},{"dropping-particle":"","family":"Godwin","given":"J. David","non-dropping-particle":"","parse-names":false,"suffix":""},{"dropping-particle":"","family":"Raghu","given":"Ganesh","non-dropping-particle":"","parse-names":false,"suffix":""},{"dropping-particle":"","family":"Glazer","given":"Craig S.","non-dropping-particle":"","parse-names":false,"suffix":""},{"dropping-particle":"","family":"Rosenblatt","given":"Randall L.","non-dropping-particle":"","parse-names":false,"suffix":""},{"dropping-particle":"","family":"Girod","given":"Carlos E.","non-dropping-particle":"","parse-names":false,"suffix":""},{"dropping-particle":"","family":"Garrity","given":"Edward R.","non-dropping-particle":"","parse-names":false,"suffix":""},{"dropping-particle":"","family":"Xing","given":"Chao","non-dropping-particle":"","parse-names":false,"suffix":""},{"dropping-particle":"","family":"Garcia","given":"Christine Kim","non-dropping-particle":"","parse-names":false,"suffix":""}],"container-title":"PLoS ONE","editor":[{"dropping-particle":"","family":"Morty","given":"Rory Edward","non-dropping-particle":"","parse-names":false,"suffix":""}],"id":"ITEM-1","issue":"5","issued":{"date-parts":[["2010","5","19"]]},"page":"e10680","title":"Telomere Lengths, Pulmonary Fibrosis and Telomerase (TERT) Mutations","type":"article-journal","volume":"5"},"uris":["http://www.mendeley.com/documents/?uuid=6899afe7-cc2c-317e-a557-348c336cbf25"]},{"id":"ITEM-2","itemData":{"DOI":"10.1371/journal.pone.0189467","ISSN":"19326203","abstract":"© 2017 Snetselaar et al. This is an open access article distributed under the terms of the Creative Commons Attribution License, which permits unrestricted use, distribution, and reproduction in any medium, provided the original author and source are credited. Telomere maintenance dysfunction has been implicated in the pathogenesis of Idiopathic Pulmonary Fibrosis (IPF). However, the mechanism of how telomere length is related to fibrosis in the lungs is unknown. Surgical lung biopsies of IPF patients typically show a heterogeneous pattern of non-fibrotic and fibrotic areas. Therefore, telomere length (TL) in both lung areas of patients with IPF and familial interstitial pneumonia was compared, specifically in alveolar type 2 (AT2) cells. Fluorescent in situ hybridization was used to determine TL in non-fibrotic and fibrotic areas of 35 subjects. Monochrome multiplex quantitative polymerase chain reaction (MMqPCR) was used for 51 whole lung biopsies and blood TL measurements. For sporadic IPF subjects, AT2 cell TL in non-fibrotic areas was 56% longer than in fibrotic areas. No such difference was observed in the surrounding lung cells. In subjects carrying a telomerase reverse transcriptase (TERT) mutation, AT2 cell TL was significantly shorter than in sporadic subjects. However, no difference in surrounding cell TL was observed between these subject groups. Finally, using biopsy MMqPCR TL measurements, it was determined that IPF subjects with shortest lung TL had a significantly worse survival than patients with long TL. This study shows that shortening of telomeres critically affects AT2 cells in fibrotic areas, implying TL as a cause of fibrogenesis. Furthermore, short lung telomere length is associated with decreased survival.","author":[{"dropping-particle":"","family":"Snetselaar","given":"R.","non-dropping-particle":"","parse-names":false,"suffix":""},{"dropping-particle":"","family":"Batenburg","given":"A.A.","non-dropping-particle":"van","parse-names":false,"suffix":""},{"dropping-particle":"","family":"Oosterhout","given":"M.F.M.","non-dropping-particle":"Van","parse-names":false,"suffix":""},{"dropping-particle":"","family":"Kazemier","given":"K.M.","non-dropping-particle":"","parse-names":false,"suffix":""},{"dropping-particle":"","family":"Roothaan","given":"S.M.","non-dropping-particle":"","parse-names":false,"suffix":""},{"dropping-particle":"","family":"Peeters","given":"T.","non-dropping-particle":"","parse-names":false,"suffix":""},{"dropping-particle":"","family":"Vis","given":"J.J.","non-dropping-particle":"van der","parse-names":false,"suffix":""},{"dropping-particle":"","family":"Goldschmeding","given":"R.","non-dropping-particle":"","parse-names":false,"suffix":""},{"dropping-particle":"","family":"Grutters","given":"J.C.","non-dropping-particle":"","parse-names":false,"suffix":""},{"dropping-particle":"","family":"Moorsel","given":"C.H.M.","non-dropping-particle":"Van","parse-names":false,"suffix":""}],"container-title":"PLoS ONE","id":"ITEM-2","issue":"12","issued":{"date-parts":[["2017"]]},"title":"Short telomere length in IPF lung associates with fibrotic lesions and predicts survival","type":"article-journal","volume":"12"},"uris":["http://www.mendeley.com/documents/?uuid=32e905c8-0dc8-32b1-8fcb-d58cd04841a4"]},{"id":"ITEM-3","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journal","id":"ITEM-3","issue":"2","issued":{"date-parts":[["2021","2","1"]]},"publisher":"Eur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mutation","type":"article-journal","volume":"57"},"uris":["http://www.mendeley.com/documents/?uuid=449872d5-b359-3355-8d25-fe681381e043"]},{"id":"ITEM-4","itemData":{"DOI":"10.1016/J.CCELL.2023.03.005","ISSN":"1878-3686","PMID":"37037617","abstract":"Patients with short telomere syndromes (STS) are predisposed to developing cancer, believed to stem from chromosome instability in neoplastic cells. We tested this hypothesis in a large cohort assembled over the last 20 years. We found patients with STS are only predisposed to squamous cell carcinoma of the head and neck, anus, or skin, a spectrum reminiscent of cancers seen in patients with immunodeficiency. Whole-genome sequencing showed no increase in chromosome instability, such as translocations or chromothripsis. Moreover, STS-associated cancers acquired telomere maintenance mechanisms, including telomerase reverse transcriptase (TERT) promoter mutations. A detailed study of the immune status of patients with STS revealed a striking T cell immunodeficiency at the time of cancer diagnosis. A similar immunodeficiency that impaired tumor surveillance was documented in mice with short telomeres. We conclude that STS patients’ predisposition to solid cancers is due to T cell exhaustion rather than autonomous defects in the neoplastic cells themselves.","author":[{"dropping-particle":"","family":"Schratz","given":"Kristen E.","non-dropping-particle":"","parse-names":false,"suffix":""},{"dropping-particle":"","family":"Flasch","given":"Diane A.","non-dropping-particle":"","parse-names":false,"suffix":""},{"dropping-particle":"","family":"Atik","given":"Christine C.","non-dropping-particle":"","parse-names":false,"suffix":""},{"dropping-particle":"","family":"Cosner","given":"Zoe L.","non-dropping-particle":"","parse-names":false,"suffix":""},{"dropping-particle":"","family":"Blackford","given":"Amanda L.","non-dropping-particle":"","parse-names":false,"suffix":""},{"dropping-particle":"","family":"Yang","given":"Wentao","non-dropping-particle":"","parse-names":false,"suffix":""},{"dropping-particle":"","family":"Gable","given":"Dustin L.","non-dropping-particle":"","parse-names":false,"suffix":""},{"dropping-particle":"","family":"Vellanki","given":"Paz J.","non-dropping-particle":"","parse-names":false,"suffix":""},{"dropping-particle":"","family":"Xiang","given":"Zhimin","non-dropping-particle":"","parse-names":false,"suffix":""},{"dropping-particle":"","family":"Gaysinskaya","given":"Valeriya","non-dropping-particle":"","parse-names":false,"suffix":""},{"dropping-particle":"","family":"Vonderheide","given":"Robert H.","non-dropping-particle":"","parse-names":false,"suffix":""},{"dropping-particle":"","family":"Rooper","given":"Lisa M.","non-dropping-particle":"","parse-names":false,"suffix":""},{"dropping-particle":"","family":"Zhang","given":"Jinghui","non-dropping-particle":"","parse-names":false,"suffix":""},{"dropping-particle":"","family":"Armanios","given":"Mary","non-dropping-particle":"","parse-names":false,"suffix":""}],"container-title":"Cancer cell","id":"ITEM-4","issue":"4","issued":{"date-parts":[["2023","4","10"]]},"page":"807-817.e6","publisher":"Cancer Cell","title":"T cell immune deficiency rather than chromosome instability predisposes patients with short telomere syndromes to squamous cancers","type":"article-journal","volume":"41"},"uris":["http://www.mendeley.com/documents/?uuid=6d9b586b-ade3-30e3-b9a0-e57e1c86a0aa"]},{"id":"ITEM-5","itemData":{"DOI":"10.1183/13993003.00308-2016","ISSN":"13993003","PMID":"27540018","abstract":"Heterozygous mutations in four telomere-related genes have been linked to pulmonary fibrosis, but little is known about similarities or differences of affected individuals. 115 patients with mutations in telomerase reverse transcriptase ( TERT ) (n=75), telomerase RNA component ( TERC ) (n=7), regulator of telomere elongation helicase 1 ( RTEL1 ) (n=14) and poly(A)-specific ribonuclease ( PARN ) (n=19) were identified and clinical data were analysed. Approximately one-half (46%) had a multidisciplinary diagnosis of idiopathic pulmonary fibrosis (IPF); others had unclassifiable lung fibrosis (20%), chronic hypersensitivity pneumonitis (12%), pleuroparenchymal fibroelastosis (10%), interstitial pneumonia with autoimmune features (7%), an idiopathic interstitial pneumonia (4%) and connective tissue disease-related interstitial fibrosis (3%). Discordant interstitial lung disease diagnoses were found in affected individuals from 80% of families. Patients with TERC mutations were diagnosed at an earlier age than those with PARN mutations (51±11 years versus 64±8 years; p=0.03) and had a higher incidence of haematological comorbidities. The mean rate of forced vital capacity decline was 300 mL·year −1 and the median time to death or transplant was 2.87 years. There was no significant difference in time to death or transplant for patients across gene mutation groups or for patients with a diagnosis of IPF versus a non-IPF diagnosis. Genetic mutations in telomere related genes lead to a variety of interstitial lung disease (ILD) diagnoses that are universally progressive.","author":[{"dropping-particle":"","family":"Newton","given":"Chad A.","non-dropping-particle":"","parse-names":false,"suffix":""},{"dropping-particle":"","family":"Batra","given":"Kiran","non-dropping-particle":"","parse-names":false,"suffix":""},{"dropping-particle":"","family":"Torrealba","given":"Jose","non-dropping-particle":"","parse-names":false,"suffix":""},{"dropping-particle":"","family":"Kozlitina","given":"Julia","non-dropping-particle":"","parse-names":false,"suffix":""},{"dropping-particle":"","family":"Glazer","given":"Craig S.","non-dropping-particle":"","parse-names":false,"suffix":""},{"dropping-particle":"","family":"Aravena","given":"Carlos","non-dropping-particle":"","parse-names":false,"suffix":""},{"dropping-particle":"","family":"Meyer","given":"Keith","non-dropping-particle":"","parse-names":false,"suffix":""},{"dropping-particle":"","family":"Raghu","given":"Ganesh","non-dropping-particle":"","parse-names":false,"suffix":""},{"dropping-particle":"","family":"Collard","given":"Harold R.","non-dropping-particle":"","parse-names":false,"suffix":""},{"dropping-particle":"","family":"Garcia","given":"Christine Kim","non-dropping-particle":"","parse-names":false,"suffix":""}],"container-title":"European Respiratory Journal","id":"ITEM-5","issue":"6","issued":{"date-parts":[["2016","12"]]},"page":"1710-1720","title":"Telomere-related lung fibrosis is diagnostically heterogeneous but uniformly progressive","type":"article-journal","volume":"48"},"uris":["http://www.mendeley.com/documents/?uuid=bf2b8e8b-0812-4459-8548-56b85d585a32"]},{"id":"ITEM-6","itemData":{"DOI":"10.1159/000520657","ISSN":"1423-0356","PMID":"35078193","abstract":"Background: Monogenic and polygenic inheritances are evidenced for idiopathic pulmonary fibrosis (IPF). Pathogenic variations in surfactant protein-related genes, telomere-related genes (TRGs), and a single-nucleotide polymorphism in the promoter of MUC5B gene encoding mucin 5B (rs35705950 T risk allele) are reported. This French-Greek collaborative study, Gen-Phen-Re-GreekS in inheritable IPF (iIPF), aimed to investigate genetic components and patients' characteristics in the Greek national IPF cohort with suspected heritability. Patients and Methods: 150 patients with familial PF, personal-family extrapulmonary disease suggesting short telomere syndrome, and/or young age IPF were analyzed. Results: MUC5B rs35705950 T risk allele was detected in 103 patients (90 heterozygous, 13 homozygous, allelic frequency of 39%), monoallelic TRG pathogenic variations in 19 patients (8 TERT, 5 TERC, 2 RTEL1, 2 PARN, 1 NOP10, and 1 NHP2), and biallelic ABCA3 pathogenic variations in 3. Overlapping MUC5B rs35705950 T risk allele and TRG pathogenic variations were shown in 11 patients (5 TERT, 3 TERC, 1 PARN, 1 NOP10, and 1 NHP2), MUC5B rs35705950 T risk allele, and biallelic ABCA3 pathogenic variations in 2. In 38 patients, neither MUC5B rs35705950 T risk allele nor TRG pathogenic variations were detectable. Kaplan-Meier curves showed differences in time-to-death (p = 0.025) where patients with MUC5B rs35705950 T risk allele alone or in combination with TRG pathogenic variations presented better prognosis. Conclusion: The Gen-Phen-Re-GreekS in iIPF identified multiple and overlapping genetic components including the rarest, underlying disease's genetic \"richesse,\"complexity and heterogeneity. Time-to-death differences may relate to diverse IPF pathogenetic mechanisms implicating \"personalized\"medical care driven by genotypes in the near future.","author":[{"dropping-particle":"","family":"Manali","given":"Effrosyni D.","non-dropping-particle":"","parse-names":false,"suffix":""},{"dropping-particle":"","family":"Kannengiesser","given":"Caroline","non-dropping-particle":"","parse-names":false,"suffix":""},{"dropping-particle":"","family":"Borie","given":"Raphael","non-dropping-particle":"","parse-names":false,"suffix":""},{"dropping-particle":"","family":"Ba","given":"Ibrahima","non-dropping-particle":"","parse-names":false,"suffix":""},{"dropping-particle":"","family":"Bouros","given":"Demosthenes","non-dropping-particle":"","parse-names":false,"suffix":""},{"dropping-particle":"","family":"Markopoulou","given":"Aikaterini","non-dropping-particle":"","parse-names":false,"suffix":""},{"dropping-particle":"","family":"Antoniou","given":"Katerina","non-dropping-particle":"","parse-names":false,"suffix":""},{"dropping-particle":"","family":"Kolilekas","given":"Lykourgos","non-dropping-particle":"","parse-names":false,"suffix":""},{"dropping-particle":"","family":"Papaioannou","given":"Andriana I.","non-dropping-particle":"","parse-names":false,"suffix":""},{"dropping-particle":"","family":"Tzilas","given":"Vasileios","non-dropping-particle":"","parse-names":false,"suffix":""},{"dropping-particle":"","family":"Tzouvelekis","given":"Argyrios","non-dropping-particle":"","parse-names":false,"suffix":""},{"dropping-particle":"","family":"Daniil","given":"Zoe","non-dropping-particle":"","parse-names":false,"suffix":""},{"dropping-particle":"","family":"Fouka","given":"Evangelia","non-dropping-particle":"","parse-names":false,"suffix":""},{"dropping-particle":"","family":"Papakosta","given":"Despoina","non-dropping-particle":"","parse-names":false,"suffix":""},{"dropping-particle":"","family":"Xyfteri","given":"Areti","non-dropping-particle":"","parse-names":false,"suffix":""},{"dropping-particle":"","family":"Karakatsani","given":"Anna","non-dropping-particle":"","parse-names":false,"suffix":""},{"dropping-particle":"","family":"Loukides","given":"Stylianos","non-dropping-particle":"","parse-names":false,"suffix":""},{"dropping-particle":"","family":"Korbila","given":"Ioanna","non-dropping-particle":"","parse-names":false,"suffix":""},{"dropping-particle":"","family":"Tomos","given":"Ioannis P.","non-dropping-particle":"","parse-names":false,"suffix":""},{"dropping-particle":"","family":"Konstantinidis","given":"Athanasios K.","non-dropping-particle":"","parse-names":false,"suffix":""},{"dropping-particle":"","family":"Gogali","given":"Athina","non-dropping-particle":"","parse-names":false,"suffix":""},{"dropping-particle":"","family":"Steiropoulos","given":"Paschalis","non-dropping-particle":"","parse-names":false,"suffix":""},{"dropping-particle":"","family":"Papanikolaou","given":"Ilias C.","non-dropping-particle":"","parse-names":false,"suffix":""},{"dropping-particle":"","family":"Bazaka","given":"Chrysa","non-dropping-particle":"","parse-names":false,"suffix":""},{"dropping-particle":"","family":"Haritou","given":"Aggeliki","non-dropping-particle":"","parse-names":false,"suffix":""},{"dropping-particle":"","family":"Vassilakopoulos","given":"Theodoros","non-dropping-particle":"","parse-names":false,"suffix":""},{"dropping-particle":"","family":"Maniati","given":"Maria","non-dropping-particle":"","parse-names":false,"suffix":""},{"dropping-particle":"","family":"Kagouridis","given":"Konstantinos","non-dropping-particle":"","parse-names":false,"suffix":""},{"dropping-particle":"","family":"Markozannes","given":"Evangelos","non-dropping-particle":"","parse-names":false,"suffix":""},{"dropping-particle":"","family":"Bouros","given":"Evangelos","non-dropping-particle":"","parse-names":false,"suffix":""},{"dropping-particle":"","family":"Rampiadou","given":"Christina","non-dropping-particle":"","parse-names":false,"suffix":""},{"dropping-particle":"","family":"Kounti","given":"Georgia","non-dropping-particle":"","parse-names":false,"suffix":""},{"dropping-particle":"","family":"Trachalaki","given":"Athina","non-dropping-particle":"","parse-names":false,"suffix":""},{"dropping-particle":"","family":"Dimeas","given":"Ilias","non-dropping-particle":"","parse-names":false,"suffix":""},{"dropping-particle":"","family":"Karampitsakos","given":"Theodoros","non-dropping-particle":"","parse-names":false,"suffix":""},{"dropping-particle":"","family":"Lyberopoulos","given":"Panagiotis","non-dropping-particle":"","parse-names":false,"suffix":""},{"dropping-particle":"","family":"Malamadakis","given":"Nikolaos","non-dropping-particle":"","parse-names":false,"suffix":""},{"dropping-particle":"","family":"Spyropoulou","given":"Sofia","non-dropping-particle":"","parse-names":false,"suffix":""},{"dropping-particle":"","family":"Revy","given":"Patrick","non-dropping-particle":"","parse-names":false,"suffix":""},{"dropping-particle":"","family":"Lainey","given":"Elodie","non-dropping-particle":"","parse-names":false,"suffix":""},{"dropping-particle":"","family":"Dieudé","given":"Philippe","non-dropping-particle":"","parse-names":false,"suffix":""},{"dropping-particle":"","family":"Rebah","given":"Khedidja","non-dropping-particle":"","parse-names":false,"suffix":""},{"dropping-particle":"","family":"Ménard","given":"Christelle","non-dropping-particle":"","parse-names":false,"suffix":""},{"dropping-particle":"","family":"Oudin","given":"Claire","non-dropping-particle":"","parse-names":false,"suffix":""},{"dropping-particle":"","family":"Masson","given":"Cécile","non-dropping-particle":"","parse-names":false,"suffix":""},{"dropping-particle":"","family":"Plessier","given":"Aurélie","non-dropping-particle":"","parse-names":false,"suffix":""},{"dropping-particle":"","family":"Legendre","given":"Marie","non-dropping-particle":"","parse-names":false,"suffix":""},{"dropping-particle":"","family":"Nathan","given":"Nadia","non-dropping-particle":"","parse-names":false,"suffix":""},{"dropping-particle":"","family":"Coulomb-L'hermine","given":"Aurore","non-dropping-particle":"","parse-names":false,"suffix":""},{"dropping-particle":"","family":"Clement","given":"Annick","non-dropping-particle":"","parse-names":false,"suffix":""},{"dropping-particle":"","family":"Amselem","given":"Serge","non-dropping-particle":"","parse-names":false,"suffix":""},{"dropping-particle":"","family":"Boileau","given":"Catherine","non-dropping-particle":"","parse-names":false,"suffix":""},{"dropping-particle":"","family":"Crestani","given":"Bruno","non-dropping-particle":"","parse-names":false,"suffix":""},{"dropping-particle":"","family":"Papiris","given":"Spyros","non-dropping-particle":"","parse-names":false,"suffix":""}],"container-title":"Respiration; international review of thoracic diseases","id":"ITEM-6","issue":"6","issued":{"date-parts":[["2022","6","1"]]},"page":"531-543","publisher":"Respiration","title":"Genotype-Phenotype Relationships in Inheritable Idiopathic Pulmonary Fibrosis: A Greek National Cohort Study","type":"article-journal","volume":"101"},"uris":["http://www.mendeley.com/documents/?uuid=12c35f12-d64d-3639-8ec4-6ac64ce92326"]},{"id":"ITEM-7","itemData":{"DOI":"10.1111/BJH.19767","ISSN":"1365-2141","PMID":"39279213","abstract":"Data on haematological features of telomere biology disorders (TBD) remain scarce. We describe haematological, extra-haematological characteristics and prognosis of 127 genetically confirmed TBD patients diagnosed after the age of 15. Ninety-three index cases and 34 affected relatives were included. At diagnosis of TBD, 76.3% of index cases had haematological features, half pulmonary features and a third liver features. At diagnosis, bone marrow failure (BMF) was present in 59 (46.5%), myelodysplastic syndrome (MDS) in 22 (17.3%) and acute myeloid leukaemia (AML) in 2 (1.6%) while 13 (10.2%) developed or worsened bone marrow involvement during follow-up. At diagnosis, compared to MDS/AML patients, BMF patients were younger (median 23.1 years vs. 43.8, p = 0.007), and had a better outcome (4-year overall survival 76.3% vs. 31.8%, p &lt; 0.001). While frequencies and burden of cytogenetical and somatic mutations increased significantly in myeloid malignancies, some abnormalities were also observed in patients with normal blood counts and BMF, notably somatic spliceosome variants. Solid cancers developed in 8.7% patients, mainly human papillomavirus-related cancers and hepatocellular carcinomas. TBD is a multiorgan progressive disease. While BMF is the main haematological disorder, high-risk myeloid malignancies are common, and are, together with age, the only factors associated with a worse outcome.","author":[{"dropping-particle":"","family":"Maillet","given":"François","non-dropping-particle":"","parse-names":false,"suffix":""},{"dropping-particle":"","family":"Galimard","given":"Jacques Emmanuel","non-dropping-particle":"","parse-names":false,"suffix":""},{"dropping-particle":"","family":"Borie","given":"Raphaël","non-dropping-particle":"","parse-names":false,"suffix":""},{"dropping-particle":"","family":"Lainey","given":"Elodie","non-dropping-particle":"","parse-names":false,"suffix":""},{"dropping-particle":"","family":"Larcher","given":"Lise","non-dropping-particle":"","parse-names":false,"suffix":""},{"dropping-particle":"","family":"Passet","given":"Marie","non-dropping-particle":"","parse-names":false,"suffix":""},{"dropping-particle":"","family":"Plessier","given":"Aurélie","non-dropping-particle":"","parse-names":false,"suffix":""},{"dropping-particle":"","family":"Leblanc","given":"Thierry","non-dropping-particle":"","parse-names":false,"suffix":""},{"dropping-particle":"","family":"Terriou","given":"Louis","non-dropping-particle":"","parse-names":false,"suffix":""},{"dropping-particle":"","family":"Lebon","given":"Delphine","non-dropping-particle":"","parse-names":false,"suffix":""},{"dropping-particle":"","family":"Alcazer","given":"Vincent","non-dropping-particle":"","parse-names":false,"suffix":""},{"dropping-particle":"","family":"Cathebras","given":"Pascal","non-dropping-particle":"","parse-names":false,"suffix":""},{"dropping-particle":"","family":"Loschi","given":"Michael","non-dropping-particle":"","parse-names":false,"suffix":""},{"dropping-particle":"","family":"Wadih","given":"Abou Chahla","non-dropping-particle":"","parse-names":false,"suffix":""},{"dropping-particle":"","family":"Marcais","given":"Ambroise","non-dropping-particle":"","parse-names":false,"suffix":""},{"dropping-particle":"","family":"Marceau-Renaut","given":"Alice","non-dropping-particle":"","parse-names":false,"suffix":""},{"dropping-particle":"","family":"Couque","given":"Nathalie","non-dropping-particle":"","parse-names":false,"suffix":""},{"dropping-particle":"","family":"Lioure","given":"Bruno","non-dropping-particle":"","parse-names":false,"suffix":""},{"dropping-particle":"","family":"Soulier","given":"Jean","non-dropping-particle":"","parse-names":false,"suffix":""},{"dropping-particle":"","family":"Ba","given":"Ibrahima","non-dropping-particle":"","parse-names":false,"suffix":""},{"dropping-particle":"","family":"Socié","given":"Gérard","non-dropping-particle":"","parse-names":false,"suffix":""},{"dropping-particle":"","family":"Peffault de Latour","given":"Regis","non-dropping-particle":"","parse-names":false,"suffix":""},{"dropping-particle":"","family":"Kannengiesser","given":"Caroline","non-dropping-particle":"","parse-names":false,"suffix":""},{"dropping-particle":"","family":"Sicre de Fontbrune","given":"Flore","non-dropping-particle":"","parse-names":false,"suffix":""}],"container-title":"British journal of haematology","id":"ITEM-7","issue":"5","issued":{"date-parts":[["2024","11","1"]]},"publisher":"Br J Haematol","title":"Haematological features of telomere biology disorders diagnosed in adulthood: A French nationwide study of 127 patients","type":"article-journal","volume":"205"},"uris":["http://www.mendeley.com/documents/?uuid=ae6a0309-4669-3030-92d5-eda9c5c94c12"]}],"mendeley":{"formattedCitation":"(7,16,35,37–40)","plainTextFormattedCitation":"(7,16,35,37–40)","previouslyFormattedCitation":"(7,16,35,37–40)"},"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(7,16,35,37–40)</w:t>
            </w:r>
            <w:r w:rsidRPr="006E42E0">
              <w:rPr>
                <w:rFonts w:ascii="Verdana" w:eastAsia="Times New Roman" w:hAnsi="Verdana" w:cs="Arial"/>
                <w:color w:val="000000"/>
                <w:sz w:val="16"/>
                <w:szCs w:val="20"/>
                <w:lang w:val="nl-NL" w:eastAsia="nl-NL"/>
              </w:rPr>
              <w:fldChar w:fldCharType="end"/>
            </w:r>
          </w:p>
        </w:tc>
      </w:tr>
      <w:tr w:rsidR="005C5BE9" w:rsidRPr="006E42E0" w14:paraId="7F9CCA8C" w14:textId="77777777" w:rsidTr="00E02DA9">
        <w:tc>
          <w:tcPr>
            <w:tcW w:w="1098" w:type="dxa"/>
            <w:tcBorders>
              <w:top w:val="nil"/>
              <w:left w:val="single" w:sz="4" w:space="0" w:color="auto"/>
              <w:bottom w:val="nil"/>
              <w:right w:val="nil"/>
            </w:tcBorders>
            <w:shd w:val="clear" w:color="auto" w:fill="auto"/>
            <w:noWrap/>
            <w:vAlign w:val="bottom"/>
            <w:hideMark/>
          </w:tcPr>
          <w:p w14:paraId="132024A1"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5329ED9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c.2032G&gt;A</w:t>
            </w:r>
          </w:p>
        </w:tc>
        <w:tc>
          <w:tcPr>
            <w:tcW w:w="1701" w:type="dxa"/>
            <w:tcBorders>
              <w:top w:val="nil"/>
              <w:left w:val="nil"/>
              <w:bottom w:val="nil"/>
              <w:right w:val="nil"/>
            </w:tcBorders>
            <w:shd w:val="clear" w:color="auto" w:fill="auto"/>
            <w:noWrap/>
            <w:vAlign w:val="bottom"/>
            <w:hideMark/>
          </w:tcPr>
          <w:p w14:paraId="0A8C56B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44E70E9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p.(Ala678Thr)</w:t>
            </w:r>
          </w:p>
        </w:tc>
        <w:tc>
          <w:tcPr>
            <w:tcW w:w="940" w:type="dxa"/>
            <w:tcBorders>
              <w:top w:val="nil"/>
              <w:left w:val="nil"/>
              <w:bottom w:val="nil"/>
              <w:right w:val="nil"/>
            </w:tcBorders>
            <w:shd w:val="clear" w:color="auto" w:fill="auto"/>
            <w:noWrap/>
            <w:vAlign w:val="bottom"/>
            <w:hideMark/>
          </w:tcPr>
          <w:p w14:paraId="6F283AA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755E290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3858B2C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auto" w:fill="auto"/>
            <w:noWrap/>
            <w:vAlign w:val="bottom"/>
            <w:hideMark/>
          </w:tcPr>
          <w:p w14:paraId="3DD06AC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1B373475" w14:textId="77777777" w:rsidTr="00E02DA9">
        <w:tc>
          <w:tcPr>
            <w:tcW w:w="1098" w:type="dxa"/>
            <w:tcBorders>
              <w:top w:val="nil"/>
              <w:left w:val="single" w:sz="4" w:space="0" w:color="auto"/>
              <w:bottom w:val="nil"/>
              <w:right w:val="nil"/>
            </w:tcBorders>
            <w:shd w:val="clear" w:color="000000" w:fill="DDEBF7"/>
            <w:noWrap/>
            <w:vAlign w:val="bottom"/>
            <w:hideMark/>
          </w:tcPr>
          <w:p w14:paraId="3D136BE6"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2D1F26F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c.2146G&gt;A</w:t>
            </w:r>
          </w:p>
        </w:tc>
        <w:tc>
          <w:tcPr>
            <w:tcW w:w="1701" w:type="dxa"/>
            <w:tcBorders>
              <w:top w:val="nil"/>
              <w:left w:val="nil"/>
              <w:bottom w:val="nil"/>
              <w:right w:val="nil"/>
            </w:tcBorders>
            <w:shd w:val="clear" w:color="000000" w:fill="DDEBF7"/>
            <w:noWrap/>
            <w:vAlign w:val="bottom"/>
            <w:hideMark/>
          </w:tcPr>
          <w:p w14:paraId="1F2634A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17BEFEF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p.(Ala716Thr)</w:t>
            </w:r>
          </w:p>
        </w:tc>
        <w:tc>
          <w:tcPr>
            <w:tcW w:w="940" w:type="dxa"/>
            <w:tcBorders>
              <w:top w:val="nil"/>
              <w:left w:val="nil"/>
              <w:bottom w:val="nil"/>
              <w:right w:val="nil"/>
            </w:tcBorders>
            <w:shd w:val="clear" w:color="000000" w:fill="DDEBF7"/>
            <w:noWrap/>
            <w:vAlign w:val="bottom"/>
            <w:hideMark/>
          </w:tcPr>
          <w:p w14:paraId="15479C0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000000" w:fill="DDEBF7"/>
            <w:noWrap/>
            <w:vAlign w:val="bottom"/>
            <w:hideMark/>
          </w:tcPr>
          <w:p w14:paraId="773973A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217004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77733EA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{"citationItems":[{"id":"ITEM-1","itemData":{"DOI":"10.1183/13993003.02115-2015","ISSN":"13993003","abstract":"Telomerase reverse transcriptase ( TERT ) or telomerase RNA ( TERC ) gene mutation is a major monogenic cause of pulmonary fibrosis. Sequencing of TERT / TERC genes is proposed to patients with familial pulmonary fibrosis. Little is known about the possible predictors of this mutation and its impact on prognosis. We retrospectively analysed all the genetic diagnoses made between 2007–2014 in patients with pulmonary fibrosis. We evaluated the prevalence of TERT / TERC disease-associated variant (DAV), factors associated with a DAV, and the impact of the DAV on survival. 237 patients with pulmonary fibrosis (153 with familial pulmonary fibrosis, 84 with telomere syndrome features without familial pulmonary fibrosis) were tested for TERT / TERC DAV. DAV was diagnosed in 40 patients (16.8%), including five with non-idiopathic interstitial pneumonia. Prevalence of TERT / TERC DAV did not significantly differ between patients with familial pulmonary fibrosis or with only telomere syndrome features (18.2% versus 16.4%). Young age, red blood cell macrocytosis, and low platelet count were associated with the presence of DAV; the probability of DAV was increased for patients 40–60 years. Transplant-free survival was lower with than without TERT / TERC DAV (4.2 versus 7.2 years; p=0.046). TERT / TERC DAV were associated with specific clinical and biological features and reduced transplant-free survival.","author":[{"dropping-particle":"","family":"Borie","given":"Raphael","non-dropping-particle":"","parse-names":false,"suffix":""},{"dropping-particle":"","family":"Tabèze","given":"Laure","non-dropping-particle":"","parse-names":false,"suffix":""},{"dropping-particle":"","family":"Thabut","given":"Gabriel","non-dropping-particle":"","parse-names":false,"suffix":""},{"dropping-particle":"","family":"Nunes","given":"Hilario","non-dropping-particle":"","parse-names":false,"suffix":""},{"dropping-particle":"","family":"Cottin","given":"Vincent","non-dropping-particle":"","parse-names":false,"suffix":""},{"dropping-particle":"","family":"Marchand-Adam","given":"Sylvain","non-dropping-particle":"","parse-names":false,"suffix":""},{"dropping-particle":"","family":"Prevot","given":"Grégoire","non-dropping-particle":"","parse-names":false,"suffix":""},{"dropping-particle":"","family":"Tazi","given":"Abdellatif","non-dropping-particle":"","parse-names":false,"suffix":""},{"dropping-particle":"","family":"Cadranel","given":"Jacques","non-dropping-particle":"","parse-names":false,"suffix":""},{"dropping-particle":"","family":"Mal","given":"Herve","non-dropping-particle":"","parse-names":false,"suffix":""},{"dropping-particle":"","family":"Lidwine","given":"Wemeau Stervinou","non-dropping-particle":"","parse-names":false,"suffix":""},{"dropping-particle":"","family":"Lafaurie","given":"Anne Bergeron","non-dropping-particle":"","parse-names":false,"suffix":""},{"dropping-particle":"","family":"Israel-Biet","given":"Dominique","non-dropping-particle":"","parse-names":false,"suffix":""},{"dropping-particle":"","family":"Picard","given":"Clement","non-dropping-particle":"","parse-names":false,"suffix":""},{"dropping-particle":"","family":"Gaubert","given":"Martine Reynaud","non-dropping-particle":"","parse-names":false,"suffix":""},{"dropping-particle":"","family":"Jouneau","given":"Stephane","non-dropping-particle":"","parse-names":false,"suffix":""},{"dropping-particle":"","family":"Naccache","given":"Jean Marc","non-dropping-particle":"","parse-names":false,"suffix":""},{"dropping-particle":"","family":"Mankikian","given":"Julie","non-dropping-particle":"","parse-names":false,"suffix":""},{"dropping-particle":"","family":"Ménard","given":"Christelle","non-dropping-particle":"","parse-names":false,"suffix":""},{"dropping-particle":"","family":"Cordier","given":"Jean François","non-dropping-particle":"","parse-names":false,"suffix":""},{"dropping-particle":"","family":"Valeyre","given":"Dominique","non-dropping-particle":"","parse-names":false,"suffix":""},{"dropping-particle":"","family":"Reocreux","given":"Marion","non-dropping-particle":"","parse-names":false,"suffix":""},{"dropping-particle":"","family":"Grandchamp","given":"Bernard","non-dropping-particle":"","parse-names":false,"suffix":""},{"dropping-particle":"","family":"Revy","given":"Patrick","non-dropping-particle":"","parse-names":false,"suffix":""},{"dropping-particle":"","family":"Kannengiesser","given":"Caroline","non-dropping-particle":"","parse-names":false,"suffix":""},{"dropping-particle":"","family":"Crestani","given":"Bruno","non-dropping-particle":"","parse-names":false,"suffix":""}],"container-title":"European Respiratory Journal","id":"ITEM-1","issue":"6","issued":{"date-parts":[["2016"]]},"page":"1721-1731","title":"Prevalence and characteristics of TERT and TERC mutations in suspected genetic pulmonary fibrosis","type":"article-journal","volume":"48"},"uris":["http://www.mendeley.com/documents/?uuid=0b2ae990-b2f2-4320-956f-8ffdde4d14ef"]},{"id":"ITEM-2","itemData":{"DOI":"10.1371/journal.pone.0189467","ISSN":"19326203","abstract":"© 2017 Snetselaar et al. This is an open access article distributed under the terms of the Creative Commons Attribution License, which permits unrestricted use, distribution, and reproduction in any medium, provided the original author and source are credited. Telomere maintenance dysfunction has been implicated in the pathogenesis of Idiopathic Pulmonary Fibrosis (IPF). However, the mechanism of how telomere length is related to fibrosis in the lungs is unknown. Surgical lung biopsies of IPF patients typically show a heterogeneous pattern of non-fibrotic and fibrotic areas. Therefore, telomere length (TL) in both lung areas of patients with IPF and familial interstitial pneumonia was compared, specifically in alveolar type 2 (AT2) cells. Fluorescent in situ hybridization was used to determine TL in non-fibrotic and fibrotic areas of 35 subjects. Monochrome multiplex quantitative polymerase chain reaction (MMqPCR) was used for 51 whole lung biopsies and blood TL measurements. For sporadic IPF subjects, AT2 cell TL in non-fibrotic areas was 56% longer than in fibrotic areas. No such difference was observed in the surrounding lung cells. In subjects carrying a telomerase reverse transcriptase (TERT) mutation, AT2 cell TL was significantly shorter than in sporadic subjects. However, no difference in surrounding cell TL was observed between these subject groups. Finally, using biopsy MMqPCR TL measurements, it was determined that IPF subjects with shortest lung TL had a significantly worse survival than patients with long TL. This study shows that shortening of telomeres critically affects AT2 cells in fibrotic areas, implying TL as a cause of fibrogenesis. Furthermore, short lung telomere length is associated with decreased survival.","author":[{"dropping-particle":"","family":"Snetselaar","given":"R.","non-dropping-particle":"","parse-names":false,"suffix":""},{"dropping-particle":"","family":"Batenburg","given":"A.A.","non-dropping-particle":"van","parse-names":false,"suffix":""},{"dropping-particle":"","family":"Oosterhout","given":"M.F.M.","non-dropping-particle":"Van","parse-names":false,"suffix":""},{"dropping-particle":"","family":"Kazemier","given":"K.M.","non-dropping-particle":"","parse-names":false,"suffix":""},{"dropping-particle":"","family":"Roothaan","given":"S.M.","non-dropping-particle":"","parse-names":false,"suffix":""},{"dropping-particle":"","family":"Peeters","given":"T.","non-dropping-particle":"","parse-names":false,"suffix":""},{"dropping-particle":"","family":"Vis","given":"J.J.","non-dropping-particle":"van der","parse-names":false,"suffix":""},{"dropping-particle":"","family":"Goldschmeding","given":"R.","non-dropping-particle":"","parse-names":false,"suffix":""},{"dropping-particle":"","family":"Grutters","given":"J.C.","non-dropping-particle":"","parse-names":false,"suffix":""},{"dropping-particle":"","family":"Moorsel","given":"C.H.M.","non-dropping-particle":"Van","parse-names":false,"suffix":""}],"container-title":"PLoS ONE","id":"ITEM-2","issue":"12","issued":{"date-parts":[["2017"]]},"title":"Short telomere length in IPF lung associates with fibrotic lesions and predicts survival","type":"article-journal","volume":"12"},"uris":["http://www.mendeley.com/documents/?uuid=32e905c8-0dc8-32b1-8fcb-d58cd04841a4"]},{"id":"ITEM-3","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journal","id":"ITEM-3","issue":"2","issued":{"date-parts":[["2021","2","1"]]},"publisher":"Eur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mutation","type":"article-journal","volume":"57"},"uris":["http://www.mendeley.com/documents/?uuid=449872d5-b359-3355-8d25-fe681381e043"]},{"id":"ITEM-4","itemData":{"DOI":"10.1073/pnas.1504780112","ISSN":"10916490","PMID":"25840590","abstract":"Telomere syndromes have their most common manifestation in lung disease that is recognized as idiopathic pulmonary fibrosis and emphysema. In both conditions, there is loss of alveolar integrity, but the underlying mechanisms are not known. We tested the capacity of alveolar epithelial and stromal cells from mice with short telomeres to support alveolar organoid colony formation and found that type 2 alveolar epithelial cells (AEC2s), the stem cell-containing population, were limiting. When telomere dysfunction was induced in adult AEC2s by conditional deletion of the shelterin component telomeric repeat-binding factor 2, cells survived but remained dormant and showed all the hallmarks of cellular senescence. Telomere dysfunction in AEC2s triggered an immune response, and this was associated with AEC2-derived up-regulation of cytokine signaling pathways that are known to provoke inflammation in the lung. Mice uniformly died after challenge with bleomycin, underscoring an essential role for telomere function in AEC2s for alveolar repair. Our data show that alveoloar progenitor senescence is sufficient to recapitulate the regenerative defects, inflammatory responses, and susceptibility to injury that are characteristic of telomere-mediated lung disease. They suggest alveolar stem cell failure is a driver of telomere-mediated lung disease and that efforts to reverse it may be clinically beneficial.","author":[{"dropping-particle":"","family":"Aldera","given":"Jonathan K.","non-dropping-particle":"","parse-names":false,"suffix":""},{"dropping-particle":"","family":"Barkauskas","given":"Christina E.","non-dropping-particle":"","parse-names":false,"suffix":""},{"dropping-particle":"","family":"Limjunyawong","given":"Nathachit","non-dropping-particle":"","parse-names":false,"suffix":""},{"dropping-particle":"","family":"Stanley","given":"Susan E.","non-dropping-particle":"","parse-names":false,"suffix":""},{"dropping-particle":"","family":"Kembou","given":"Frant","non-dropping-particle":"","parse-names":false,"suffix":""},{"dropping-particle":"","family":"Tuder","given":"Rubin M.","non-dropping-particle":"","parse-names":false,"suffix":""},{"dropping-particle":"","family":"Hogan","given":"Brigid L.M.","non-dropping-particle":"","parse-names":false,"suffix":""},{"dropping-particle":"","family":"Mitzner","given":"Wayne","non-dropping-particle":"","parse-names":false,"suffix":""},{"dropping-particle":"","family":"Armanios","given":"Mary","non-dropping-particle":"","parse-names":false,"suffix":""}],"container-title":"Proceedings of the National Academy of Sciences of the United States of America","id":"ITEM-4","issue":"16","issued":{"date-parts":[["2015","4","21"]]},"page":"5099-5104","publisher":"National Academy of Sciences","title":"Telomere dysfunction causes alveolar stem cell failure","type":"article-journal","volume":"112"},"uris":["http://www.mendeley.com/documents/?uuid=88cc3049-5bce-36a1-9930-d6e58ff78595"]},{"id":"ITEM-5","itemData":{"DOI":"10.1016/S2213-2600(18)30135-8","ISSN":"2213-2619","PMID":"29891356","abstract":"Background: Idiopathic pulmonary fibrosis (IPF) risk has a strong genetic component. Studies have implicated variations at several loci, including TERT, surfactant genes, and a single nucleotide polymorphism at chr11p15 (rs35705950) in the intergenic region between TOLLIP and MUC5B. Patients with IPF who have risk alleles at rs35705950 have longer survival from the time of IPF diagnosis than do patients homozygous for the non-risk allele, whereas patients with shorter telomeres have shorter survival times. We aimed to assess whether rare protein-altering variants in genes regulating telomere length are enriched in patients with IPF homozygous for the non-risk alleles at rs35705950. Methods: Between Nov 1, 2014, and Nov 1, 2016, we assessed blood samples from patients aged 40 years or older and of European ancestry with sporadic IPF from three international phase 3 clinical trials (INSPIRE, CAPACITY, ASCEND), one phase 2 study (RIFF), and US-based observational studies (Vanderbilt Clinical Interstitial Lung Disease Registry and the UCSF Interstitial Lung Disease Clinic registry cohorts) at the Broad Institute (Cambridge, MA, USA) and Human Longevity (San Diego, CA, USA). We also assessed blood samples from non-IPF controls in several clinical trials. We did whole-genome sequencing to assess telomere length and identify rare protein-altering variants, stratified by rs35705950 genotype. We also assessed rare functional variation in TERT exons and compared telomere length and disease progression across genotypes. Findings: We assessed samples from 1510 patients with IPF and 1874 non-IPF controls. 30 (3%) of 1046 patients with an rs35705950 risk allele had a rare protein-altering variant in TERT compared with 34 (7%) of 464 non-risk allele carriers (odds ratio 0·40 [95% CI 0·24–0·66], p=0·00039). Subsequent analyses identified enrichment of rare protein-altering variants in PARN and RTEL1, and rare variation in TERC in patients with IPF compared with controls. We expanded our study population to provide a more accurate estimation of rare variant frequency in these four loci, and to calculate telomere length. The proportion of patients with at least one rare variant in TERT, PARN, TERC, or RTEL1 was higher in patients with IPF than in controls (149 [9%] of 1739 patients vs 205 [2%] of 8645 controls, p=2·44 × 10−8). Patients with IPF who had a variant in any of the four identified telomerase component genes had telomeres that were 3·69–16·10% shorter than pati…","author":[{"dropping-particle":"","family":"Dressen","given":"Amy","non-dropping-particle":"","parse-names":false,"suffix":""},{"dropping-particle":"","family":"Abbas","given":"Alexander R.","non-dropping-particle":"","parse-names":false,"suffix":""},{"dropping-particle":"","family":"Cabanski","given":"Christopher","non-dropping-particle":"","parse-names":false,"suffix":""},{"dropping-particle":"","family":"Reeder","given":"Janina","non-dropping-particle":"","parse-names":false,"suffix":""},{"dropping-particle":"","family":"Ramalingam","given":"Thirumalai R.","non-dropping-particle":"","parse-names":false,"suffix":""},{"dropping-particle":"","family":"Neighbors","given":"Margaret","non-dropping-particle":"","parse-names":false,"suffix":""},{"dropping-particle":"","family":"Bhangale","given":"Tushar R.","non-dropping-particle":"","parse-names":false,"suffix":""},{"dropping-particle":"","family":"Brauer","given":"Matthew J.","non-dropping-particle":"","parse-names":false,"suffix":""},{"dropping-particle":"","family":"Hunkapiller","given":"Julie","non-dropping-particle":"","parse-names":false,"suffix":""},{"dropping-particle":"","family":"Reeder","given":"Jens","non-dropping-particle":"","parse-names":false,"suffix":""},{"dropping-particle":"","family":"Mukhyala","given":"Kiran","non-dropping-particle":"","parse-names":false,"suffix":""},{"dropping-particle":"","family":"Cuenco","given":"Karen","non-dropping-particle":"","parse-names":false,"suffix":""},{"dropping-particle":"","family":"Tom","given":"Jennifer","non-dropping-particle":"","parse-names":false,"suffix":""},{"dropping-particle":"","family":"Cowgill","given":"Amy","non-dropping-particle":"","parse-names":false,"suffix":""},{"dropping-particle":"","family":"Vogel","given":"Jan","non-dropping-particle":"","parse-names":false,"suffix":""},{"dropping-particle":"","family":"Forrest","given":"William F.","non-dropping-particle":"","parse-names":false,"suffix":""},{"dropping-particle":"","family":"Collard","given":"Harold R.","non-dropping-particle":"","parse-names":false,"suffix":""},{"dropping-particle":"","family":"Wolters","given":"Paul J.","non-dropping-particle":"","parse-names":false,"suffix":""},{"dropping-particle":"","family":"Kropski","given":"Jonathan A.","non-dropping-particle":"","parse-names":false,"suffix":""},{"dropping-particle":"","family":"Lancaster","given":"Lisa H.","non-dropping-particle":"","parse-names":false,"suffix":""},{"dropping-particle":"","family":"Blackwell","given":"Timothy S.","non-dropping-particle":"","parse-names":false,"suffix":""},{"dropping-particle":"","family":"Arron","given":"Joseph R.","non-dropping-particle":"","parse-names":false,"suffix":""},{"dropping-particle":"","family":"Yaspan","given":"Brian L.","non-dropping-particle":"","parse-names":false,"suffix":""}],"container-title":"The Lancet. Respiratory medicine","id":"ITEM-5","issue":"8","issued":{"date-parts":[["2018","8","1"]]},"page":"603-614","publisher":"Lancet Respir Med","title":"Analysis of protein-altering variants in telomerase genes and their association with MUC5B common variant status in patients with idiopathic pulmonary fibrosis: a candidate gene sequencing study","type":"article-journal","volume":"6"},"uris":["http://www.mendeley.com/documents/?uuid=55704541-9ff7-341c-ae97-7c383b83fb44"]},{"id":"ITEM-6","itemData":{"DOI":"10.1164/RCCM.201902-0360OC","ISSN":"1535-4970","PMID":"31268371","abstract":"Rationale: Rare genetic variants in telomere-related genes have been identified in familial, idiopathic, and rheumatoid arthritis-associated pulmonary fibrosis. Short peripheral blood leukocyte (PBL) telomere length predicts poor outcomes in chronic hypersensitivity pneumonitis (CHP). Objectives: Determine the prevalence and clinical relevance of rare protein-altering variants in telomere-related genes in patients with CHP. Methods: Next-generation sequences from two CHP cohorts were analyzed to identify variants in TERT (telomerase reverse transcriptase),TERC(telomeraseRNAcomponent),DKC1(dyskerin pseudouridine synthase 1), RTEL1 (regulator of telomere elongation helicase 1), PARN (poly[A]-specific RNase), and TINF2 (TERF1- interacting nuclear factor 2). To qualify, variants were required to have a minor allele frequency less than 0.005 and be predicted to be damaging to protein function. Variant status (binary variable) was used in statistical association tests, including Cox proportional hazard models for transplant-free survival. PBL telomere length was measured using quantitative PCR. Measurements and Main Results: Qualifying variants were identified in 16 of 144 patients (11.1%; 95% confidence interval [CI], 6.5-17.4) in the discovery cohort and 17 of 209 patients (8.1%; 95% CI, 4.8-12.7) in the replication cohort. Age- and ancestry-adjusted PBL telomere length was significantly shorter in the presence of a variant in both cohorts (discovery: 2561 bp; 95% CI, 2933 to 2190; P = 0.003; replication: 2612 bp; 95% CI, 2870 to 2354; P = 5.3031026). Variant status was significantly associated with transplant-free survival in both cohorts (discovery: Age-, sex-, and ancestry-adjusted hazard ratio, 3.73; 95% CI, 1.92-7.28; P = 0.0001; replication: Hazard ratio, 2.72; 95% CI, 1.26-5.88; P = 0.011). Conclusions: A substantial proportion of patients diagnosed with CHP have rare, protein-altering variants in telomere-related genes, which are associated with short peripheral blood telomere length and significantly reduced transplant-free survival.","author":[{"dropping-particle":"","family":"Ley","given":"Brett","non-dropping-particle":"","parse-names":false,"suffix":""},{"dropping-particle":"","family":"Torgerson","given":"Dara G.","non-dropping-particle":"","parse-names":false,"suffix":""},{"dropping-particle":"","family":"Oldham","given":"Justin M.","non-dropping-particle":"","parse-names":false,"suffix":""},{"dropping-particle":"","family":"Adegunsoye","given":"Ayodeji","non-dropping-particle":"","parse-names":false,"suffix":""},{"dropping-particle":"","family":"Liu","given":"Shuo","non-dropping-particle":"","parse-names":false,"suffix":""},{"dropping-particle":"","family":"Li","given":"Jie","non-dropping-particle":"","parse-names":false,"suffix":""},{"dropping-particle":"","family":"Elicker","given":"Brett M.","non-dropping-particle":"","parse-names":false,"suffix":""},{"dropping-particle":"","family":"Henry","given":"Travis S.","non-dropping-particle":"","parse-names":false,"suffix":""},{"dropping-particle":"","family":"Golden","given":"Jeffrey A.","non-dropping-particle":"","parse-names":false,"suffix":""},{"dropping-particle":"","family":"Jones","given":"Kirk D.","non-dropping-particle":"","parse-names":false,"suffix":""},{"dropping-particle":"","family":"Dressen","given":"Amy","non-dropping-particle":"","parse-names":false,"suffix":""},{"dropping-particle":"","family":"Yaspan","given":"Brian L.","non-dropping-particle":"","parse-names":false,"suffix":""},{"dropping-particle":"","family":"Arron","given":"Joseph R.","non-dropping-particle":"","parse-names":false,"suffix":""},{"dropping-particle":"","family":"Noth","given":"Imre","non-dropping-particle":"","parse-names":false,"suffix":""},{"dropping-particle":"","family":"Hoffmann","given":"Thomas J.","non-dropping-particle":"","parse-names":false,"suffix":""},{"dropping-particle":"","family":"Wolters","given":"Paul J.","non-dropping-particle":"","parse-names":false,"suffix":""}],"container-title":"American journal of respiratory and critical care medicine","id":"ITEM-6","issue":"9","issued":{"date-parts":[["2019","11","1"]]},"page":"1154-1163","publisher":"Am J Respir Crit Care Med","title":"Rare Protein-Altering Telomere-related Gene Variants in Patients with Chronic Hypersensitivity Pneumonitis","type":"article-journal","volume":"200"},"uris":["http://www.mendeley.com/documents/?uuid=4869421d-9f1a-351f-8cbf-9379d322931c"]},{"id":"ITEM-7","itemData":{"DOI":"10.1038/s41436-018-0385-x","ISSN":"15300366","abstract":"© 2018, The Author(s). Purpose: The acquisition of pathogenic variants in the TERT promoter (TERTp) region is a mechanism of tumorigenesis. In nonmalignant diseases, TERTp variants have been reported only in patients with idiopathic pulmonary fibrosis (IPF) due to germline variants in telomere biology genes. Methods: We screened patients with a broad spectrum of telomeropathies (n = 136), their relatives (n = 52), and controls (n = 195) for TERTp variants using a customized massively parallel amplicon-based sequencing assay. Results: Pathogenic −124 and −146 TERTp variants were identified in nine (7%) unrelated patients diagnosed with IPF (28%) or moderate aplastic anemia (4.6%); five of them also presented cirrhosis. Five (10%) relatives were also found with these variants, all harboring a pathogenic germline variant in telomere biology genes. TERTp clone selection did not associate with peripheral blood counts, telomere length, and response to danazol treatment. However, it was specific for patients with telomeropathies, more frequently co-occurring with TERT germline variants and associated with aging. Conclusion: We extend the spectrum of nonmalignant diseases associated with pathogenic TERTp variants to marrow failure and liver disease due to inherited telomerase deficiency. Specificity of pathogenic TERTp variants for telomerase dysfunction may help to assess the pathogenicity of unclear constitutional variants in the telomere diseases.","author":[{"dropping-particle":"","family":"Gutierrez-Rodrigues","given":"Fernanda","non-dropping-particle":"","parse-names":false,"suffix":""},{"dropping-particle":"","family":"Donaires","given":"Flávia S.","non-dropping-particle":"","parse-names":false,"suffix":""},{"dropping-particle":"","family":"Pinto","given":"André","non-dropping-particle":"","parse-names":false,"suffix":""},{"dropping-particle":"","family":"Vicente","given":"Alana","non-dropping-particle":"","parse-names":false,"suffix":""},{"dropping-particle":"","family":"Dillon","given":"Laura W.","non-dropping-particle":"","parse-names":false,"suffix":""},{"dropping-particle":"V.","family":"Clé","given":"Diego","non-dropping-particle":"","parse-names":false,"suffix":""},{"dropping-particle":"","family":"Santana","given":"Barbara A.","non-dropping-particle":"","parse-names":false,"suffix":""},{"dropping-particle":"","family":"Pirooznia","given":"Mehdi","non-dropping-particle":"","parse-names":false,"suffix":""},{"dropping-particle":"","family":"Ibanez","given":"Maria del Pilar F.","non-dropping-particle":"","parse-names":false,"suffix":""},{"dropping-particle":"","family":"Townsley","given":"Danielle M.","non-dropping-particle":"","parse-names":false,"suffix":""},{"dropping-particle":"","family":"Kajigaya","given":"Sachiko","non-dropping-particle":"","parse-names":false,"suffix":""},{"dropping-particle":"","family":"Hourigan","given":"Christopher S.","non-dropping-particle":"","parse-names":false,"suffix":""},{"dropping-particle":"","family":"Cooper","given":"James N.","non-dropping-particle":"","parse-names":false,"suffix":""},{"dropping-particle":"","family":"Calado","given":"Rodrigo T.","non-dropping-particle":"","parse-names":false,"suffix":""},{"dropping-particle":"","family":"Young","given":"Neal S.","non-dropping-particle":"","parse-names":false,"suffix":""}],"container-title":"Genetics in Medicine","id":"ITEM-7","issue":"0","issued":{"date-parts":[["2018"]]},"page":"1-9","publisher":"Springer US","title":"Pathogenic TERT promoter variants in telomere diseases","type":"article-journal","volume":"0"},"uris":["http://www.mendeley.com/documents/?uuid=6aaa2a9f-2d28-4b75-a29a-52f16e6dca8a"]},{"id":"ITEM-8","itemData":{"DOI":"10.1182/blood-2010-11-322149","ISSN":"1528-0020","PMID":"21436073","abstract":"Mutations in the essential telomerase components hTERT and hTR cause dyskeratosis congenita, a bone marrow failure syndrome characterized by mucocutaneous features. Some (~ 3%) sporadic aplastic anemia (AA) and idiopathic pulmonary fibrosis cases also carry mutations in hTERT and hTR. Even though it can affect clinical outcome, because the mutation frequency is rare, genetic testing is not standard. We examined whether the cooccurrence of bone marrow failure and pulmonary fibrosis in the same individual or family enriches for the presence of a telomerase mutation. Ten consecutive individuals with a total of 36 family members who fulfilled these criteria carried a germline mutant telomerase gene (100%). The mean age of onset for individuals with AA was significantly younger than that for those with pulmonary fibrosis (14 vs 51; P &lt; .0001). Families displayed autosomal dominant inheritance and there was an evolving pattern of genetic anticipation, with the older generation primarily affected by pulmonary fibrosis and successive generations by bone marrow failure. The cooccurrence of AA and pulmonary fibrosis in a single patient or family is highly predictive for the presence of a germline telomerase defect. This diagnosis affects the choice of bone marrow transplantation preparative regimen and can prevent morbidity.","author":[{"dropping-particle":"","family":"Parry","given":"Erin M","non-dropping-particle":"","parse-names":false,"suffix":""},{"dropping-particle":"","family":"Alder","given":"Jonathan K","non-dropping-particle":"","parse-names":false,"suffix":""},{"dropping-particle":"","family":"Qi","given":"Xiaodong","non-dropping-particle":"","parse-names":false,"suffix":""},{"dropping-particle":"","family":"Chen","given":"Julian J-L","non-dropping-particle":"","parse-names":false,"suffix":""},{"dropping-particle":"","family":"Armanios","given":"Mary","non-dropping-particle":"","parse-names":false,"suffix":""}],"container-title":"Blood","id":"ITEM-8","issue":"21","issued":{"date-parts":[["2011","5","26"]]},"page":"5607-11","publisher":"The American Society of Hematology","title":"Syndrome complex of bone marrow failure and pulmonary fibrosis predicts germline defects in telomerase.","type":"article-journal","volume":"117"},"uris":["http://www.mendeley.com/documents/?uuid=3b5c4215-a400-3dee-b3ed-cc0367ef8283"]}],"mendeley":{"formattedCitation":"(7,13,15,34,35,41–43)","plainTextFormattedCitation":"(7,13,15,34,35,41–43)","previouslyFormattedCitation":"(7,13,15,34,35,41–43)"},"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(7,13,15,34,35,41–43)</w:t>
            </w:r>
            <w:r w:rsidRPr="006E42E0">
              <w:rPr>
                <w:rFonts w:ascii="Verdana" w:eastAsia="Times New Roman" w:hAnsi="Verdana" w:cs="Arial"/>
                <w:color w:val="000000"/>
                <w:sz w:val="16"/>
                <w:szCs w:val="20"/>
                <w:lang w:val="nl-NL" w:eastAsia="nl-NL"/>
              </w:rPr>
              <w:fldChar w:fldCharType="end"/>
            </w:r>
          </w:p>
        </w:tc>
      </w:tr>
      <w:tr w:rsidR="005C5BE9" w:rsidRPr="006E42E0" w14:paraId="1EF1EA61" w14:textId="77777777" w:rsidTr="00E02DA9">
        <w:tc>
          <w:tcPr>
            <w:tcW w:w="1098" w:type="dxa"/>
            <w:tcBorders>
              <w:top w:val="nil"/>
              <w:left w:val="single" w:sz="4" w:space="0" w:color="auto"/>
              <w:bottom w:val="nil"/>
              <w:right w:val="nil"/>
            </w:tcBorders>
            <w:shd w:val="clear" w:color="auto" w:fill="auto"/>
            <w:noWrap/>
            <w:vAlign w:val="bottom"/>
            <w:hideMark/>
          </w:tcPr>
          <w:p w14:paraId="2FE4315D"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604693D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c.2303A&gt;T</w:t>
            </w:r>
          </w:p>
        </w:tc>
        <w:tc>
          <w:tcPr>
            <w:tcW w:w="1701" w:type="dxa"/>
            <w:tcBorders>
              <w:top w:val="nil"/>
              <w:left w:val="nil"/>
              <w:bottom w:val="nil"/>
              <w:right w:val="nil"/>
            </w:tcBorders>
            <w:shd w:val="clear" w:color="auto" w:fill="auto"/>
            <w:noWrap/>
            <w:vAlign w:val="bottom"/>
            <w:hideMark/>
          </w:tcPr>
          <w:p w14:paraId="0EA2EE9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1BA7A28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p.(Asp768Val)</w:t>
            </w:r>
          </w:p>
        </w:tc>
        <w:tc>
          <w:tcPr>
            <w:tcW w:w="940" w:type="dxa"/>
            <w:tcBorders>
              <w:top w:val="nil"/>
              <w:left w:val="nil"/>
              <w:bottom w:val="nil"/>
              <w:right w:val="nil"/>
            </w:tcBorders>
            <w:shd w:val="clear" w:color="auto" w:fill="auto"/>
            <w:noWrap/>
            <w:vAlign w:val="bottom"/>
            <w:hideMark/>
          </w:tcPr>
          <w:p w14:paraId="0913953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4F5086A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5F4B3B9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2065" w:type="dxa"/>
            <w:tcBorders>
              <w:top w:val="nil"/>
              <w:left w:val="nil"/>
              <w:bottom w:val="nil"/>
              <w:right w:val="single" w:sz="4" w:space="0" w:color="auto"/>
            </w:tcBorders>
            <w:shd w:val="clear" w:color="auto" w:fill="auto"/>
            <w:noWrap/>
            <w:vAlign w:val="bottom"/>
            <w:hideMark/>
          </w:tcPr>
          <w:p w14:paraId="6439F82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{"citationItems":[{"id":"ITEM-1","itemData":{"DOI":"10.1371/journal.pone.0189467","ISSN":"19326203","abstract":"© 2017 Snetselaar et al. This is an open access article distributed under the terms of the Creative Commons Attribution License, which permits unrestricted use, distribution, and reproduction in any medium, provided the original author and source are credited. Telomere maintenance dysfunction has been implicated in the pathogenesis of Idiopathic Pulmonary Fibrosis (IPF). However, the mechanism of how telomere length is related to fibrosis in the lungs is unknown. Surgical lung biopsies of IPF patients typically show a heterogeneous pattern of non-fibrotic and fibrotic areas. Therefore, telomere length (TL) in both lung areas of patients with IPF and familial interstitial pneumonia was compared, specifically in alveolar type 2 (AT2) cells. Fluorescent in situ hybridization was used to determine TL in non-fibrotic and fibrotic areas of 35 subjects. Monochrome multiplex quantitative polymerase chain reaction (MMqPCR) was used for 51 whole lung biopsies and blood TL measurements. For sporadic IPF subjects, AT2 cell TL in non-fibrotic areas was 56% longer than in fibrotic areas. No such difference was observed in the surrounding lung cells. In subjects carrying a telomerase reverse transcriptase (TERT) mutation, AT2 cell TL was significantly shorter than in sporadic subjects. However, no difference in surrounding cell TL was observed between these subject groups. Finally, using biopsy MMqPCR TL measurements, it was determined that IPF subjects with shortest lung TL had a significantly worse survival than patients with long TL. This study shows that shortening of telomeres critically affects AT2 cells in fibrotic areas, implying TL as a cause of fibrogenesis. Furthermore, short lung telomere length is associated with decreased survival.","author":[{"dropping-particle":"","family":"Snetselaar","given":"R.","non-dropping-particle":"","parse-names":false,"suffix":""},{"dropping-particle":"","family":"Batenburg","given":"A.A.","non-dropping-particle":"van","parse-names":false,"suffix":""},{"dropping-particle":"","family":"Oosterhout","given":"M.F.M.","non-dropping-particle":"Van","parse-names":false,"suffix":""},{"dropping-particle":"","family":"Kazemier","given":"K.M.","non-dropping-particle":"","parse-names":false,"suffix":""},{"dropping-particle":"","family":"Roothaan","given":"S.M.","non-dropping-particle":"","parse-names":false,"suffix":""},{"dropping-particle":"","family":"Peeters","given":"T.","non-dropping-particle":"","parse-names":false,"suffix":""},{"dropping-particle":"","family":"Vis","given":"J.J.","non-dropping-particle":"van der","parse-names":false,"suffix":""},{"dropping-particle":"","family":"Goldschmeding","given":"R.","non-dropping-particle":"","parse-names":false,"suffix":""},{"dropping-particle":"","family":"Grutters","given":"J.C.","non-dropping-particle":"","parse-names":false,"suffix":""},{"dropping-particle":"","family":"Moorsel","given":"C.H.M.","non-dropping-particle":"Van","parse-names":false,"suffix":""}],"container-title":"PLoS ONE","id":"ITEM-1","issue":"12","issued":{"date-parts":[["2017"]]},"title":"Short telomere length in IPF lung associates with fibrotic lesions and predicts survival","type":"article-journal","volume":"12"},"uris":["http://www.mendeley.com/documents/?uuid=32e905c8-0dc8-32b1-8fcb-d58cd04841a4"]}],"mendeley":{"formattedCitation":"(35)","plainTextFormattedCitation":"(35)","previouslyFormattedCitation":"(35)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(35)</w:t>
            </w:r>
            <w:r w:rsidRPr="006E42E0">
              <w:rPr>
                <w:rFonts w:ascii="Verdana" w:eastAsia="Times New Roman" w:hAnsi="Verdana" w:cs="Arial"/>
                <w:color w:val="000000"/>
                <w:sz w:val="16"/>
                <w:szCs w:val="20"/>
                <w:lang w:val="nl-NL" w:eastAsia="nl-NL"/>
              </w:rPr>
              <w:fldChar w:fldCharType="end"/>
            </w:r>
          </w:p>
        </w:tc>
      </w:tr>
      <w:tr w:rsidR="005C5BE9" w:rsidRPr="006E42E0" w14:paraId="053F0C67" w14:textId="77777777" w:rsidTr="00E02DA9">
        <w:tc>
          <w:tcPr>
            <w:tcW w:w="1098" w:type="dxa"/>
            <w:tcBorders>
              <w:top w:val="nil"/>
              <w:left w:val="single" w:sz="4" w:space="0" w:color="auto"/>
              <w:bottom w:val="nil"/>
              <w:right w:val="nil"/>
            </w:tcBorders>
            <w:shd w:val="clear" w:color="000000" w:fill="DDEBF7"/>
            <w:noWrap/>
            <w:vAlign w:val="bottom"/>
            <w:hideMark/>
          </w:tcPr>
          <w:p w14:paraId="41B94888"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7C20533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c.2312C &gt; T</w:t>
            </w:r>
          </w:p>
        </w:tc>
        <w:tc>
          <w:tcPr>
            <w:tcW w:w="1701" w:type="dxa"/>
            <w:tcBorders>
              <w:top w:val="nil"/>
              <w:left w:val="nil"/>
              <w:bottom w:val="nil"/>
              <w:right w:val="nil"/>
            </w:tcBorders>
            <w:shd w:val="clear" w:color="000000" w:fill="DDEBF7"/>
            <w:noWrap/>
            <w:vAlign w:val="bottom"/>
            <w:hideMark/>
          </w:tcPr>
          <w:p w14:paraId="7F25153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4CAC77B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p.(Pro771Leu)</w:t>
            </w:r>
          </w:p>
        </w:tc>
        <w:tc>
          <w:tcPr>
            <w:tcW w:w="940" w:type="dxa"/>
            <w:tcBorders>
              <w:top w:val="nil"/>
              <w:left w:val="nil"/>
              <w:bottom w:val="nil"/>
              <w:right w:val="nil"/>
            </w:tcBorders>
            <w:shd w:val="clear" w:color="000000" w:fill="DDEBF7"/>
            <w:noWrap/>
            <w:vAlign w:val="bottom"/>
            <w:hideMark/>
          </w:tcPr>
          <w:p w14:paraId="0F7A588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63A2850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3</w:t>
            </w:r>
          </w:p>
        </w:tc>
        <w:tc>
          <w:tcPr>
            <w:tcW w:w="850" w:type="dxa"/>
            <w:tcBorders>
              <w:top w:val="nil"/>
              <w:left w:val="nil"/>
              <w:bottom w:val="nil"/>
              <w:right w:val="nil"/>
            </w:tcBorders>
            <w:shd w:val="clear" w:color="000000" w:fill="DDEBF7"/>
            <w:noWrap/>
            <w:vAlign w:val="bottom"/>
            <w:hideMark/>
          </w:tcPr>
          <w:p w14:paraId="6CD6963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7</w:t>
            </w:r>
          </w:p>
        </w:tc>
        <w:tc>
          <w:tcPr>
            <w:tcW w:w="2065" w:type="dxa"/>
            <w:tcBorders>
              <w:top w:val="nil"/>
              <w:left w:val="nil"/>
              <w:bottom w:val="nil"/>
              <w:right w:val="single" w:sz="4" w:space="0" w:color="auto"/>
            </w:tcBorders>
            <w:shd w:val="clear" w:color="000000" w:fill="DDEBF7"/>
            <w:noWrap/>
            <w:vAlign w:val="bottom"/>
            <w:hideMark/>
          </w:tcPr>
          <w:p w14:paraId="7F4E988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7FDD6EC1" w14:textId="77777777" w:rsidTr="00E02DA9">
        <w:tc>
          <w:tcPr>
            <w:tcW w:w="1098" w:type="dxa"/>
            <w:tcBorders>
              <w:top w:val="nil"/>
              <w:left w:val="single" w:sz="4" w:space="0" w:color="auto"/>
              <w:bottom w:val="nil"/>
              <w:right w:val="nil"/>
            </w:tcBorders>
            <w:shd w:val="clear" w:color="auto" w:fill="auto"/>
            <w:noWrap/>
            <w:vAlign w:val="bottom"/>
            <w:hideMark/>
          </w:tcPr>
          <w:p w14:paraId="5ECB814A"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402BE4B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c.2317A&gt;G</w:t>
            </w:r>
          </w:p>
        </w:tc>
        <w:tc>
          <w:tcPr>
            <w:tcW w:w="1701" w:type="dxa"/>
            <w:tcBorders>
              <w:top w:val="nil"/>
              <w:left w:val="nil"/>
              <w:bottom w:val="nil"/>
              <w:right w:val="nil"/>
            </w:tcBorders>
            <w:shd w:val="clear" w:color="auto" w:fill="auto"/>
            <w:noWrap/>
            <w:vAlign w:val="bottom"/>
            <w:hideMark/>
          </w:tcPr>
          <w:p w14:paraId="6EF27C2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6792A48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p.(Met773Val)</w:t>
            </w:r>
          </w:p>
        </w:tc>
        <w:tc>
          <w:tcPr>
            <w:tcW w:w="940" w:type="dxa"/>
            <w:tcBorders>
              <w:top w:val="nil"/>
              <w:left w:val="nil"/>
              <w:bottom w:val="nil"/>
              <w:right w:val="nil"/>
            </w:tcBorders>
            <w:shd w:val="clear" w:color="auto" w:fill="auto"/>
            <w:noWrap/>
            <w:vAlign w:val="bottom"/>
            <w:hideMark/>
          </w:tcPr>
          <w:p w14:paraId="7FBFF67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025EF80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05D81B4"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6E459E7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09B9D09D" w14:textId="77777777" w:rsidTr="00E02DA9">
        <w:tc>
          <w:tcPr>
            <w:tcW w:w="1098" w:type="dxa"/>
            <w:tcBorders>
              <w:top w:val="nil"/>
              <w:left w:val="single" w:sz="4" w:space="0" w:color="auto"/>
              <w:bottom w:val="nil"/>
              <w:right w:val="nil"/>
            </w:tcBorders>
            <w:shd w:val="clear" w:color="000000" w:fill="DDEBF7"/>
            <w:noWrap/>
            <w:vAlign w:val="bottom"/>
            <w:hideMark/>
          </w:tcPr>
          <w:p w14:paraId="6CEEEA68"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24A3813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c.2321G&gt;A</w:t>
            </w:r>
          </w:p>
        </w:tc>
        <w:tc>
          <w:tcPr>
            <w:tcW w:w="1701" w:type="dxa"/>
            <w:tcBorders>
              <w:top w:val="nil"/>
              <w:left w:val="nil"/>
              <w:bottom w:val="nil"/>
              <w:right w:val="nil"/>
            </w:tcBorders>
            <w:shd w:val="clear" w:color="000000" w:fill="DDEBF7"/>
            <w:noWrap/>
            <w:vAlign w:val="bottom"/>
            <w:hideMark/>
          </w:tcPr>
          <w:p w14:paraId="2FA0979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3EE50ED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p.(Arg774Gln)</w:t>
            </w:r>
          </w:p>
        </w:tc>
        <w:tc>
          <w:tcPr>
            <w:tcW w:w="940" w:type="dxa"/>
            <w:tcBorders>
              <w:top w:val="nil"/>
              <w:left w:val="nil"/>
              <w:bottom w:val="nil"/>
              <w:right w:val="nil"/>
            </w:tcBorders>
            <w:shd w:val="clear" w:color="000000" w:fill="DDEBF7"/>
            <w:noWrap/>
            <w:vAlign w:val="bottom"/>
            <w:hideMark/>
          </w:tcPr>
          <w:p w14:paraId="74773FC5" w14:textId="165C6F60" w:rsidR="006E42E0" w:rsidRPr="006E42E0" w:rsidRDefault="008556BD" w:rsidP="008556BD">
            <w:pPr>
              <w:spacing w:after="0" w:line="240" w:lineRule="auto"/>
              <w:jc w:val="center"/>
              <w:rPr>
                <w:rFonts w:ascii="Verdana" w:eastAsia="Times New Roman" w:hAnsi="Verdana" w:cs="Arial"/>
                <w:color w:val="000000"/>
                <w:sz w:val="16"/>
                <w:szCs w:val="20"/>
                <w:lang w:val="nl-NL" w:eastAsia="nl-NL"/>
              </w:rPr>
            </w:pPr>
            <w:r>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1DD6577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42E61D1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10F7B3C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{"citationItems":[{"id":"ITEM-1","itemData":{"DOI":"10.1183/13993003.00577-2022","ISSN":"1399-3003","PMID":"36028256","abstract":"Background Whole genome sequencing (WGS) can detect variants and estimate telomere length. The clinical utility of WGS in estimating risk, progression and survival of pulmonary fibrosis patients is unknown. Methods In this observational cohort study, we performed WGS on 949 patients with idiopathic pulmonary fibrosis or familial pulmonary fibrosis to determine rare and common variant genotypes, estimate telomere length and assess the association of genomic factors with clinical outcomes. Results WGS estimates of telomere length correlated with quantitative PCR (R=0.65) and Southern blot (R=0.71) measurements. Rare deleterious qualifying variants were found in 14% of the total cohort, with a five-fold increase in those with a family history of disease versus those without (25% versus 5%). Most rare qualifying variants (85%) were found in telomere-related genes and were associated with shorter telomere lengths. Rare qualifying variants had a greater effect on telomere length than a polygenic risk score calculated using 20 common variants previously associated with telomere length. The common variant polygenic risk score predicted telomere length only in sporadic disease. Reduced transplant-free survival was associated with rare qualifying variants, shorter quantitative PCR-measured telomere lengths and absence of the MUC5B promoter (rs35705950) single nucleotide polymorphism, but not with WGS-estimated telomere length or the common variant polygenic risk score. Disease progression was associated with both measures of telomere length (quantitative PCR measured and WGS estimated), rare qualifying variants and the common variant polygenic risk score. Conclusion As a single test, WGS can inform pulmonary fibrosis genetic-mediated risk, evaluate the functional effect of telomere-related variants by estimating telomere length, and prognosticate clinically relevant disease outcomes.","author":[{"dropping-particle":"","family":"Zhang","given":"David","non-dropping-particle":"","parse-names":false,"suffix":""},{"dropping-particle":"","family":"Newton","given":"Chad A.","non-dropping-particle":"","parse-names":false,"suffix":""},{"dropping-particle":"","family":"Wang","given":"Binhan","non-dropping-particle":"","parse-names":false,"suffix":""},{"dropping-particle":"","family":"Povysil","given":"Gundula","non-dropping-particle":"","parse-names":false,"suffix":""},{"dropping-particle":"","family":"Noth","given":"Imre","non-dropping-particle":"","parse-names":false,"suffix":""},{"dropping-particle":"","family":"Martinez","given":"Fernando J.","non-dropping-particle":"","parse-names":false,"suffix":""},{"dropping-particle":"","family":"Raghu","given":"Ganesh","non-dropping-particle":"","parse-names":false,"suffix":""},{"dropping-particle":"","family":"Goldstein","given":"David","non-dropping-particle":"","parse-names":false,"suffix":""},{"dropping-particle":"","family":"Garcia","given":"Christine Kim","non-dropping-particle":"","parse-names":false,"suffix":""}],"container-title":"The European respiratory journal","id":"ITEM-1","issue":"6","issued":{"date-parts":[["2022","12","1"]]},"publisher":"Eur Respir J","title":"Utility of whole genome sequencing in assessing risk and clinically relevant outcomes for pulmonary fibrosis","type":"article-journal","volume":"60"},"uris":["http://www.mendeley.com/documents/?uuid=f0aff755-49ef-3a91-a242-5681db5153eb"]}],"mendeley":{"formattedCitation":"(22)","plainTextFormattedCitation":"(22)","previouslyFormattedCitation":"(22)"},"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(22)</w:t>
            </w:r>
            <w:r w:rsidRPr="006E42E0">
              <w:rPr>
                <w:rFonts w:ascii="Verdana" w:eastAsia="Times New Roman" w:hAnsi="Verdana" w:cs="Arial"/>
                <w:color w:val="000000"/>
                <w:sz w:val="16"/>
                <w:szCs w:val="20"/>
                <w:lang w:val="nl-NL" w:eastAsia="nl-NL"/>
              </w:rPr>
              <w:fldChar w:fldCharType="end"/>
            </w:r>
          </w:p>
        </w:tc>
      </w:tr>
      <w:tr w:rsidR="005C5BE9" w:rsidRPr="006E42E0" w14:paraId="62D92797" w14:textId="77777777" w:rsidTr="00E02DA9">
        <w:tc>
          <w:tcPr>
            <w:tcW w:w="1098" w:type="dxa"/>
            <w:tcBorders>
              <w:top w:val="nil"/>
              <w:left w:val="single" w:sz="4" w:space="0" w:color="auto"/>
              <w:bottom w:val="nil"/>
              <w:right w:val="nil"/>
            </w:tcBorders>
            <w:shd w:val="clear" w:color="auto" w:fill="auto"/>
            <w:noWrap/>
            <w:vAlign w:val="bottom"/>
            <w:hideMark/>
          </w:tcPr>
          <w:p w14:paraId="3884C44B"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586B3FF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c.2377G&gt;A</w:t>
            </w:r>
          </w:p>
        </w:tc>
        <w:tc>
          <w:tcPr>
            <w:tcW w:w="1701" w:type="dxa"/>
            <w:tcBorders>
              <w:top w:val="nil"/>
              <w:left w:val="nil"/>
              <w:bottom w:val="nil"/>
              <w:right w:val="nil"/>
            </w:tcBorders>
            <w:shd w:val="clear" w:color="auto" w:fill="auto"/>
            <w:noWrap/>
            <w:vAlign w:val="bottom"/>
            <w:hideMark/>
          </w:tcPr>
          <w:p w14:paraId="2582EFC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2B36875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p.(Glu793Lys)</w:t>
            </w:r>
          </w:p>
        </w:tc>
        <w:tc>
          <w:tcPr>
            <w:tcW w:w="940" w:type="dxa"/>
            <w:tcBorders>
              <w:top w:val="nil"/>
              <w:left w:val="nil"/>
              <w:bottom w:val="nil"/>
              <w:right w:val="nil"/>
            </w:tcBorders>
            <w:shd w:val="clear" w:color="auto" w:fill="auto"/>
            <w:noWrap/>
            <w:vAlign w:val="bottom"/>
            <w:hideMark/>
          </w:tcPr>
          <w:p w14:paraId="65F2850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23E5F30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47A9F23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5DBE268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mutation","type":"article-journal","volume":"57"},"uris":["http://www.mendeley.com/documents/?uuid=449872d5-b359-3355-8d25-fe681381e043"]},{"id":"ITEM-2","itemData":{"DOI":"10.1111/BJH.19767","ISSN":"1365-2141","PMID":"39279213","abstract":"Data on haematological features of telomere biology disorders (TBD) remain scarce. We describe haematological, extra-haematological characteristics and prognosis of 127 genetically confirmed TBD patients diagnosed after the age of 15. Ninety-three index cases and 34 affected relatives were included. At diagnosis of TBD, 76.3% of index cases had haematological features, half pulmonary features and a third liver features. At diagnosis, bone marrow failure (BMF) was present in 59 (46.5%), myelodysplastic syndrome (MDS) in 22 (17.3%) and acute myeloid leukaemia (AML) in 2 (1.6%) while 13 (10.2%) developed or worsened bone marrow involvement during follow-up. At diagnosis, compared to MDS/AML patients, BMF patients were younger (median 23.1 years vs. 43.8, p = 0.007), and had a better outcome (4-year overall survival 76.3% vs. 31.8%, p &lt; 0.001). While frequencies and burden of cytogenetical and somatic mutations increased significantly in myeloid malignancies, some abnormalities were also observed in patients with normal blood counts and BMF, notably somatic spliceosome variants. Solid cancers developed in 8.7% patients, mainly human papillomavirus-related cancers and hepatocellular carcinomas. TBD is a multiorgan progressive disease. While BMF is the main haematological disorder, high-risk myeloid malignancies are common, and are, together with age, the only factors associated with a worse outcome.","author":[{"dropping-particle":"","family":"Maillet","given":"François","non-dropping-particle":"","parse-names":false,"suffix":""},{"dropping-particle":"","family":"Galimard","given":"Jacques Emmanuel","non-dropping-particle":"","parse-names":false,"suffix":""},{"dropping-particle":"","family":"Borie","given":"Raphaël","non-dropping-particle":"","parse-names":false,"suffix":""},{"dropping-particle":"","family":"Lainey","given":"Elodie","non-dropping-particle":"","parse-names":false,"suffix":""},{"dropping-particle":"","family":"Larcher","given":"Lise","non-dropping-particle":"","parse-names":false,"suffix":""},{"dropping-particle":"","family":"Passet","given":"Marie","non-dropping-particle":"","parse-names":false,"suffix":""},{"dropping-particle":"","family":"Plessier","given":"Aurélie","non-dropping-particle":"","parse-names":false,"suffix":""},{"dropping-particle":"","family":"Leblanc","given":"Thierry","non-dropping-particle":"","parse-names":false,"suffix":""},{"dropping-particle":"","family":"Terriou","given":"Louis","non-dropping-particle":"","parse-names":false,"suffix":""},{"dropping-particle":"","family":"Lebon","given":"Delphine","non-dropping-particle":"","parse-names":false,"suffix":""},{"dropping-particle":"","family":"Alcazer","given":"Vincent","non-dropping-particle":"","parse-names":false,"suffix":""},{"dropping-particle":"","family":"Cathebras","given":"Pascal","non-dropping-particle":"","parse-names":false,"suffix":""},{"dropping-particle":"","family":"Loschi","given":"Michael","non-dropping-particle":"","parse-names":false,"suffix":""},{"dropping-particle":"","family":"Wadih","given":"Abou Chahla","non-dropping-particle":"","parse-names":false,"suffix":""},{"dropping-particle":"","family":"Marcais","given":"Ambroise","non-dropping-particle":"","parse-names":false,"suffix":""},{"dropping-particle":"","family":"Marceau-Renaut","given":"Alice","non-dropping-particle":"","parse-names":false,"suffix":""},{"dropping-particle":"","family":"Couque","given":"Nathalie","non-dropping-particle":"","parse-names":false,"suffix":""},{"dropping-particle":"","family":"Lioure","given":"Bruno","non-dropping-particle":"","parse-names":false,"suffix":""},{"dropping-particle":"","family":"Soulier","given":"Jean","non-dropping-particle":"","parse-names":false,"suffix":""},{"dropping-particle":"","family":"Ba","given":"Ibrahima","non-dropping-particle":"","parse-names":false,"suffix":""},{"dropping-particle":"","family":"Socié","given":"Gérard","non-dropping-particle":"","parse-names":false,"suffix":""},{"dropping-particle":"","family":"Peffault de Latour","given":"Regis","non-dropping-particle":"","parse-names":false,"suffix":""},{"dropping-particle":"","family":"Kannengiesser","given":"Caroline","non-dropping-particle":"","parse-names":false,"suffix":""},{"dropping-particle":"","family":"Sicre de Fontbrune","given":"Flore","non-dropping-particle":"","parse-names":false,"suffix":""}],"container-title":"British journal of haematology","id":"ITEM-2","issue":"5","issued":{"date-parts":[["2024","11","1"]]},"publisher":"Br J Haematol","title":"Haematological features of telomere biology disorders diagnosed in adulthood: A French nationwide study of 127 patients","type":"article-journal","volume":"205"},"uris":["http://www.mendeley.com/documents/?uuid=ae6a0309-4669-3030-92d5-eda9c5c94c12"]}],"mendeley":{"formattedCitation":"(7,16)","plainTextFormattedCitation":"(7,16)","previouslyFormattedCitation":"(7,16)"},"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(7,16)</w:t>
            </w:r>
            <w:r w:rsidRPr="006E42E0">
              <w:rPr>
                <w:rFonts w:ascii="Verdana" w:eastAsia="Times New Roman" w:hAnsi="Verdana" w:cs="Arial"/>
                <w:color w:val="000000"/>
                <w:sz w:val="16"/>
                <w:szCs w:val="20"/>
                <w:lang w:val="nl-NL" w:eastAsia="nl-NL"/>
              </w:rPr>
              <w:fldChar w:fldCharType="end"/>
            </w:r>
          </w:p>
        </w:tc>
      </w:tr>
      <w:tr w:rsidR="005C5BE9" w:rsidRPr="006E42E0" w14:paraId="6644BCFA" w14:textId="77777777" w:rsidTr="00E02DA9">
        <w:tc>
          <w:tcPr>
            <w:tcW w:w="1098" w:type="dxa"/>
            <w:tcBorders>
              <w:top w:val="nil"/>
              <w:left w:val="single" w:sz="4" w:space="0" w:color="auto"/>
              <w:bottom w:val="nil"/>
              <w:right w:val="nil"/>
            </w:tcBorders>
            <w:shd w:val="clear" w:color="000000" w:fill="DDEBF7"/>
            <w:noWrap/>
            <w:vAlign w:val="bottom"/>
            <w:hideMark/>
          </w:tcPr>
          <w:p w14:paraId="3FD0B32F"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4476D80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c.2406C&gt;G</w:t>
            </w:r>
          </w:p>
        </w:tc>
        <w:tc>
          <w:tcPr>
            <w:tcW w:w="1701" w:type="dxa"/>
            <w:tcBorders>
              <w:top w:val="nil"/>
              <w:left w:val="nil"/>
              <w:bottom w:val="nil"/>
              <w:right w:val="nil"/>
            </w:tcBorders>
            <w:shd w:val="clear" w:color="000000" w:fill="DDEBF7"/>
            <w:noWrap/>
            <w:vAlign w:val="bottom"/>
            <w:hideMark/>
          </w:tcPr>
          <w:p w14:paraId="1E4B83F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5211EC9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p.(Ser802Arg)</w:t>
            </w:r>
          </w:p>
        </w:tc>
        <w:tc>
          <w:tcPr>
            <w:tcW w:w="940" w:type="dxa"/>
            <w:tcBorders>
              <w:top w:val="nil"/>
              <w:left w:val="nil"/>
              <w:bottom w:val="nil"/>
              <w:right w:val="nil"/>
            </w:tcBorders>
            <w:shd w:val="clear" w:color="000000" w:fill="DDEBF7"/>
            <w:noWrap/>
            <w:vAlign w:val="bottom"/>
            <w:hideMark/>
          </w:tcPr>
          <w:p w14:paraId="14ADA17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64171DF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65E4F26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1B35492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{"citationItems":[{"id":"ITEM-1","itemData":{"DOI":"10.1371/journal.pone.0189467","ISSN":"19326203","abstract":"© 2017 Snetselaar et al. This is an open access article distributed under the terms of the Creative Commons Attribution License, which permits unrestricted use, distribution, and reproduction in any medium, provided the original author and source are credited. Telomere maintenance dysfunction has been implicated in the pathogenesis of Idiopathic Pulmonary Fibrosis (IPF). However, the mechanism of how telomere length is related to fibrosis in the lungs is unknown. Surgical lung biopsies of IPF patients typically show a heterogeneous pattern of non-fibrotic and fibrotic areas. Therefore, telomere length (TL) in both lung areas of patients with IPF and familial interstitial pneumonia was compared, specifically in alveolar type 2 (AT2) cells. Fluorescent in situ hybridization was used to determine TL in non-fibrotic and fibrotic areas of 35 subjects. Monochrome multiplex quantitative polymerase chain reaction (MMqPCR) was used for 51 whole lung biopsies and blood TL measurements. For sporadic IPF subjects, AT2 cell TL in non-fibrotic areas was 56% longer than in fibrotic areas. No such difference was observed in the surrounding lung cells. In subjects carrying a telomerase reverse transcriptase (TERT) mutation, AT2 cell TL was significantly shorter than in sporadic subjects. However, no difference in surrounding cell TL was observed between these subject groups. Finally, using biopsy MMqPCR TL measurements, it was determined that IPF subjects with shortest lung TL had a significantly worse survival than patients with long TL. This study shows that shortening of telomeres critically affects AT2 cells in fibrotic areas, implying TL as a cause of fibrogenesis. Furthermore, short lung telomere length is associated with decreased survival.","author":[{"dropping-particle":"","family":"Snetselaar","given":"R.","non-dropping-particle":"","parse-names":false,"suffix":""},{"dropping-particle":"","family":"Batenburg","given":"A.A.","non-dropping-particle":"van","parse-names":false,"suffix":""},{"dropping-particle":"","family":"Oosterhout","given":"M.F.M.","non-dropping-particle":"Van","parse-names":false,"suffix":""},{"dropping-particle":"","family":"Kazemier","given":"K.M.","non-dropping-particle":"","parse-names":false,"suffix":""},{"dropping-particle":"","family":"Roothaan","given":"S.M.","non-dropping-particle":"","parse-names":false,"suffix":""},{"dropping-particle":"","family":"Peeters","given":"T.","non-dropping-particle":"","parse-names":false,"suffix":""},{"dropping-particle":"","family":"Vis","given":"J.J.","non-dropping-particle":"van der","parse-names":false,"suffix":""},{"dropping-particle":"","family":"Goldschmeding","given":"R.","non-dropping-particle":"","parse-names":false,"suffix":""},{"dropping-particle":"","family":"Grutters","given":"J.C.","non-dropping-particle":"","parse-names":false,"suffix":""},{"dropping-particle":"","family":"Moorsel","given":"C.H.M.","non-dropping-particle":"Van","parse-names":false,"suffix":""}],"container-title":"PLoS ONE","id":"ITEM-1","issue":"12","issued":{"date-parts":[["2017"]]},"title":"Short telomere length in IPF lung associates with fibrotic lesions and predicts survival","type":"article-journal","volume":"12"},"uris":["http://www.mendeley.com/documents/?uuid=32e905c8-0dc8-32b1-8fcb-d58cd04841a4"]}],"mendeley":{"formattedCitation":"(35)","plainTextFormattedCitation":"(35)","previouslyFormattedCitation":"(35)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(35)</w:t>
            </w:r>
            <w:r w:rsidRPr="006E42E0">
              <w:rPr>
                <w:rFonts w:ascii="Verdana" w:eastAsia="Times New Roman" w:hAnsi="Verdana" w:cs="Arial"/>
                <w:color w:val="000000"/>
                <w:sz w:val="16"/>
                <w:szCs w:val="20"/>
                <w:lang w:val="nl-NL" w:eastAsia="nl-NL"/>
              </w:rPr>
              <w:fldChar w:fldCharType="end"/>
            </w:r>
          </w:p>
        </w:tc>
      </w:tr>
      <w:tr w:rsidR="005C5BE9" w:rsidRPr="006E42E0" w14:paraId="2035930C" w14:textId="77777777" w:rsidTr="00E02DA9">
        <w:tc>
          <w:tcPr>
            <w:tcW w:w="1098" w:type="dxa"/>
            <w:tcBorders>
              <w:top w:val="nil"/>
              <w:left w:val="single" w:sz="4" w:space="0" w:color="auto"/>
              <w:bottom w:val="nil"/>
              <w:right w:val="nil"/>
            </w:tcBorders>
            <w:shd w:val="clear" w:color="auto" w:fill="auto"/>
            <w:noWrap/>
            <w:vAlign w:val="bottom"/>
            <w:hideMark/>
          </w:tcPr>
          <w:p w14:paraId="7612B229"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4649CBF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c.2456G&gt;A</w:t>
            </w:r>
          </w:p>
        </w:tc>
        <w:tc>
          <w:tcPr>
            <w:tcW w:w="1701" w:type="dxa"/>
            <w:tcBorders>
              <w:top w:val="nil"/>
              <w:left w:val="nil"/>
              <w:bottom w:val="nil"/>
              <w:right w:val="nil"/>
            </w:tcBorders>
            <w:shd w:val="clear" w:color="auto" w:fill="auto"/>
            <w:noWrap/>
            <w:vAlign w:val="bottom"/>
            <w:hideMark/>
          </w:tcPr>
          <w:p w14:paraId="1822094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6CCA1CF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p.(Arg819His)</w:t>
            </w:r>
          </w:p>
        </w:tc>
        <w:tc>
          <w:tcPr>
            <w:tcW w:w="940" w:type="dxa"/>
            <w:tcBorders>
              <w:top w:val="nil"/>
              <w:left w:val="nil"/>
              <w:bottom w:val="nil"/>
              <w:right w:val="nil"/>
            </w:tcBorders>
            <w:shd w:val="clear" w:color="auto" w:fill="auto"/>
            <w:noWrap/>
            <w:vAlign w:val="bottom"/>
            <w:hideMark/>
          </w:tcPr>
          <w:p w14:paraId="20C61077"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69726BE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65A1C85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0A8EB80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journal","id":"ITEM-1","issue":"2","issued":{"date-parts":[["2021","2","1"]]},"publisher":"Eur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mendeley":{"formattedCitation":"(7)","plainTextFormattedCitation":"(7)","previouslyFormattedCitation":"(7)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w:t>
            </w:r>
            <w:r w:rsidRPr="006E42E0">
              <w:rPr>
                <w:rFonts w:ascii="Verdana" w:eastAsia="Times New Roman" w:hAnsi="Verdana" w:cs="Arial"/>
                <w:color w:val="000000"/>
                <w:sz w:val="16"/>
                <w:szCs w:val="20"/>
                <w:lang w:val="nl-NL" w:eastAsia="nl-NL"/>
              </w:rPr>
              <w:fldChar w:fldCharType="end"/>
            </w:r>
            <w:r w:rsidRPr="006E42E0">
              <w:rPr>
                <w:rFonts w:ascii="Verdana" w:eastAsia="Times New Roman" w:hAnsi="Verdana" w:cs="Arial"/>
                <w:color w:val="000000"/>
                <w:sz w:val="16"/>
                <w:szCs w:val="20"/>
                <w:lang w:val="nl-NL" w:eastAsia="nl-NL"/>
              </w:rPr>
              <w:t xml:space="preserve"> </w:t>
            </w:r>
          </w:p>
        </w:tc>
      </w:tr>
      <w:tr w:rsidR="005C5BE9" w:rsidRPr="006E42E0" w14:paraId="1C898B44" w14:textId="77777777" w:rsidTr="00E02DA9">
        <w:tc>
          <w:tcPr>
            <w:tcW w:w="1098" w:type="dxa"/>
            <w:tcBorders>
              <w:top w:val="nil"/>
              <w:left w:val="single" w:sz="4" w:space="0" w:color="auto"/>
              <w:bottom w:val="nil"/>
              <w:right w:val="nil"/>
            </w:tcBorders>
            <w:shd w:val="clear" w:color="000000" w:fill="DDEBF7"/>
            <w:noWrap/>
            <w:vAlign w:val="bottom"/>
            <w:hideMark/>
          </w:tcPr>
          <w:p w14:paraId="4256EBEE"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1BA5E89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c.2603A&gt;G</w:t>
            </w:r>
          </w:p>
        </w:tc>
        <w:tc>
          <w:tcPr>
            <w:tcW w:w="1701" w:type="dxa"/>
            <w:tcBorders>
              <w:top w:val="nil"/>
              <w:left w:val="nil"/>
              <w:bottom w:val="nil"/>
              <w:right w:val="nil"/>
            </w:tcBorders>
            <w:shd w:val="clear" w:color="000000" w:fill="DDEBF7"/>
            <w:noWrap/>
            <w:vAlign w:val="bottom"/>
            <w:hideMark/>
          </w:tcPr>
          <w:p w14:paraId="46D9E97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30DE3B9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p.(Asp868Gly)</w:t>
            </w:r>
          </w:p>
        </w:tc>
        <w:tc>
          <w:tcPr>
            <w:tcW w:w="940" w:type="dxa"/>
            <w:tcBorders>
              <w:top w:val="nil"/>
              <w:left w:val="nil"/>
              <w:bottom w:val="nil"/>
              <w:right w:val="nil"/>
            </w:tcBorders>
            <w:shd w:val="clear" w:color="000000" w:fill="DDEBF7"/>
            <w:noWrap/>
            <w:vAlign w:val="bottom"/>
            <w:hideMark/>
          </w:tcPr>
          <w:p w14:paraId="58A0128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0FF296C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688E7DA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3D7715B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{"citationItems":[{"id":"ITEM-1","itemData":{"DOI":"10.1002/pbc.25161","ISSN":"1545-5017","PMID":"25067791","abstract":"Two siblings presenting with exudative retinopathy, thrombocytopenia, and macrocytosis were found to have markedly shortened telomeres and a previously unreported inherited mutation in TERT, c.2603A&gt;G. Revesz syndrome, a subtype of dyskeratosis congenita (DC) caused by TINF2 mutation, combines marrow failure with exudative retinopathy, intracranial calcifications, and neurocognitive impairment. As our patients manifested neither intracranial calcification nor significant neurocognitive impairment, we conclude that the c.2603A&gt;G TERT mutation may define a subtype of DC manifesting first as exudative retinopathy without other signs of DC. Children with exudative retinopathy should be periodically screened for macrocytosis and cytopenias to evaluate for underlying DC.","author":[{"dropping-particle":"","family":"Sharma","given":"Akshay","non-dropping-particle":"","parse-names":false,"suffix":""},{"dropping-particle":"","family":"Myers","given":"Kasiani","non-dropping-particle":"","parse-names":false,"suffix":""},{"dropping-particle":"","family":"Ye","given":"Zhan","non-dropping-particle":"","parse-names":false,"suffix":""},{"dropping-particle":"","family":"D'Orazio","given":"John","non-dropping-particle":"","parse-names":false,"suffix":""}],"container-title":"Pediatric blood &amp; cancer","id":"ITEM-1","issue":"12","issued":{"date-parts":[["2014","12"]]},"page":"2302-4","publisher":"Pediatr Blood Cancer","title":"Dyskeratosis congenita caused by a novel TERT point mutation in siblings with pancytopenia and exudative retinopathy.","type":"article-journal","volume":"61"},"uris":["http://www.mendeley.com/documents/?uuid=29ba46af-4cdc-380a-9682-f86abec20e5c"]},{"id":"ITEM-2","itemData":{"DOI":"10.1111/resp.14145","ISSN":"1440-1843","PMID":"34580961","abstract":"BACKGROUND AND OBJECTIVE Diagnostic and predictive genetic testing for disease cause and risk estimation is common in many countries. For genetic diseases, predictive test results are commonly straightforward: presence of the mutation involves increased risk for disease and absence of the mutation involves no inherit risk for disease. Germline mutations in telomere-related genes (TRGs) can lead to telomere shortening and are associated with short telomere syndrome (STS). Telomere length is heritable, and in families with STS due to a TRG mutation, progeny with and without the TRG mutation is known to have shorter than average telomeres. We hypothesize that progeny of TRG mutation carriers who did not inherit the TRG mutation may still develop pulmonary fibrosis. METHODS A genetic screen of 99 unrelated families with familial pulmonary fibrosis revealed five patients with features of pulmonary fibrosis but without carrying the familial disease-causing TRG mutation. RESULTS Features of STS were present in each family, including short telomeres in blood and tissue of the non-mutation carrying patients. Additional genetic, clinical or environmental risk factors for pulmonary fibrosis were present in each non-mutation carrying patient. CONCLUSION Our study shows that non-mutation carrying first-degree relatives in families with STS are at increased risk for pulmonary fibrosis. Disease development may be triggered by inherited short telomeres and additional risk factors for disease. This observation has profound consequences for genetic counselling. Unlike any other genetic syndrome, absence of the mutation does not imply absence of disease risk. Therefore, clinical follow-up is still urged for non-mutation carrying first-degree family members.","author":[{"dropping-particle":"","family":"Vis","given":"Joanne J","non-dropping-particle":"van der","parse-names":false,"suffix":""},{"dropping-particle":"","family":"Smagt","given":"Jasper J","non-dropping-particle":"van der","parse-names":false,"suffix":""},{"dropping-particle":"","family":"Batenburg","given":"Aernoud A","non-dropping-particle":"van","parse-names":false,"suffix":""},{"dropping-particle":"","family":"Goldschmeding","given":"Roel","non-dropping-particle":"","parse-names":false,"suffix":""},{"dropping-particle":"","family":"Es","given":"H Wouter","non-dropping-particle":"van","parse-names":false,"suffix":""},{"dropping-particle":"","family":"Grutters","given":"Jan C","non-dropping-particle":"","parse-names":false,"suffix":""},{"dropping-particle":"","family":"Moorsel","given":"Coline H M","non-dropping-particle":"van","parse-names":false,"suffix":""}],"container-title":"Respirology (Carlton, Vic.)","id":"ITEM-2","issued":{"date-parts":[["2021","9","27"]]},"publisher":"Respirology","title":"Pulmonary fibrosis in non-mutation carriers of families with short telomere syndrome gene mutations.","type":"article-journal"},"uris":["http://www.mendeley.com/documents/?uuid=5f876d1b-be31-3f8f-a217-4f78acce5cfa"]},{"id":"ITEM-3","itemData":{"DOI":"10.1001/JAMANETWORKOPEN.2024.50111","ISSN":"25743805","PMID":"39661387","abstract":"Importance: Telomere biology disorders (TBDs) are inherited cancer-prone bone marrow failure syndromes with differences in morbidity and mortality based on mode of inheritance. Objective: To quantify cancer risks in TBDs by genetic subgroups. Design, Setting, and Participants: This longitudinal cohort study of TBDs assessed cancer occurrences from 2002 through 2022. Participants were individuals with a TBD-associated pathogenic germline variant recruited across institutions by self-referral. Data were collected and analyzed through June 30, 2022. Exposures: The exposure was TBD genotypes, with subgroups defined by inheritance pattern (autosomal-dominant [AD-non-TINF2] vs autosomal-recessive/X-linked [AR/XLR] vs AD-TINF2). Main Outcomes and Measures: The main outcome was cancer; secondary outcomes included death, or organ transplant. Cumulative cancer incidence was determined considering death or transplant as competing events. Observed:expected (O:E) ratios of cancer before and after any organ transplant were calculated using the National Cancer Institute's Surveillance, Epidemiology, and End Results Program. Results: Among 230 individuals with TBD (135 [58.7%] male; median [range] age at last follow-up, 34.6 [1.4-82.2] years) included, the risk of cancer was 3-fold higher than the general population (O:E, 3.35 [95% CI, 2.32-4.68]). The highest risk was observed in individuals with AR/XLR (O:E, 19.16 [95% CI, 9.19-35.24]) with a significantly younger cancer onset than in individuals with AD-non-TINF2 (median [range] age, 36.7 [25.2-53.6] years vs 44.5 [32.2-67.5] years; P =.01). The risk of solid tumors was highest in individuals with AR/XLR (O:E = 23.97 [95% CI, 10.96-45.50]), predominantly head and neck squamous cell carcinomas (O:E, 276.00 [95% CI, 75.20-706.67]). Hematologic malignant neoplasm risk was highest in individuals with AD-non-TINF2 (O:E, 9.41 [95% CI, 4.30-17.86]). Solid tumor cumulative incidence increased to 12% for individuals with AR/XLR by age 45 years and to 13% for individuals with AD-non-TINF2 by age 70 years. The cumulative incidence of hematologic malignant neoplasms leveled off at 2% by age 30 years and 19% by age 70 years in individuals with AR/XLR and AD-non-TINF2, respectively. Individuals with AD-TINF2 showed the highest cumulative incidence for transplant or death (49% by age 15 years). Following transplant, individuals with AR/XLR (O:E, 136.11 [95% CI, 54.72-280.44) or AD-TINF2 (O:E, 81.07 [95% CI, 16.72-236.92]) had the …","author":[{"dropping-particle":"","family":"Niewisch","given":"Marena R.","non-dropping-particle":"","parse-names":false,"suffix":""},{"dropping-particle":"","family":"Kim","given":"Jung","non-dropping-particle":"","parse-names":false,"suffix":""},{"dropping-particle":"","family":"Giri","given":"Neelam","non-dropping-particle":"","parse-names":false,"suffix":""},{"dropping-particle":"","family":"Lunger","given":"Judith C.","non-dropping-particle":"","parse-names":false,"suffix":""},{"dropping-particle":"","family":"McReynolds","given":"Lisa J.","non-dropping-particle":"","parse-names":false,"suffix":""},{"dropping-particle":"","family":"Savage","given":"Sharon A.","non-dropping-particle":"","parse-names":false,"suffix":""}],"container-title":"JAMA Network Open","id":"ITEM-3","issue":"12","issued":{"date-parts":[["2024","12","11"]]},"page":"e2450111","publisher":"American Medical Association","title":"Genotype and Associated Cancer Risk in Individuals With Telomere Biology Disorders","type":"article-journal","volume":"7"},"uris":["http://www.mendeley.com/documents/?uuid=dbce65b3-b87d-36d5-8feb-56941a885f75"]}],"mendeley":{"formattedCitation":"(23,33,44)","plainTextFormattedCitation":"(23,33,44)","previouslyFormattedCitation":"(23,33,44)"},"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(23,33,44)</w:t>
            </w:r>
            <w:r w:rsidRPr="006E42E0">
              <w:rPr>
                <w:rFonts w:ascii="Verdana" w:eastAsia="Times New Roman" w:hAnsi="Verdana" w:cs="Arial"/>
                <w:color w:val="000000"/>
                <w:sz w:val="16"/>
                <w:szCs w:val="20"/>
                <w:lang w:val="nl-NL" w:eastAsia="nl-NL"/>
              </w:rPr>
              <w:fldChar w:fldCharType="end"/>
            </w:r>
          </w:p>
        </w:tc>
      </w:tr>
      <w:tr w:rsidR="005C5BE9" w:rsidRPr="006E42E0" w14:paraId="350B757A" w14:textId="77777777" w:rsidTr="00E02DA9">
        <w:tc>
          <w:tcPr>
            <w:tcW w:w="1098" w:type="dxa"/>
            <w:tcBorders>
              <w:top w:val="nil"/>
              <w:left w:val="single" w:sz="4" w:space="0" w:color="auto"/>
              <w:bottom w:val="nil"/>
              <w:right w:val="nil"/>
            </w:tcBorders>
            <w:shd w:val="clear" w:color="000000" w:fill="DDEBF7"/>
            <w:noWrap/>
            <w:vAlign w:val="bottom"/>
            <w:hideMark/>
          </w:tcPr>
          <w:p w14:paraId="63B06B7E"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0218BF0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c.2798T&gt;C</w:t>
            </w:r>
          </w:p>
        </w:tc>
        <w:tc>
          <w:tcPr>
            <w:tcW w:w="1701" w:type="dxa"/>
            <w:tcBorders>
              <w:top w:val="nil"/>
              <w:left w:val="nil"/>
              <w:bottom w:val="nil"/>
              <w:right w:val="nil"/>
            </w:tcBorders>
            <w:shd w:val="clear" w:color="000000" w:fill="DDEBF7"/>
            <w:noWrap/>
            <w:vAlign w:val="bottom"/>
            <w:hideMark/>
          </w:tcPr>
          <w:p w14:paraId="0A654BD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6B1BE20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p.(Leu933Pro)</w:t>
            </w:r>
          </w:p>
        </w:tc>
        <w:tc>
          <w:tcPr>
            <w:tcW w:w="940" w:type="dxa"/>
            <w:tcBorders>
              <w:top w:val="nil"/>
              <w:left w:val="nil"/>
              <w:bottom w:val="nil"/>
              <w:right w:val="nil"/>
            </w:tcBorders>
            <w:shd w:val="clear" w:color="000000" w:fill="DDEBF7"/>
            <w:noWrap/>
            <w:vAlign w:val="bottom"/>
            <w:hideMark/>
          </w:tcPr>
          <w:p w14:paraId="27BA423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2F8AAD9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63163FF"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5FD6230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7F3F48D4" w14:textId="77777777" w:rsidTr="00E02DA9">
        <w:tc>
          <w:tcPr>
            <w:tcW w:w="1098" w:type="dxa"/>
            <w:tcBorders>
              <w:top w:val="nil"/>
              <w:left w:val="single" w:sz="4" w:space="0" w:color="auto"/>
              <w:bottom w:val="nil"/>
              <w:right w:val="nil"/>
            </w:tcBorders>
            <w:shd w:val="clear" w:color="auto" w:fill="auto"/>
            <w:noWrap/>
            <w:vAlign w:val="bottom"/>
            <w:hideMark/>
          </w:tcPr>
          <w:p w14:paraId="13A6954D"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78BA657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c.2884C&gt;T</w:t>
            </w:r>
          </w:p>
        </w:tc>
        <w:tc>
          <w:tcPr>
            <w:tcW w:w="1701" w:type="dxa"/>
            <w:tcBorders>
              <w:top w:val="nil"/>
              <w:left w:val="nil"/>
              <w:bottom w:val="nil"/>
              <w:right w:val="nil"/>
            </w:tcBorders>
            <w:shd w:val="clear" w:color="auto" w:fill="auto"/>
            <w:noWrap/>
            <w:vAlign w:val="bottom"/>
            <w:hideMark/>
          </w:tcPr>
          <w:p w14:paraId="21D4674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6C8B7DE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p.(Arg962Cys)</w:t>
            </w:r>
          </w:p>
        </w:tc>
        <w:tc>
          <w:tcPr>
            <w:tcW w:w="940" w:type="dxa"/>
            <w:tcBorders>
              <w:top w:val="nil"/>
              <w:left w:val="nil"/>
              <w:bottom w:val="nil"/>
              <w:right w:val="nil"/>
            </w:tcBorders>
            <w:shd w:val="clear" w:color="auto" w:fill="auto"/>
            <w:noWrap/>
            <w:vAlign w:val="bottom"/>
            <w:hideMark/>
          </w:tcPr>
          <w:p w14:paraId="3E695EE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auto" w:fill="auto"/>
            <w:noWrap/>
            <w:vAlign w:val="bottom"/>
            <w:hideMark/>
          </w:tcPr>
          <w:p w14:paraId="6B6AC46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79FE2A6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26AE13EE"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71769D8E" w14:textId="77777777" w:rsidTr="00E02DA9">
        <w:tc>
          <w:tcPr>
            <w:tcW w:w="1098" w:type="dxa"/>
            <w:tcBorders>
              <w:top w:val="nil"/>
              <w:left w:val="single" w:sz="4" w:space="0" w:color="auto"/>
              <w:bottom w:val="nil"/>
              <w:right w:val="nil"/>
            </w:tcBorders>
            <w:shd w:val="clear" w:color="000000" w:fill="DDEBF7"/>
            <w:noWrap/>
            <w:vAlign w:val="bottom"/>
            <w:hideMark/>
          </w:tcPr>
          <w:p w14:paraId="39D9F623"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79C45FC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c.2990T&gt;G</w:t>
            </w:r>
          </w:p>
        </w:tc>
        <w:tc>
          <w:tcPr>
            <w:tcW w:w="1701" w:type="dxa"/>
            <w:tcBorders>
              <w:top w:val="nil"/>
              <w:left w:val="nil"/>
              <w:bottom w:val="nil"/>
              <w:right w:val="nil"/>
            </w:tcBorders>
            <w:shd w:val="clear" w:color="000000" w:fill="DDEBF7"/>
            <w:noWrap/>
            <w:vAlign w:val="bottom"/>
            <w:hideMark/>
          </w:tcPr>
          <w:p w14:paraId="7D9B1E9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42F0B9C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p.(Val997Gly)</w:t>
            </w:r>
          </w:p>
        </w:tc>
        <w:tc>
          <w:tcPr>
            <w:tcW w:w="940" w:type="dxa"/>
            <w:tcBorders>
              <w:top w:val="nil"/>
              <w:left w:val="nil"/>
              <w:bottom w:val="nil"/>
              <w:right w:val="nil"/>
            </w:tcBorders>
            <w:shd w:val="clear" w:color="000000" w:fill="DDEBF7"/>
            <w:noWrap/>
            <w:vAlign w:val="bottom"/>
            <w:hideMark/>
          </w:tcPr>
          <w:p w14:paraId="2812FE8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7BBC2E1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D41953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5805CC2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4FEA58B1" w14:textId="77777777" w:rsidTr="00E02DA9">
        <w:tc>
          <w:tcPr>
            <w:tcW w:w="1098" w:type="dxa"/>
            <w:tcBorders>
              <w:top w:val="nil"/>
              <w:left w:val="single" w:sz="4" w:space="0" w:color="auto"/>
              <w:bottom w:val="nil"/>
              <w:right w:val="nil"/>
            </w:tcBorders>
            <w:shd w:val="clear" w:color="auto" w:fill="auto"/>
            <w:noWrap/>
            <w:vAlign w:val="bottom"/>
            <w:hideMark/>
          </w:tcPr>
          <w:p w14:paraId="6E874E2A"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57CE8B9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c.3072_3073delinsT</w:t>
            </w:r>
          </w:p>
        </w:tc>
        <w:tc>
          <w:tcPr>
            <w:tcW w:w="1701" w:type="dxa"/>
            <w:tcBorders>
              <w:top w:val="nil"/>
              <w:left w:val="nil"/>
              <w:bottom w:val="nil"/>
              <w:right w:val="nil"/>
            </w:tcBorders>
            <w:shd w:val="clear" w:color="auto" w:fill="auto"/>
            <w:noWrap/>
            <w:vAlign w:val="bottom"/>
            <w:hideMark/>
          </w:tcPr>
          <w:p w14:paraId="29CDA36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5101885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p.(Gln1024HisfsX24)</w:t>
            </w:r>
          </w:p>
        </w:tc>
        <w:tc>
          <w:tcPr>
            <w:tcW w:w="940" w:type="dxa"/>
            <w:tcBorders>
              <w:top w:val="nil"/>
              <w:left w:val="nil"/>
              <w:bottom w:val="nil"/>
              <w:right w:val="nil"/>
            </w:tcBorders>
            <w:shd w:val="clear" w:color="auto" w:fill="auto"/>
            <w:noWrap/>
            <w:vAlign w:val="bottom"/>
            <w:hideMark/>
          </w:tcPr>
          <w:p w14:paraId="42D7819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auto" w:fill="auto"/>
            <w:noWrap/>
            <w:vAlign w:val="bottom"/>
            <w:hideMark/>
          </w:tcPr>
          <w:p w14:paraId="6093427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0C6A9DF0"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7139C29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570F6F95" w14:textId="77777777" w:rsidTr="00E02DA9">
        <w:tc>
          <w:tcPr>
            <w:tcW w:w="1098" w:type="dxa"/>
            <w:tcBorders>
              <w:top w:val="nil"/>
              <w:left w:val="single" w:sz="4" w:space="0" w:color="auto"/>
              <w:bottom w:val="nil"/>
              <w:right w:val="nil"/>
            </w:tcBorders>
            <w:shd w:val="clear" w:color="000000" w:fill="DDEBF7"/>
            <w:noWrap/>
            <w:vAlign w:val="bottom"/>
            <w:hideMark/>
          </w:tcPr>
          <w:p w14:paraId="6C596FAA"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3E1DC624"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c.3101G&gt;A</w:t>
            </w:r>
          </w:p>
        </w:tc>
        <w:tc>
          <w:tcPr>
            <w:tcW w:w="1701" w:type="dxa"/>
            <w:tcBorders>
              <w:top w:val="nil"/>
              <w:left w:val="nil"/>
              <w:bottom w:val="nil"/>
              <w:right w:val="nil"/>
            </w:tcBorders>
            <w:shd w:val="clear" w:color="000000" w:fill="DDEBF7"/>
            <w:noWrap/>
            <w:vAlign w:val="bottom"/>
            <w:hideMark/>
          </w:tcPr>
          <w:p w14:paraId="174736C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220E73F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p.(Arg1034His)</w:t>
            </w:r>
          </w:p>
        </w:tc>
        <w:tc>
          <w:tcPr>
            <w:tcW w:w="940" w:type="dxa"/>
            <w:tcBorders>
              <w:top w:val="nil"/>
              <w:left w:val="nil"/>
              <w:bottom w:val="nil"/>
              <w:right w:val="nil"/>
            </w:tcBorders>
            <w:shd w:val="clear" w:color="000000" w:fill="DDEBF7"/>
            <w:noWrap/>
            <w:vAlign w:val="bottom"/>
            <w:hideMark/>
          </w:tcPr>
          <w:p w14:paraId="1F83E9F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22B30EF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4A51944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2065" w:type="dxa"/>
            <w:tcBorders>
              <w:top w:val="nil"/>
              <w:left w:val="nil"/>
              <w:bottom w:val="nil"/>
              <w:right w:val="single" w:sz="4" w:space="0" w:color="auto"/>
            </w:tcBorders>
            <w:shd w:val="clear" w:color="000000" w:fill="DDEBF7"/>
            <w:noWrap/>
            <w:vAlign w:val="bottom"/>
            <w:hideMark/>
          </w:tcPr>
          <w:p w14:paraId="36B19E3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3C0E1BC7" w14:textId="77777777" w:rsidTr="00E02DA9">
        <w:tc>
          <w:tcPr>
            <w:tcW w:w="1098" w:type="dxa"/>
            <w:tcBorders>
              <w:top w:val="nil"/>
              <w:left w:val="single" w:sz="4" w:space="0" w:color="auto"/>
              <w:bottom w:val="nil"/>
              <w:right w:val="nil"/>
            </w:tcBorders>
            <w:shd w:val="clear" w:color="auto" w:fill="auto"/>
            <w:noWrap/>
            <w:vAlign w:val="bottom"/>
            <w:hideMark/>
          </w:tcPr>
          <w:p w14:paraId="06388B89"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424DC98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c.3148A&gt;G</w:t>
            </w:r>
          </w:p>
        </w:tc>
        <w:tc>
          <w:tcPr>
            <w:tcW w:w="1701" w:type="dxa"/>
            <w:tcBorders>
              <w:top w:val="nil"/>
              <w:left w:val="nil"/>
              <w:bottom w:val="nil"/>
              <w:right w:val="nil"/>
            </w:tcBorders>
            <w:shd w:val="clear" w:color="auto" w:fill="auto"/>
            <w:noWrap/>
            <w:vAlign w:val="bottom"/>
            <w:hideMark/>
          </w:tcPr>
          <w:p w14:paraId="3D393A2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5779AD08"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p.(Lys1050Glu)</w:t>
            </w:r>
          </w:p>
        </w:tc>
        <w:tc>
          <w:tcPr>
            <w:tcW w:w="940" w:type="dxa"/>
            <w:tcBorders>
              <w:top w:val="nil"/>
              <w:left w:val="nil"/>
              <w:bottom w:val="nil"/>
              <w:right w:val="nil"/>
            </w:tcBorders>
            <w:shd w:val="clear" w:color="auto" w:fill="auto"/>
            <w:noWrap/>
            <w:vAlign w:val="bottom"/>
            <w:hideMark/>
          </w:tcPr>
          <w:p w14:paraId="71F0003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w:t>
            </w:r>
          </w:p>
        </w:tc>
        <w:tc>
          <w:tcPr>
            <w:tcW w:w="761" w:type="dxa"/>
            <w:tcBorders>
              <w:top w:val="nil"/>
              <w:left w:val="nil"/>
              <w:bottom w:val="nil"/>
              <w:right w:val="nil"/>
            </w:tcBorders>
            <w:shd w:val="clear" w:color="auto" w:fill="auto"/>
            <w:noWrap/>
            <w:vAlign w:val="bottom"/>
            <w:hideMark/>
          </w:tcPr>
          <w:p w14:paraId="1F445469"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1B66F65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580467C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{"citationItems":[{"id":"ITEM-1","itemData":{"DOI":"10.1164/rccm.200804-550OC","ISSN":"1073-449X","PMID":"18635888","abstract":"RATIONALE Heterozygous mutations in the coding regions of the telomerase genes, TERT and TERC, have been found in familial and sporadic cases of idiopathic interstitial pneumonia. All affected patients with mutations have short telomeres. OBJECTIVES To test whether telomere shortening is a frequent mechanism underlying pulmonary fibrosis, we have characterized telomere lengths in subjects with familial or sporadic disease who do not have coding mutations in TERT or TERC. METHODS Using a modified Southern blot assay, the telomerase restriction fragment length method, and a quantitative polymerase chain reaction assay we have measured telomere lengths of genomic DNA isolated from circulating leukocytes from normal control subjects and subjects with pulmonary fibrosis. MEASUREMENTS AND MAIN RESULTS All affected patients with telomerase mutations, including case subjects heterozygous for newly reported mutations in TERT, have short telomere lengths. A significantly higher proportion of probands with familial pulmonary fibrosis (24%) and sporadic case subjects (23%) in which no coding mutation in TERT or TERC was found had telomere lengths less than the 10th percentile when compared with control subjects (P = 2.6 x 10(-8)). Pulmonary fibrosis affectation status was significantly associated with telomerase restriction fragment lengths, even after controlling for age, sex, and ethnicity (P = 6.1 x 10(-11)). Overall, 25% of sporadic cases and 37% of familial cases of pulmonary fibrosis had telomere lengths less than the 10th percentile. CONCLUSIONS A significant fraction of individuals with pulmonary fibrosis have short telomere lengths that cannot be explained by coding mutations in telomerase. Telomere shortening of circulating leukocytes may be a marker for an increased predisposition toward the development of this age-associated disease.","author":[{"dropping-particle":"","family":"Cronkhite","given":"Jennifer T.","non-dropping-particle":"","parse-names":false,"suffix":""},{"dropping-particle":"","family":"Xing","given":"Chao","non-dropping-particle":"","parse-names":false,"suffix":""},{"dropping-particle":"","family":"Raghu","given":"Ganesh","non-dropping-particle":"","parse-names":false,"suffix":""},{"dropping-particle":"","family":"Chin","given":"Kelly M.","non-dropping-particle":"","parse-names":false,"suffix":""},{"dropping-particle":"","family":"Torres","given":"Fernando","non-dropping-particle":"","parse-names":false,"suffix":""},{"dropping-particle":"","family":"Rosenblatt","given":"Randall L.","non-dropping-particle":"","parse-names":false,"suffix":""},{"dropping-particle":"","family":"Garcia","given":"Christine Kim","non-dropping-particle":"","parse-names":false,"suffix":""}],"container-title":"American Journal of Respiratory and Critical Care Medicine","id":"ITEM-1","issue":"7","issued":{"date-parts":[["2008","10","1"]]},"page":"729-737","title":"Telomere Shortening in Familial and Sporadic Pulmonary Fibrosis","type":"article-journal","volume":"178"},"uris":["http://www.mendeley.com/documents/?uuid=3f2d7f40-bbc2-3535-81ae-0e524046f3b5"]},{"id":"ITEM-2","itemData":{"DOI":"10.1371/journal.pone.0010680","ISSN":"1932-6203","author":[{"dropping-particle":"","family":"Diaz de Leon","given":"Alberto","non-dropping-particle":"","parse-names":false,"suffix":""},{"dropping-particle":"","family":"Cronkhite","given":"Jennifer T.","non-dropping-particle":"","parse-names":false,"suffix":""},{"dropping-particle":"","family":"Katzenstein","given":"Anna-Luise A.","non-dropping-particle":"","parse-names":false,"suffix":""},{"dropping-particle":"","family":"Godwin","given":"J. David","non-dropping-particle":"","parse-names":false,"suffix":""},{"dropping-particle":"","family":"Raghu","given":"Ganesh","non-dropping-particle":"","parse-names":false,"suffix":""},{"dropping-particle":"","family":"Glazer","given":"Craig S.","non-dropping-particle":"","parse-names":false,"suffix":""},{"dropping-particle":"","family":"Rosenblatt","given":"Randall L.","non-dropping-particle":"","parse-names":false,"suffix":""},{"dropping-particle":"","family":"Girod","given":"Carlos E.","non-dropping-particle":"","parse-names":false,"suffix":""},{"dropping-particle":"","family":"Garrity","given":"Edward R.","non-dropping-particle":"","parse-names":false,"suffix":""},{"dropping-particle":"","family":"Xing","given":"Chao","non-dropping-particle":"","parse-names":false,"suffix":""},{"dropping-particle":"","family":"Garcia","given":"Christine Kim","non-dropping-particle":"","parse-names":false,"suffix":""}],"container-title":"PLoS ONE","editor":[{"dropping-particle":"","family":"Morty","given":"Rory Edward","non-dropping-particle":"","parse-names":false,"suffix":""}],"id":"ITEM-2","issue":"5","issued":{"date-parts":[["2010","5","19"]]},"page":"e10680","title":"Telomere Lengths, Pulmonary Fibrosis and Telomerase (TERT) Mutations","type":"article-journal","volume":"5"},"uris":["http://www.mendeley.com/documents/?uuid=6899afe7-cc2c-317e-a557-348c336cbf25"]},{"id":"ITEM-3","itemData":{"DOI":"10.1183/13993003.03198-2020","ISSN":"1399-3003","PMID":"33214205","author":[{"dropping-particle":"","family":"Justet","given":"Aurélien","non-dropping-particle":"","parse-names":false,"suffix":""},{"dropping-particle":"","family":"Klay","given":"Dymph","non-dropping-particle":"","parse-names":false,"suffix":""},{"dropping-particle":"","family":"Porcher","given":"Raphaël","non-dropping-particle":"","parse-names":false,"suffix":""},{"dropping-particle":"","family":"Cottin","given":"Vincent","non-dropping-particle":"","parse-names":false,"suffix":""},{"dropping-particle":"","family":"Ahmad","given":"Kais","non-dropping-particle":"","parse-names":false,"suffix":""},{"dropping-particle":"","family":"Molina","given":"Maria Molina","non-dropping-particle":"","parse-names":false,"suffix":""},{"dropping-particle":"","family":"Nunes","given":"Hilario","non-dropping-particle":"","parse-names":false,"suffix":""},{"dropping-particle":"","family":"Reynaud-Gaubert","given":"Martine","non-dropping-particle":"","parse-names":false,"suffix":""},{"dropping-particle":"","family":"Naccache","given":"Jean Marc","non-dropping-particle":"","parse-names":false,"suffix":""},{"dropping-particle":"","family":"Manali","given":"Effrosyni","non-dropping-particle":"","parse-names":false,"suffix":""},{"dropping-particle":"","family":"Froidure","given":"Antoine","non-dropping-particle":"","parse-names":false,"suffix":""},{"dropping-particle":"","family":"Jouneau","given":"Stéphane","non-dropping-particle":"","parse-names":false,"suffix":""},{"dropping-particle":"","family":"Wemeau","given":"Lidwine","non-dropping-particle":"","parse-names":false,"suffix":""},{"dropping-particle":"","family":"Andrejak","given":"Claire","non-dropping-particle":"","parse-names":false,"suffix":""},{"dropping-particle":"","family":"Gondouin","given":"Anne","non-dropping-particle":"","parse-names":false,"suffix":""},{"dropping-particle":"","family":"Hirschi","given":"Sandrine","non-dropping-particle":"","parse-names":false,"suffix":""},{"dropping-particle":"","family":"Blanchard","given":"Elodie","non-dropping-particle":"","parse-names":false,"suffix":""},{"dropping-particle":"","family":"Bondue1","given":"Benjamin","non-dropping-particle":"","parse-names":false,"suffix":""},{"dropping-particle":"","family":"Bonniaud","given":"Philippe","non-dropping-particle":"","parse-names":false,"suffix":""},{"dropping-particle":"","family":"Tromeur","given":"Cécile","non-dropping-particle":"","parse-names":false,"suffix":""},{"dropping-particle":"","family":"Prévot","given":"Grégoire","non-dropping-particle":"","parse-names":false,"suffix":""},{"dropping-particle":"","family":"Marchand-Adam","given":"Sylvain","non-dropping-particle":"","parse-names":false,"suffix":""},{"dropping-particle":"","family":"Funke-Chambour","given":"Manuela","non-dropping-particle":"","parse-names":false,"suffix":""},{"dropping-particle":"","family":"Gamez","given":"Anne Sophie","non-dropping-particle":"","parse-names":false,"suffix":""},{"dropping-particle":"","family":"Ba","given":"Ibrahima","non-dropping-particle":"","parse-names":false,"suffix":""},{"dropping-particle":"","family":"Papiris","given":"Spyridon","non-dropping-particle":"","parse-names":false,"suffix":""},{"dropping-particle":"","family":"Grutters","given":"Jan","non-dropping-particle":"","parse-names":false,"suffix":""},{"dropping-particle":"","family":"Crestani","given":"Bruno","non-dropping-particle":"","parse-names":false,"suffix":""},{"dropping-particle":"","family":"Moorsel","given":"Coline","non-dropping-particle":"Van","parse-names":false,"suffix":""},{"dropping-particle":"","family":"Kannengiesser","given":"Caroline","non-dropping-particle":"","parse-names":false,"suffix":""}],"container-title":"The European respiratory journal","id":"ITEM-3","issue":"2","issued":{"date-parts":[["2021","2","1"]]},"publisher":"Eur Respir J","title":"Safety and efficacy of pirfenidone and nintedanib in patients with idiopathic pulmonary fibrosis and carrying a telomere-related gene mutation","type":"article-journal","volume":"57"},"uris":["http://www.mendeley.com/documents/?uuid=449872d5-b359-3355-8d25-fe681381e043"]},{"id":"ITEM-4","itemData":{"DOI":"10.1183/13993003.00308-2016","ISSN":"13993003","PMID":"27540018","abstract":"Heterozygous mutations in four telomere-related genes have been linked to pulmonary fibrosis, but little is known about similarities or differences of affected individuals. 115 patients with mutations in telomerase reverse transcriptase ( TERT ) (n=75), telomerase RNA component ( TERC ) (n=7), regulator of telomere elongation helicase 1 ( RTEL1 ) (n=14) and poly(A)-specific ribonuclease ( PARN ) (n=19) were identified and clinical data were analysed. Approximately one-half (46%) had a multidisciplinary diagnosis of idiopathic pulmonary fibrosis (IPF); others had unclassifiable lung fibrosis (20%), chronic hypersensitivity pneumonitis (12%), pleuroparenchymal fibroelastosis (10%), interstitial pneumonia with autoimmune features (7%), an idiopathic interstitial pneumonia (4%) and connective tissue disease-related interstitial fibrosis (3%). Discordant interstitial lung disease diagnoses were found in affected individuals from 80% of families. Patients with TERC mutations were diagnosed at an earlier age than those with PARN mutations (51±11 years versus 64±8 years; p=0.03) and had a higher incidence of haematological comorbidities. The mean rate of forced vital capacity decline was 300 mL·year −1 and the median time to death or transplant was 2.87 years. There was no significant difference in time to death or transplant for patients across gene mutation groups or for patients with a diagnosis of IPF versus a non-IPF diagnosis. Genetic mutations in telomere related genes lead to a variety of interstitial lung disease (ILD) diagnoses that are universally progressive.","author":[{"dropping-particle":"","family":"Newton","given":"Chad A.","non-dropping-particle":"","parse-names":false,"suffix":""},{"dropping-particle":"","family":"Batra","given":"Kiran","non-dropping-particle":"","parse-names":false,"suffix":""},{"dropping-particle":"","family":"Torrealba","given":"Jose","non-dropping-particle":"","parse-names":false,"suffix":""},{"dropping-particle":"","family":"Kozlitina","given":"Julia","non-dropping-particle":"","parse-names":false,"suffix":""},{"dropping-particle":"","family":"Glazer","given":"Craig S.","non-dropping-particle":"","parse-names":false,"suffix":""},{"dropping-particle":"","family":"Aravena","given":"Carlos","non-dropping-particle":"","parse-names":false,"suffix":""},{"dropping-particle":"","family":"Meyer","given":"Keith","non-dropping-particle":"","parse-names":false,"suffix":""},{"dropping-particle":"","family":"Raghu","given":"Ganesh","non-dropping-particle":"","parse-names":false,"suffix":""},{"dropping-particle":"","family":"Collard","given":"Harold R.","non-dropping-particle":"","parse-names":false,"suffix":""},{"dropping-particle":"","family":"Garcia","given":"Christine Kim","non-dropping-particle":"","parse-names":false,"suffix":""}],"container-title":"European Respiratory Journal","id":"ITEM-4","issue":"6","issued":{"date-parts":[["2016","12"]]},"page":"1710-1720","title":"Telomere-related lung fibrosis is diagnostically heterogeneous but uniformly progressive","type":"article-journal","volume":"48"},"uris":["http://www.mendeley.com/documents/?uuid=bf2b8e8b-0812-4459-8548-56b85d585a32"]}],"mendeley":{"formattedCitation":"(7,37,38,45)","plainTextFormattedCitation":"(7,37,38,45)","previouslyFormattedCitation":"(7,37,38,45)"},"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(7,37,38,45)</w:t>
            </w:r>
            <w:r w:rsidRPr="006E42E0">
              <w:rPr>
                <w:rFonts w:ascii="Verdana" w:eastAsia="Times New Roman" w:hAnsi="Verdana" w:cs="Arial"/>
                <w:color w:val="000000"/>
                <w:sz w:val="16"/>
                <w:szCs w:val="20"/>
                <w:lang w:val="nl-NL" w:eastAsia="nl-NL"/>
              </w:rPr>
              <w:fldChar w:fldCharType="end"/>
            </w:r>
          </w:p>
        </w:tc>
      </w:tr>
      <w:tr w:rsidR="005C5BE9" w:rsidRPr="006E42E0" w14:paraId="7E8E2D1E" w14:textId="77777777" w:rsidTr="00E02DA9">
        <w:tc>
          <w:tcPr>
            <w:tcW w:w="1098" w:type="dxa"/>
            <w:tcBorders>
              <w:top w:val="nil"/>
              <w:left w:val="single" w:sz="4" w:space="0" w:color="auto"/>
              <w:bottom w:val="nil"/>
              <w:right w:val="nil"/>
            </w:tcBorders>
            <w:shd w:val="clear" w:color="000000" w:fill="DDEBF7"/>
            <w:noWrap/>
            <w:vAlign w:val="bottom"/>
            <w:hideMark/>
          </w:tcPr>
          <w:p w14:paraId="044C7D02"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056475C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c.3167T&gt;G</w:t>
            </w:r>
          </w:p>
        </w:tc>
        <w:tc>
          <w:tcPr>
            <w:tcW w:w="1701" w:type="dxa"/>
            <w:tcBorders>
              <w:top w:val="nil"/>
              <w:left w:val="nil"/>
              <w:bottom w:val="nil"/>
              <w:right w:val="nil"/>
            </w:tcBorders>
            <w:shd w:val="clear" w:color="000000" w:fill="DDEBF7"/>
            <w:noWrap/>
            <w:vAlign w:val="bottom"/>
            <w:hideMark/>
          </w:tcPr>
          <w:p w14:paraId="7A07ABD5"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1358085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p.(Leu1056Arg)</w:t>
            </w:r>
          </w:p>
        </w:tc>
        <w:tc>
          <w:tcPr>
            <w:tcW w:w="940" w:type="dxa"/>
            <w:tcBorders>
              <w:top w:val="nil"/>
              <w:left w:val="nil"/>
              <w:bottom w:val="nil"/>
              <w:right w:val="nil"/>
            </w:tcBorders>
            <w:shd w:val="clear" w:color="000000" w:fill="DDEBF7"/>
            <w:noWrap/>
            <w:vAlign w:val="bottom"/>
            <w:hideMark/>
          </w:tcPr>
          <w:p w14:paraId="33448BC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67B25403"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3F4DDC51"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nil"/>
            </w:tcBorders>
            <w:shd w:val="clear" w:color="000000" w:fill="DDEBF7"/>
            <w:noWrap/>
            <w:vAlign w:val="bottom"/>
            <w:hideMark/>
          </w:tcPr>
          <w:p w14:paraId="2909F87A" w14:textId="64EB29ED" w:rsidR="006E42E0" w:rsidRPr="006E42E0" w:rsidRDefault="005C5BE9" w:rsidP="00E02DA9">
            <w:pPr>
              <w:spacing w:after="0" w:line="240" w:lineRule="auto"/>
              <w:ind w:left="-747"/>
              <w:rPr>
                <w:rFonts w:ascii="Verdana" w:eastAsia="Times New Roman" w:hAnsi="Verdana" w:cs="Arial"/>
                <w:color w:val="000000"/>
                <w:sz w:val="16"/>
                <w:szCs w:val="20"/>
                <w:lang w:val="nl-NL" w:eastAsia="nl-NL"/>
              </w:rPr>
            </w:pPr>
            <w:r>
              <w:rPr>
                <w:rFonts w:ascii="Verdana" w:eastAsia="Times New Roman" w:hAnsi="Verdana" w:cs="Arial"/>
                <w:color w:val="000000"/>
                <w:sz w:val="16"/>
                <w:szCs w:val="20"/>
                <w:lang w:val="nl-NL" w:eastAsia="nl-NL"/>
              </w:rPr>
              <w:fldChar w:fldCharType="begin" w:fldLock="1"/>
            </w:r>
            <w:r>
              <w:rPr>
                <w:rFonts w:ascii="Verdana" w:eastAsia="Times New Roman" w:hAnsi="Verdana" w:cs="Arial"/>
                <w:color w:val="000000"/>
                <w:sz w:val="16"/>
                <w:szCs w:val="20"/>
                <w:lang w:val="nl-NL" w:eastAsia="nl-NL"/>
              </w:rPr>
              <w:instrText>ADDIN CSL_CITATION {"citationItems":[{"id":"ITEM-1","itemData":{"DOI":"10.1183/13993003.00577-2022","ISSN":"1399-3003","PMID":"36028256","abstract":"Background Whole genome sequencing (WGS) can detect variants and estimate telomere length. The clinical utility of WGS in estimating risk, progression and survival of pulmonary fibrosis patients is unknown. Methods In this observational cohort study, we performed WGS on 949 patients with idiopathic pulmonary fibrosis or familial pulmonary fibrosis to determine rare and common variant genotypes, estimate telomere length and assess the association of genomic factors with clinical outcomes. Results WGS estimates of telomere length correlated with quantitative PCR (R=0.65) and Southern blot (R=0.71) measurements. Rare deleterious qualifying variants were found in 14% of the total cohort, with a five-fold increase in those with a family history of disease versus those without (25% versus 5%). Most rare qualifying variants (85%) were found in telomere-related genes and were associated with shorter telomere lengths. Rare qualifying variants had a greater effect on telomere length than a polygenic risk score calculated using 20 common variants previously associated with telomere length. The common variant polygenic risk score predicted telomere length only in sporadic disease. Reduced transplant-free survival was associated with rare qualifying variants, shorter quantitative PCR-measured telomere lengths and absence of the MUC5B promoter (rs35705950) single nucleotide polymorphism, but not with WGS-estimated telomere length or the common variant polygenic risk score. Disease progression was associated with both measures of telomere length (quantitative PCR measured and WGS estimated), rare qualifying variants and the common variant polygenic risk score. Conclusion As a single test, WGS can inform pulmonary fibrosis genetic-mediated risk, evaluate the functional effect of telomere-related variants by estimating telomere length, and prognosticate clinically relevant disease outcomes.","author":[{"dropping-particle":"","family":"Zhang","given":"David","non-dropping-particle":"","parse-names":false,"suffix":""},{"dropping-particle":"","family":"Newton","given":"Chad A.","non-dropping-particle":"","parse-names":false,"suffix":""},{"dropping-particle":"","family":"Wang","given":"Binhan","non-dropping-particle":"","parse-names":false,"suffix":""},{"dropping-particle":"","family":"Povysil","given":"Gundula","non-dropping-particle":"","parse-names":false,"suffix":""},{"dropping-particle":"","family":"Noth","given":"Imre","non-dropping-particle":"","parse-names":false,"suffix":""},{"dropping-particle":"","family":"Martinez","given":"Fernando J.","non-dropping-particle":"","parse-names":false,"suffix":""},{"dropping-particle":"","family":"Raghu","given":"Ganesh","non-dropping-particle":"","parse-names":false,"suffix":""},{"dropping-particle":"","family":"Goldstein","given":"David","non-dropping-particle":"","parse-names":false,"suffix":""},{"dropping-particle":"","family":"Garcia","given":"Christine Kim","non-dropping-particle":"","parse-names":false,"suffix":""}],"container-title":"The European respiratory journal","id":"ITEM-1","issue":"6","issued":{"date-parts":[["2022","12","1"]]},"publisher":"Eur Respir J","title":"Utility of whole genome sequencing in assessing risk and clinically relevant outcomes for pulmonary fibrosis","type":"article-journal","volume":"60"},"uris":["http://www.mendeley.com/documents/?uuid=f0aff755-49ef-3a91-a242-5681db5153eb"]}],"mendeley":{"formattedCitation":"(22)","plainTextFormattedCitation":"(22)"},"properties":{"noteIndex":0},"schema":"https://github.com/citation-style-language/schema/raw/master/csl-citation.json"}</w:instrText>
            </w:r>
            <w:r>
              <w:rPr>
                <w:rFonts w:ascii="Verdana" w:eastAsia="Times New Roman" w:hAnsi="Verdana" w:cs="Arial"/>
                <w:color w:val="000000"/>
                <w:sz w:val="16"/>
                <w:szCs w:val="20"/>
                <w:lang w:val="nl-NL" w:eastAsia="nl-NL"/>
              </w:rPr>
              <w:fldChar w:fldCharType="separate"/>
            </w:r>
            <w:r w:rsidRPr="005C5BE9">
              <w:rPr>
                <w:rFonts w:ascii="Verdana" w:eastAsia="Times New Roman" w:hAnsi="Verdana" w:cs="Arial"/>
                <w:noProof/>
                <w:color w:val="000000"/>
                <w:sz w:val="16"/>
                <w:szCs w:val="20"/>
                <w:lang w:val="nl-NL" w:eastAsia="nl-NL"/>
              </w:rPr>
              <w:t>(22)</w:t>
            </w:r>
            <w:r>
              <w:rPr>
                <w:rFonts w:ascii="Verdana" w:eastAsia="Times New Roman" w:hAnsi="Verdana" w:cs="Arial"/>
                <w:color w:val="000000"/>
                <w:sz w:val="16"/>
                <w:szCs w:val="20"/>
                <w:lang w:val="nl-NL" w:eastAsia="nl-NL"/>
              </w:rPr>
              <w:fldChar w:fldCharType="end"/>
            </w:r>
          </w:p>
        </w:tc>
      </w:tr>
      <w:tr w:rsidR="005C5BE9" w:rsidRPr="006E42E0" w14:paraId="5D039DC9" w14:textId="77777777" w:rsidTr="00E02DA9">
        <w:tc>
          <w:tcPr>
            <w:tcW w:w="1098" w:type="dxa"/>
            <w:tcBorders>
              <w:top w:val="nil"/>
              <w:left w:val="single" w:sz="4" w:space="0" w:color="auto"/>
              <w:right w:val="nil"/>
            </w:tcBorders>
            <w:shd w:val="clear" w:color="auto" w:fill="auto"/>
            <w:noWrap/>
            <w:vAlign w:val="bottom"/>
            <w:hideMark/>
          </w:tcPr>
          <w:p w14:paraId="2F65DF12"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auto" w:fill="auto"/>
            <w:noWrap/>
            <w:vAlign w:val="bottom"/>
            <w:hideMark/>
          </w:tcPr>
          <w:p w14:paraId="722B8316"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c.3187G&gt;A</w:t>
            </w:r>
          </w:p>
        </w:tc>
        <w:tc>
          <w:tcPr>
            <w:tcW w:w="1701" w:type="dxa"/>
            <w:tcBorders>
              <w:top w:val="nil"/>
              <w:left w:val="nil"/>
              <w:bottom w:val="nil"/>
              <w:right w:val="nil"/>
            </w:tcBorders>
            <w:shd w:val="clear" w:color="auto" w:fill="auto"/>
            <w:noWrap/>
            <w:vAlign w:val="bottom"/>
            <w:hideMark/>
          </w:tcPr>
          <w:p w14:paraId="0A50E32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auto" w:fill="auto"/>
            <w:noWrap/>
            <w:vAlign w:val="bottom"/>
            <w:hideMark/>
          </w:tcPr>
          <w:p w14:paraId="5C25E71D"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p.(Gly1063Ser)</w:t>
            </w:r>
          </w:p>
        </w:tc>
        <w:tc>
          <w:tcPr>
            <w:tcW w:w="940" w:type="dxa"/>
            <w:tcBorders>
              <w:top w:val="nil"/>
              <w:left w:val="nil"/>
              <w:bottom w:val="nil"/>
              <w:right w:val="nil"/>
            </w:tcBorders>
            <w:shd w:val="clear" w:color="auto" w:fill="auto"/>
            <w:noWrap/>
            <w:vAlign w:val="bottom"/>
            <w:hideMark/>
          </w:tcPr>
          <w:p w14:paraId="35202EF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auto" w:fill="auto"/>
            <w:noWrap/>
            <w:vAlign w:val="bottom"/>
            <w:hideMark/>
          </w:tcPr>
          <w:p w14:paraId="2EB73F2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auto" w:fill="auto"/>
            <w:noWrap/>
            <w:vAlign w:val="bottom"/>
            <w:hideMark/>
          </w:tcPr>
          <w:p w14:paraId="46FEB18E"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auto" w:fill="auto"/>
            <w:noWrap/>
            <w:vAlign w:val="bottom"/>
            <w:hideMark/>
          </w:tcPr>
          <w:p w14:paraId="33EE6E20"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{"citationItems":[{"id":"ITEM-1","itemData":{"DOI":"10.1371/journal.pone.0010680","ISSN":"1932-6203","author":[{"dropping-particle":"","family":"Diaz de Leon","given":"Alberto","non-dropping-particle":"","parse-names":false,"suffix":""},{"dropping-particle":"","family":"Cronkhite","given":"Jennifer T.","non-dropping-particle":"","parse-names":false,"suffix":""},{"dropping-particle":"","family":"Katzenstein","given":"Anna-Luise A.","non-dropping-particle":"","parse-names":false,"suffix":""},{"dropping-particle":"","family":"Godwin","given":"J. David","non-dropping-particle":"","parse-names":false,"suffix":""},{"dropping-particle":"","family":"Raghu","given":"Ganesh","non-dropping-particle":"","parse-names":false,"suffix":""},{"dropping-particle":"","family":"Glazer","given":"Craig S.","non-dropping-particle":"","parse-names":false,"suffix":""},{"dropping-particle":"","family":"Rosenblatt","given":"Randall L.","non-dropping-particle":"","parse-names":false,"suffix":""},{"dropping-particle":"","family":"Girod","given":"Carlos E.","non-dropping-particle":"","parse-names":false,"suffix":""},{"dropping-particle":"","family":"Garrity","given":"Edward R.","non-dropping-particle":"","parse-names":false,"suffix":""},{"dropping-particle":"","family":"Xing","given":"Chao","non-dropping-particle":"","parse-names":false,"suffix":""},{"dropping-particle":"","family":"Garcia","given":"Christine Kim","non-dropping-particle":"","parse-names":false,"suffix":""}],"container-title":"PLoS ONE","editor":[{"dropping-particle":"","family":"Morty","given":"Rory Edward","non-dropping-particle":"","parse-names":false,"suffix":""}],"id":"ITEM-1","issue":"5","issued":{"date-parts":[["2010","5","19"]]},"page":"e10680","title":"Telomere Lengths, Pulmonary Fibrosis and Telomerase (TERT) Mutations","type":"article-journal","volume":"5"},"uris":["http://www.mendeley.com/documents/?uuid=6899afe7-cc2c-317e-a557-348c336cbf25"]},{"id":"ITEM-2","itemData":{"DOI":"10.1016/S2213-2600(18)30135-8","ISSN":"2213-2619","PMID":"29891356","abstract":"Background: Idiopathic pulmonary fibrosis (IPF) risk has a strong genetic component. Studies have implicated variations at several loci, including TERT, surfactant genes, and a single nucleotide polymorphism at chr11p15 (rs35705950) in the intergenic region between TOLLIP and MUC5B. Patients with IPF who have risk alleles at rs35705950 have longer survival from the time of IPF diagnosis than do patients homozygous for the non-risk allele, whereas patients with shorter telomeres have shorter survival times. We aimed to assess whether rare protein-altering variants in genes regulating telomere length are enriched in patients with IPF homozygous for the non-risk alleles at rs35705950. Methods: Between Nov 1, 2014, and Nov 1, 2016, we assessed blood samples from patients aged 40 years or older and of European ancestry with sporadic IPF from three international phase 3 clinical trials (INSPIRE, CAPACITY, ASCEND), one phase 2 study (RIFF), and US-based observational studies (Vanderbilt Clinical Interstitial Lung Disease Registry and the UCSF Interstitial Lung Disease Clinic registry cohorts) at the Broad Institute (Cambridge, MA, USA) and Human Longevity (San Diego, CA, USA). We also assessed blood samples from non-IPF controls in several clinical trials. We did whole-genome sequencing to assess telomere length and identify rare protein-altering variants, stratified by rs35705950 genotype. We also assessed rare functional variation in TERT exons and compared telomere length and disease progression across genotypes. Findings: We assessed samples from 1510 patients with IPF and 1874 non-IPF controls. 30 (3%) of 1046 patients with an rs35705950 risk allele had a rare protein-altering variant in TERT compared with 34 (7%) of 464 non-risk allele carriers (odds ratio 0·40 [95% CI 0·24–0·66], p=0·00039). Subsequent analyses identified enrichment of rare protein-altering variants in PARN and RTEL1, and rare variation in TERC in patients with IPF compared with controls. We expanded our study population to provide a more accurate estimation of rare variant frequency in these four loci, and to calculate telomere length. The proportion of patients with at least one rare variant in TERT, PARN, TERC, or RTEL1 was higher in patients with IPF than in controls (149 [9%] of 1739 patients vs 205 [2%] of 8645 controls, p=2·44 × 10−8). Patients with IPF who had a variant in any of the four identified telomerase component genes had telomeres that were 3·69–16·10% shorter than pati…","author":[{"dropping-particle":"","family":"Dressen","given":"Amy","non-dropping-particle":"","parse-names":false,"suffix":""},{"dropping-particle":"","family":"Abbas","given":"Alexander R.","non-dropping-particle":"","parse-names":false,"suffix":""},{"dropping-particle":"","family":"Cabanski","given":"Christopher","non-dropping-particle":"","parse-names":false,"suffix":""},{"dropping-particle":"","family":"Reeder","given":"Janina","non-dropping-particle":"","parse-names":false,"suffix":""},{"dropping-particle":"","family":"Ramalingam","given":"Thirumalai R.","non-dropping-particle":"","parse-names":false,"suffix":""},{"dropping-particle":"","family":"Neighbors","given":"Margaret","non-dropping-particle":"","parse-names":false,"suffix":""},{"dropping-particle":"","family":"Bhangale","given":"Tushar R.","non-dropping-particle":"","parse-names":false,"suffix":""},{"dropping-particle":"","family":"Brauer","given":"Matthew J.","non-dropping-particle":"","parse-names":false,"suffix":""},{"dropping-particle":"","family":"Hunkapiller","given":"Julie","non-dropping-particle":"","parse-names":false,"suffix":""},{"dropping-particle":"","family":"Reeder","given":"Jens","non-dropping-particle":"","parse-names":false,"suffix":""},{"dropping-particle":"","family":"Mukhyala","given":"Kiran","non-dropping-particle":"","parse-names":false,"suffix":""},{"dropping-particle":"","family":"Cuenco","given":"Karen","non-dropping-particle":"","parse-names":false,"suffix":""},{"dropping-particle":"","family":"Tom","given":"Jennifer","non-dropping-particle":"","parse-names":false,"suffix":""},{"dropping-particle":"","family":"Cowgill","given":"Amy","non-dropping-particle":"","parse-names":false,"suffix":""},{"dropping-particle":"","family":"Vogel","given":"Jan","non-dropping-particle":"","parse-names":false,"suffix":""},{"dropping-particle":"","family":"Forrest","given":"William F.","non-dropping-particle":"","parse-names":false,"suffix":""},{"dropping-particle":"","family":"Collard","given":"Harold R.","non-dropping-particle":"","parse-names":false,"suffix":""},{"dropping-particle":"","family":"Wolters","given":"Paul J.","non-dropping-particle":"","parse-names":false,"suffix":""},{"dropping-particle":"","family":"Kropski","given":"Jonathan A.","non-dropping-particle":"","parse-names":false,"suffix":""},{"dropping-particle":"","family":"Lancaster","given":"Lisa H.","non-dropping-particle":"","parse-names":false,"suffix":""},{"dropping-particle":"","family":"Blackwell","given":"Timothy S.","non-dropping-particle":"","parse-names":false,"suffix":""},{"dropping-particle":"","family":"Arron","given":"Joseph R.","non-dropping-particle":"","parse-names":false,"suffix":""},{"dropping-particle":"","family":"Yaspan","given":"Brian L.","non-dropping-particle":"","parse-names":false,"suffix":""}],"container-title":"The Lancet. Respiratory medicine","id":"ITEM-2","issue":"8","issued":{"date-parts":[["2018","8","1"]]},"page":"603-614","publisher":"Lancet Respir Med","title":"Analysis of protein-altering variants in telomerase genes and their association with MUC5B common variant status in patients with idiopathic pulmonary fibrosis: a candidate gene sequencing study","type":"article-journal","volume":"6"},"uris":["http://www.mendeley.com/documents/?uuid=55704541-9ff7-341c-ae97-7c383b83fb44"]},{"id":"ITEM-3","itemData":{"DOI":"10.1183/13993003.00308-2016","ISSN":"13993003","PMID":"27540018","abstract":"Heterozygous mutations in four telomere-related genes have been linked to pulmonary fibrosis, but little is known about similarities or differences of affected individuals. 115 patients with mutations in telomerase reverse transcriptase ( TERT ) (n=75), telomerase RNA component ( TERC ) (n=7), regulator of telomere elongation helicase 1 ( RTEL1 ) (n=14) and poly(A)-specific ribonuclease ( PARN ) (n=19) were identified and clinical data were analysed. Approximately one-half (46%) had a multidisciplinary diagnosis of idiopathic pulmonary fibrosis (IPF); others had unclassifiable lung fibrosis (20%), chronic hypersensitivity pneumonitis (12%), pleuroparenchymal fibroelastosis (10%), interstitial pneumonia with autoimmune features (7%), an idiopathic interstitial pneumonia (4%) and connective tissue disease-related interstitial fibrosis (3%). Discordant interstitial lung disease diagnoses were found in affected individuals from 80% of families. Patients with TERC mutations were diagnosed at an earlier age than those with PARN mutations (51±11 years versus 64±8 years; p=0.03) and had a higher incidence of haematological comorbidities. The mean rate of forced vital capacity decline was 300 mL·year −1 and the median time to death or transplant was 2.87 years. There was no significant difference in time to death or transplant for patients across gene mutation groups or for patients with a diagnosis of IPF versus a non-IPF diagnosis. Genetic mutations in telomere related genes lead to a variety of interstitial lung disease (ILD) diagnoses that are universally progressive.","author":[{"dropping-particle":"","family":"Newton","given":"Chad A.","non-dropping-particle":"","parse-names":false,"suffix":""},{"dropping-particle":"","family":"Batra","given":"Kiran","non-dropping-particle":"","parse-names":false,"suffix":""},{"dropping-particle":"","family":"Torrealba","given":"Jose","non-dropping-particle":"","parse-names":false,"suffix":""},{"dropping-particle":"","family":"Kozlitina","given":"Julia","non-dropping-particle":"","parse-names":false,"suffix":""},{"dropping-particle":"","family":"Glazer","given":"Craig S.","non-dropping-particle":"","parse-names":false,"suffix":""},{"dropping-particle":"","family":"Aravena","given":"Carlos","non-dropping-particle":"","parse-names":false,"suffix":""},{"dropping-particle":"","family":"Meyer","given":"Keith","non-dropping-particle":"","parse-names":false,"suffix":""},{"dropping-particle":"","family":"Raghu","given":"Ganesh","non-dropping-particle":"","parse-names":false,"suffix":""},{"dropping-particle":"","family":"Collard","given":"Harold R.","non-dropping-particle":"","parse-names":false,"suffix":""},{"dropping-particle":"","family":"Garcia","given":"Christine Kim","non-dropping-particle":"","parse-names":false,"suffix":""}],"container-title":"European Respiratory Journal","id":"ITEM-3","issue":"6","issued":{"date-parts":[["2016","12"]]},"page":"1710-1720","title":"Telomere-related lung fibrosis is diagnostically heterogeneous but uniformly progressive","type":"article-journal","volume":"48"},"uris":["http://www.mendeley.com/documents/?uuid=bf2b8e8b-0812-4459-8548-56b85d585a32"]}],"mendeley":{"formattedCitation":"(13,37,38)","plainTextFormattedCitation":"(13,37,38)","previouslyFormattedCitation":"(13,37,38)"},"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(13,37,38)</w:t>
            </w:r>
            <w:r w:rsidRPr="006E42E0">
              <w:rPr>
                <w:rFonts w:ascii="Verdana" w:eastAsia="Times New Roman" w:hAnsi="Verdana" w:cs="Arial"/>
                <w:color w:val="000000"/>
                <w:sz w:val="16"/>
                <w:szCs w:val="20"/>
                <w:lang w:val="nl-NL" w:eastAsia="nl-NL"/>
              </w:rPr>
              <w:fldChar w:fldCharType="end"/>
            </w:r>
          </w:p>
        </w:tc>
      </w:tr>
      <w:tr w:rsidR="005C5BE9" w:rsidRPr="006E42E0" w14:paraId="5B2AA8AB" w14:textId="77777777" w:rsidTr="00E02DA9">
        <w:tc>
          <w:tcPr>
            <w:tcW w:w="1098" w:type="dxa"/>
            <w:tcBorders>
              <w:top w:val="nil"/>
              <w:left w:val="single" w:sz="4" w:space="0" w:color="auto"/>
              <w:bottom w:val="nil"/>
              <w:right w:val="nil"/>
            </w:tcBorders>
            <w:shd w:val="clear" w:color="000000" w:fill="DDEBF7"/>
            <w:noWrap/>
            <w:vAlign w:val="bottom"/>
            <w:hideMark/>
          </w:tcPr>
          <w:p w14:paraId="6EC911E4"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nil"/>
              <w:right w:val="nil"/>
            </w:tcBorders>
            <w:shd w:val="clear" w:color="000000" w:fill="DDEBF7"/>
            <w:noWrap/>
            <w:vAlign w:val="bottom"/>
            <w:hideMark/>
          </w:tcPr>
          <w:p w14:paraId="32C04AE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c.3208G&gt;A</w:t>
            </w:r>
          </w:p>
        </w:tc>
        <w:tc>
          <w:tcPr>
            <w:tcW w:w="1701" w:type="dxa"/>
            <w:tcBorders>
              <w:top w:val="nil"/>
              <w:left w:val="nil"/>
              <w:bottom w:val="nil"/>
              <w:right w:val="nil"/>
            </w:tcBorders>
            <w:shd w:val="clear" w:color="000000" w:fill="DDEBF7"/>
            <w:noWrap/>
            <w:vAlign w:val="bottom"/>
            <w:hideMark/>
          </w:tcPr>
          <w:p w14:paraId="1606F337"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nil"/>
              <w:right w:val="nil"/>
            </w:tcBorders>
            <w:shd w:val="clear" w:color="000000" w:fill="DDEBF7"/>
            <w:noWrap/>
            <w:vAlign w:val="bottom"/>
            <w:hideMark/>
          </w:tcPr>
          <w:p w14:paraId="23AD304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p.(Val1070Met)</w:t>
            </w:r>
          </w:p>
        </w:tc>
        <w:tc>
          <w:tcPr>
            <w:tcW w:w="940" w:type="dxa"/>
            <w:tcBorders>
              <w:top w:val="nil"/>
              <w:left w:val="nil"/>
              <w:bottom w:val="nil"/>
              <w:right w:val="nil"/>
            </w:tcBorders>
            <w:shd w:val="clear" w:color="000000" w:fill="DDEBF7"/>
            <w:noWrap/>
            <w:vAlign w:val="bottom"/>
            <w:hideMark/>
          </w:tcPr>
          <w:p w14:paraId="46226046"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nil"/>
              <w:right w:val="nil"/>
            </w:tcBorders>
            <w:shd w:val="clear" w:color="000000" w:fill="DDEBF7"/>
            <w:noWrap/>
            <w:vAlign w:val="bottom"/>
            <w:hideMark/>
          </w:tcPr>
          <w:p w14:paraId="2FD42BA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799B97C8"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611AC5F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 </w:t>
            </w:r>
          </w:p>
        </w:tc>
      </w:tr>
      <w:tr w:rsidR="005C5BE9" w:rsidRPr="006E42E0" w14:paraId="0D2AD5E9" w14:textId="77777777" w:rsidTr="00E02DA9">
        <w:tc>
          <w:tcPr>
            <w:tcW w:w="1098" w:type="dxa"/>
            <w:tcBorders>
              <w:top w:val="nil"/>
              <w:left w:val="single" w:sz="4" w:space="0" w:color="auto"/>
              <w:bottom w:val="single" w:sz="4" w:space="0" w:color="auto"/>
              <w:right w:val="nil"/>
            </w:tcBorders>
            <w:shd w:val="clear" w:color="auto" w:fill="auto"/>
            <w:noWrap/>
            <w:vAlign w:val="bottom"/>
            <w:hideMark/>
          </w:tcPr>
          <w:p w14:paraId="0E958A95"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TERT</w:t>
            </w:r>
          </w:p>
        </w:tc>
        <w:tc>
          <w:tcPr>
            <w:tcW w:w="1591" w:type="dxa"/>
            <w:tcBorders>
              <w:top w:val="nil"/>
              <w:left w:val="nil"/>
              <w:bottom w:val="single" w:sz="4" w:space="0" w:color="auto"/>
              <w:right w:val="nil"/>
            </w:tcBorders>
            <w:shd w:val="clear" w:color="auto" w:fill="auto"/>
            <w:noWrap/>
            <w:vAlign w:val="bottom"/>
            <w:hideMark/>
          </w:tcPr>
          <w:p w14:paraId="19F21D2B"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c.3256C&gt;T</w:t>
            </w:r>
          </w:p>
        </w:tc>
        <w:tc>
          <w:tcPr>
            <w:tcW w:w="1701" w:type="dxa"/>
            <w:tcBorders>
              <w:top w:val="nil"/>
              <w:left w:val="nil"/>
              <w:bottom w:val="single" w:sz="4" w:space="0" w:color="auto"/>
              <w:right w:val="nil"/>
            </w:tcBorders>
            <w:shd w:val="clear" w:color="auto" w:fill="auto"/>
            <w:noWrap/>
            <w:vAlign w:val="bottom"/>
            <w:hideMark/>
          </w:tcPr>
          <w:p w14:paraId="7855C67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NM_198253.3</w:t>
            </w:r>
          </w:p>
        </w:tc>
        <w:tc>
          <w:tcPr>
            <w:tcW w:w="1507" w:type="dxa"/>
            <w:tcBorders>
              <w:top w:val="nil"/>
              <w:left w:val="nil"/>
              <w:bottom w:val="single" w:sz="4" w:space="0" w:color="auto"/>
              <w:right w:val="nil"/>
            </w:tcBorders>
            <w:shd w:val="clear" w:color="auto" w:fill="auto"/>
            <w:noWrap/>
            <w:vAlign w:val="bottom"/>
            <w:hideMark/>
          </w:tcPr>
          <w:p w14:paraId="0DAAFCBA"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p.(Arg1086Cys)</w:t>
            </w:r>
          </w:p>
        </w:tc>
        <w:tc>
          <w:tcPr>
            <w:tcW w:w="940" w:type="dxa"/>
            <w:tcBorders>
              <w:top w:val="nil"/>
              <w:left w:val="nil"/>
              <w:bottom w:val="single" w:sz="4" w:space="0" w:color="auto"/>
              <w:right w:val="nil"/>
            </w:tcBorders>
            <w:shd w:val="clear" w:color="auto" w:fill="auto"/>
            <w:noWrap/>
            <w:vAlign w:val="bottom"/>
            <w:hideMark/>
          </w:tcPr>
          <w:p w14:paraId="73AE220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VUS</w:t>
            </w:r>
          </w:p>
        </w:tc>
        <w:tc>
          <w:tcPr>
            <w:tcW w:w="761" w:type="dxa"/>
            <w:tcBorders>
              <w:top w:val="nil"/>
              <w:left w:val="nil"/>
              <w:bottom w:val="single" w:sz="4" w:space="0" w:color="auto"/>
              <w:right w:val="nil"/>
            </w:tcBorders>
            <w:shd w:val="clear" w:color="auto" w:fill="auto"/>
            <w:noWrap/>
            <w:vAlign w:val="bottom"/>
            <w:hideMark/>
          </w:tcPr>
          <w:p w14:paraId="7A5CDBDB"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single" w:sz="4" w:space="0" w:color="auto"/>
              <w:right w:val="nil"/>
            </w:tcBorders>
            <w:shd w:val="clear" w:color="auto" w:fill="auto"/>
            <w:noWrap/>
            <w:vAlign w:val="bottom"/>
            <w:hideMark/>
          </w:tcPr>
          <w:p w14:paraId="576B5512"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4</w:t>
            </w:r>
          </w:p>
        </w:tc>
        <w:tc>
          <w:tcPr>
            <w:tcW w:w="2065" w:type="dxa"/>
            <w:tcBorders>
              <w:top w:val="nil"/>
              <w:left w:val="nil"/>
              <w:bottom w:val="single" w:sz="4" w:space="0" w:color="auto"/>
              <w:right w:val="single" w:sz="4" w:space="0" w:color="auto"/>
            </w:tcBorders>
            <w:shd w:val="clear" w:color="auto" w:fill="auto"/>
            <w:noWrap/>
            <w:vAlign w:val="bottom"/>
            <w:hideMark/>
          </w:tcPr>
          <w:p w14:paraId="4BAB7EC3"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Pr="006E42E0">
              <w:rPr>
                <w:rFonts w:ascii="Verdana" w:eastAsia="Times New Roman" w:hAnsi="Verdana" w:cs="Arial"/>
                <w:color w:val="000000"/>
                <w:sz w:val="16"/>
                <w:szCs w:val="20"/>
                <w:lang w:val="nl-NL" w:eastAsia="nl-NL"/>
              </w:rPr>
              <w:instrText>ADDIN CSL_CITATION {"citationItems":[{"id":"ITEM-1","itemData":{"DOI":"10.1164/rccm.201610-2088OC","ISSN":"1073-449X","PMID":"28099038","abstract":"RATIONALE Idiopathic pulmonary fibrosis (IPF) is an increasingly recognized, often fatal lung disease of unknown etiology. OBJECTIVES The aim of this study was to use whole-exome sequencing to improve understanding of the genetic architecture of pulmonary fibrosis. METHODS We performed a case-control exome-wide collapsing analysis including 262 unrelated individuals with pulmonary fibrosis clinically classified as IPF according to American Thoracic Society/European Respiratory Society/Japanese Respiratory Society/Latin American Thoracic Association guidelines (81.3%), usual interstitial pneumonia secondary to autoimmune conditions (11.5%), or fibrosing nonspecific interstitial pneumonia (7.2%). The majority (87%) of case subjects reported no family history of pulmonary fibrosis. MEASUREMENTS AND MAIN RESULTS We searched 18,668 protein-coding genes for an excess of rare deleterious genetic variation using whole-exome sequence data from 262 case subjects with pulmonary fibrosis and 4,141 control subjects drawn from among a set of individuals of European ancestry. Comparing genetic variation across 18,668 protein-coding genes, we found a study-wide significant (P</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&lt;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4.5</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Verdana"/>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10-7) case enrichment of qualifying variants in TERT, RTEL1, and PARN. A model qualifying ultrarare, deleterious, nonsynonymous variants implicated TERT and RTEL1, and a model specifically qualifying loss-of-function variants implicated RTEL1 and PARN. A subanalysis of 186 case subjects with sporadic IPF confirmed TERT, RTEL1, and PARN as study-wide significant contributors to sporadic IPF. Collectively, 11.3% of case subjects with sporadic IPF carried a qualifying variant in one of these three genes compared with the 0.3% carrier rate observed among control subjects (odds ratio, 47.7; 95% confidence interval, 21.5-111.6; P</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5.5</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Verdana"/>
                <w:color w:val="000000"/>
                <w:sz w:val="16"/>
                <w:szCs w:val="20"/>
                <w:lang w:val="nl-NL" w:eastAsia="nl-NL"/>
              </w:rPr>
              <w:instrText>×</w:instrText>
            </w:r>
            <w:r w:rsidRPr="006E42E0">
              <w:rPr>
                <w:rFonts w:ascii="Arial" w:eastAsia="Times New Roman" w:hAnsi="Arial" w:cs="Arial"/>
                <w:color w:val="000000"/>
                <w:sz w:val="16"/>
                <w:szCs w:val="20"/>
                <w:lang w:val="nl-NL" w:eastAsia="nl-NL"/>
              </w:rPr>
              <w:instrText> </w:instrText>
            </w:r>
            <w:r w:rsidRPr="006E42E0">
              <w:rPr>
                <w:rFonts w:ascii="Verdana" w:eastAsia="Times New Roman" w:hAnsi="Verdana" w:cs="Arial"/>
                <w:color w:val="000000"/>
                <w:sz w:val="16"/>
                <w:szCs w:val="20"/>
                <w:lang w:val="nl-NL" w:eastAsia="nl-NL"/>
              </w:rPr>
              <w:instrText>10-22). CONCLUSIONS We identified TERT, RTEL1, and PARN-three telomere-related genes previously implicated in familial pulmonary fibrosis-as significant contributors to sporadic IPF. These results support the idea that telomere dysfunction is involved in IPF pathogenesis.","author":[{"dropping-particle":"","family":"Petrovski","given":"Slavé","non-dropping-particle":"","parse-names":false,"suffix":""},{"dropping-particle":"","family":"Todd","given":"Jamie L.","non-dropping-particle":"","parse-names":false,"suffix":""},{"dropping-particle":"","family":"Durheim","given":"Michael T.","non-dropping-particle":"","parse-names":false,"suffix":""},{"dropping-particle":"","family":"Wang","given":"Quanli","non-dropping-particle":"","parse-names":false,"suffix":""},{"dropping-particle":"","family":"Chien","given":"Jason W.","non-dropping-particle":"","parse-names":false,"suffix":""},{"dropping-particle":"","family":"Kelly","given":"Fran L.","non-dropping-particle":"","parse-names":false,"suffix":""},{"dropping-particle":"","family":"Frankel","given":"Courtney","non-dropping-particle":"","parse-names":false,"suffix":""},{"dropping-particle":"","family":"Mebane","given":"Caroline M.","non-dropping-particle":"","parse-names":false,"suffix":""},{"dropping-particle":"","family":"Ren","given":"Zhong","non-dropping-particle":"","parse-names":false,"suffix":""},{"dropping-particle":"","family":"Bridgers","given":"Joshua","non-dropping-particle":"","parse-names":false,"suffix":""},{"dropping-particle":"","family":"Urban","given":"Thomas J.","non-dropping-particle":"","parse-names":false,"suffix":""},{"dropping-particle":"","family":"Malone","given":"Colin D.","non-dropping-particle":"","parse-names":false,"suffix":""},{"dropping-particle":"","family":"Finlen Copeland","given":"Ashley","non-dropping-particle":"","parse-names":false,"suffix":""},{"dropping-particle":"","family":"Brinkley","given":"Christie","non-dropping-particle":"","parse-names":false,"suffix":""},{"dropping-particle":"","family":"Allen","given":"Andrew S.","non-dropping-particle":"","parse-names":false,"suffix":""},{"dropping-particle":"","family":"O’Riordan","given":"Thomas","non-dropping-particle":"","parse-names":false,"suffix":""},{"dropping-particle":"","family":"McHutchison","given":"John G.","non-dropping-particle":"","parse-names":false,"suffix":""},{"dropping-particle":"","family":"Palmer","given":"Scott M.","non-dropping-particle":"","parse-names":false,"suffix":""},{"dropping-particle":"","family":"Goldstein","given":"David B.","non-dropping-particle":"","parse-names":false,"suffix":""}],"container-title":"American Journal of Respiratory and Critical Care Medicine","id":"ITEM-1","issue":"1","issued":{"date-parts":[["2017","7","1"]]},"page":"82-93","title":"An Exome Sequencing Study to Assess the Role of Rare Genetic Variation in Pulmonary Fibrosis","type":"article-journal","volume":"196"},"uris":["http://www.mendeley.com/documents/?uuid=a509aa63-2e39-3fb6-a263-9943008be67e"]},{"id":"ITEM-2","itemData":{"DOI":"10.1183/23120541.00441-2024","ISSN":"2312-0541","abstract":"ExtractSarcoidosis is a multisystem granulomatous inflammatory disorder of unknown etiology which preferentially affects the lungs and lymph nodes and is one of the most common forms of interstitial lung disease (ILD). Disease course in sarcoidosis is heterogeneous, varying from benign and self-resolving to progressive and lethal, and the extent of pulmonary fibrosis (PF) has been identified as a predictor of mortality [1]. For patients with chronic ILD, a self-reported family history of ILD was shown to predict a shorter survival [2]. However, as sarcoidosis patients were never included in such analyses, the impact of having a family member with pulmonary fibrosis in this condition remains undocumented. In this study, we determined the disease phenotype of sarcoidosis patients with a self-reported family history of pulmonary fibrosis. Furthermore, genetic factors associated with risk for familial pulmonary fibrosis (FPF) [3] were evaluated.","author":[{"dropping-particle":"","family":"Planté-Bordeneuve","given":"Thomas","non-dropping-particle":"","parse-names":false,"suffix":""},{"dropping-particle":"","family":"Terwiel","given":"Michelle","non-dropping-particle":"","parse-names":false,"suffix":""},{"dropping-particle":"van der","family":"Vis","given":"Joanne J.","non-dropping-particle":"","parse-names":false,"suffix":""},{"dropping-particle":"Van","family":"Es","given":"Wouter","non-dropping-particle":"","parse-names":false,"suffix":""},{"dropping-particle":"","family":"Veltkamp","given":"Marcel","non-dropping-particle":"","parse-names":false,"suffix":""},{"dropping-particle":"","family":"Grutters","given":"Jan C.","non-dropping-particle":"","parse-names":false,"suffix":""},{"dropping-particle":"van","family":"Moorsel","given":"Coline H.M.","non-dropping-particle":"","parse-names":false,"suffix":""}],"container-title":"ERJ Open Research","id":"ITEM-2","issued":{"date-parts":[["2024","10","4"]]},"page":"00441-2024","publisher":"European Respiratory Society","title":"Family history of pulmonary fibrosis impacts prognosis in patients with sarcoidosis","type":"article-journal"},"uris":["http://www.mendeley.com/documents/?uuid=12172ff8-aa8a-3071-95be-101faa603679"]}],"mendeley":{"formattedCitation":"(20,36)","plainTextFormattedCitation":"(20,36)","previouslyFormattedCitation":"(20,36)"},"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(20,36)</w:t>
            </w:r>
            <w:r w:rsidRPr="006E42E0">
              <w:rPr>
                <w:rFonts w:ascii="Verdana" w:eastAsia="Times New Roman" w:hAnsi="Verdana" w:cs="Arial"/>
                <w:color w:val="000000"/>
                <w:sz w:val="16"/>
                <w:szCs w:val="20"/>
                <w:lang w:val="nl-NL" w:eastAsia="nl-NL"/>
              </w:rPr>
              <w:fldChar w:fldCharType="end"/>
            </w:r>
          </w:p>
        </w:tc>
      </w:tr>
      <w:tr w:rsidR="005C5BE9" w:rsidRPr="006E42E0" w14:paraId="39BF9F40" w14:textId="77777777" w:rsidTr="00E02DA9">
        <w:tc>
          <w:tcPr>
            <w:tcW w:w="1098" w:type="dxa"/>
            <w:tcBorders>
              <w:top w:val="single" w:sz="4" w:space="0" w:color="auto"/>
              <w:left w:val="single" w:sz="4" w:space="0" w:color="auto"/>
              <w:bottom w:val="nil"/>
              <w:right w:val="nil"/>
            </w:tcBorders>
            <w:shd w:val="clear" w:color="000000" w:fill="DDEBF7"/>
            <w:noWrap/>
            <w:vAlign w:val="bottom"/>
            <w:hideMark/>
          </w:tcPr>
          <w:p w14:paraId="3F5D01AB"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ZCCHC8</w:t>
            </w:r>
          </w:p>
        </w:tc>
        <w:tc>
          <w:tcPr>
            <w:tcW w:w="1591" w:type="dxa"/>
            <w:tcBorders>
              <w:top w:val="nil"/>
              <w:left w:val="nil"/>
              <w:bottom w:val="nil"/>
              <w:right w:val="nil"/>
            </w:tcBorders>
            <w:shd w:val="clear" w:color="000000" w:fill="DDEBF7"/>
            <w:noWrap/>
            <w:vAlign w:val="bottom"/>
            <w:hideMark/>
          </w:tcPr>
          <w:p w14:paraId="6E15D589"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c.557C&gt;T</w:t>
            </w:r>
          </w:p>
        </w:tc>
        <w:tc>
          <w:tcPr>
            <w:tcW w:w="1701" w:type="dxa"/>
            <w:tcBorders>
              <w:top w:val="nil"/>
              <w:left w:val="nil"/>
              <w:bottom w:val="nil"/>
              <w:right w:val="nil"/>
            </w:tcBorders>
            <w:shd w:val="clear" w:color="000000" w:fill="DDEBF7"/>
            <w:noWrap/>
            <w:vAlign w:val="bottom"/>
            <w:hideMark/>
          </w:tcPr>
          <w:p w14:paraId="56ADCF7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NM_017612.5</w:t>
            </w:r>
          </w:p>
        </w:tc>
        <w:tc>
          <w:tcPr>
            <w:tcW w:w="1507" w:type="dxa"/>
            <w:tcBorders>
              <w:top w:val="nil"/>
              <w:left w:val="nil"/>
              <w:bottom w:val="nil"/>
              <w:right w:val="nil"/>
            </w:tcBorders>
            <w:shd w:val="clear" w:color="000000" w:fill="DDEBF7"/>
            <w:noWrap/>
            <w:vAlign w:val="bottom"/>
            <w:hideMark/>
          </w:tcPr>
          <w:p w14:paraId="64FE162C"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p.(Pro186Leu)</w:t>
            </w:r>
          </w:p>
        </w:tc>
        <w:tc>
          <w:tcPr>
            <w:tcW w:w="940" w:type="dxa"/>
            <w:tcBorders>
              <w:top w:val="nil"/>
              <w:left w:val="nil"/>
              <w:bottom w:val="nil"/>
              <w:right w:val="nil"/>
            </w:tcBorders>
            <w:shd w:val="clear" w:color="000000" w:fill="DDEBF7"/>
            <w:noWrap/>
            <w:vAlign w:val="bottom"/>
            <w:hideMark/>
          </w:tcPr>
          <w:p w14:paraId="02A58A6D"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nil"/>
              <w:right w:val="nil"/>
            </w:tcBorders>
            <w:shd w:val="clear" w:color="000000" w:fill="DDEBF7"/>
            <w:noWrap/>
            <w:vAlign w:val="bottom"/>
            <w:hideMark/>
          </w:tcPr>
          <w:p w14:paraId="23BC356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850" w:type="dxa"/>
            <w:tcBorders>
              <w:top w:val="nil"/>
              <w:left w:val="nil"/>
              <w:bottom w:val="nil"/>
              <w:right w:val="nil"/>
            </w:tcBorders>
            <w:shd w:val="clear" w:color="000000" w:fill="DDEBF7"/>
            <w:noWrap/>
            <w:vAlign w:val="bottom"/>
            <w:hideMark/>
          </w:tcPr>
          <w:p w14:paraId="0659F7BC"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1</w:t>
            </w:r>
          </w:p>
        </w:tc>
        <w:tc>
          <w:tcPr>
            <w:tcW w:w="2065" w:type="dxa"/>
            <w:tcBorders>
              <w:top w:val="nil"/>
              <w:left w:val="nil"/>
              <w:bottom w:val="nil"/>
              <w:right w:val="single" w:sz="4" w:space="0" w:color="auto"/>
            </w:tcBorders>
            <w:shd w:val="clear" w:color="000000" w:fill="DDEBF7"/>
            <w:noWrap/>
            <w:vAlign w:val="bottom"/>
            <w:hideMark/>
          </w:tcPr>
          <w:p w14:paraId="448191B5" w14:textId="4D180F45"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005C5BE9">
              <w:rPr>
                <w:rFonts w:ascii="Verdana" w:eastAsia="Times New Roman" w:hAnsi="Verdana" w:cs="Arial"/>
                <w:color w:val="000000"/>
                <w:sz w:val="16"/>
                <w:szCs w:val="20"/>
                <w:lang w:val="nl-NL" w:eastAsia="nl-NL"/>
              </w:rPr>
              <w:instrText xml:space="preserve">ADDIN CSL_CITATION {"citationItems":[{"id":"ITEM-1","itemData":{"DOI":"10.1101/GAD.326785.119","ISSN":"1549-5477","PMID":"31488579","abstract":"Short telomere syndromes manifest as familial idiopathic pulmonary fibrosis; they are the most common premature aging disorders. We used genome-wide linkage to identify heterozygous loss of function of ZCCHC8, a zinc-knuckle containing protein, as a cause of autosomal dominant pulmonary fibrosis. ZCCHC8 associated with TR and was required for telomerase function. In ZCCHC8 knockout cells and in mutation carriers, genomically extended telomerase RNA (TR) accumulated at the expense of mature TR, consistent with a role for ZCCHC8 in mediating TR 3′ end targeting to the nuclear RNA exosome. We generated Zcchc8-null mice and found that heterozygotes, similar to human mutation carriers, had TR insufficiency but an otherwise preserved transcriptome. In contrast, Zcchc8−/− mice developed progressive and fatal neurodevelopmental pathology with features of a ciliopathy. The Zcchc8−/− brain transcriptome was highly dysregulated, showing accumulation and 3′ end misprocessing of other low-abundance RNAs, including those encoding cilia components as well as the intronless replication-dependent histones. Our data identify a novel cause of human short telomere syndromes-familial pulmonary fibrosis and uncover nuclear exosome targeting as an essential 3′ end maturation mechanism that vertebrate TR shares with replication-dependent histones.","author":[{"dropping-particle":"","family":"Gable","given":"Dustin L.","non-dropping-particle":"","parse-names":false,"suffix":""},{"dropping-particle":"","family":"Gaysinskaya","given":"Valeriya","non-dropping-particle":"","parse-names":false,"suffix":""},{"dropping-particle":"","family":"Atik","given":"Christine C.","non-dropping-particle":"","parse-names":false,"suffix":""},{"dropping-particle":"","family":"Conover Talbot","given":"C.","non-dropping-particle":"","parse-names":false,"suffix":""},{"dropping-particle":"","family":"Kang","given":"Byunghak","non-dropping-particle":"","parse-names":false,"suffix":""},{"dropping-particle":"","family":"Stanley","given":"Susan E.","non-dropping-particle":"","parse-names":false,"suffix":""},{"dropping-particle":"","family":"Pugh","given":"Elizabeth W.","non-dropping-particle":"","parse-names":false,"suffix":""},{"dropping-particle":"","family":"Amat-Codina","given":"Nuria","non-dropping-particle":"","parse-names":false,"suffix":""},{"dropping-particle":"","family":"Schenk","given":"Kara M.","non-dropping-particle":"","parse-names":false,"suffix":""},{"dropping-particle":"","family":"Arcasoy","given":"Murat O.","non-dropping-particle":"","parse-names":false,"suffix":""},{"dropping-particle":"","family":"Brayton","given":"Cory","non-dropping-particle":"","parse-names":false,"suffix":""},{"dropping-particle":"","family":"Florea","given":"Liliana","non-dropping-particle":"","parse-names":false,"suffix":""},{"dropping-particle":"","family":"Armanios","given":"Mary","non-dropping-particle":"","parse-names":false,"suffix":""}],"container-title":"Genes &amp; development","id":"ITEM-1","issue":"19-20","issued":{"date-parts":[["2019","10","1"]]},"page":"1381-1396","publisher":"Genes Dev","title":"ZCCHC8, the nuclear exosome targeting component, is mutated in familial pulmonary fibrosis and is required for telomerase RNA maturation","type":"article-journal","volume":"33"},"uris":["http://www.mendeley.com/documents/?uuid=d1bbae28-4463-35dc-9bc2-367af0e137fb"]},{"id":"ITEM-2","itemData":{"DOI":"10.1183/23120541.00487-2023","ISSN":"2312-0541","PMID":"38375433","abstract":"Introduction Pulmonary fibrosis is a severe disease which can be familial. A genetic cause can only be found in </w:instrText>
            </w:r>
            <w:r w:rsidR="005C5BE9">
              <w:rPr>
                <w:rFonts w:ascii="Cambria Math" w:eastAsia="Times New Roman" w:hAnsi="Cambria Math" w:cs="Cambria Math"/>
                <w:color w:val="000000"/>
                <w:sz w:val="16"/>
                <w:szCs w:val="20"/>
                <w:lang w:val="nl-NL" w:eastAsia="nl-NL"/>
              </w:rPr>
              <w:instrText>∼</w:instrText>
            </w:r>
            <w:r w:rsidR="005C5BE9">
              <w:rPr>
                <w:rFonts w:ascii="Verdana" w:eastAsia="Times New Roman" w:hAnsi="Verdana" w:cs="Arial"/>
                <w:color w:val="000000"/>
                <w:sz w:val="16"/>
                <w:szCs w:val="20"/>
                <w:lang w:val="nl-NL" w:eastAsia="nl-NL"/>
              </w:rPr>
              <w:instrText>40% of families. Searching for shared novel genetic variants may aid the discovery of new genetic causes of disease. Methods Whole-exome sequencing was performed in 152 unrelated patients with a suspected genetic cause of pulmonary fibrosis from the St Antonius interstitial lung disease biobank. Variants of interest were selected by filtering for novel, potentially deleterious variants that were present in at least three unrelated pulmonary fibrosis patients. Results The novel c.586G&gt;A p.(E196K) variant in the ZCCHC8 gene was observed in three unrelated patients: two familial patients and one sporadic patient, who was later genealogically linked to one of the families. The variant was identified in nine additional relatives with pulmonary fibrosis and other telomererelated phenotypes, such as pulmonary arterial venous malformations, emphysema, myelodysplastic syndrome, acute myeloid leukaemia and dyskeratosis congenita. One family showed incomplete segregation, with absence of the variant in one pulmonary fibrosis patient who carried a PARN variant. The majority of ZCCHC8 variant carriers showed short telomeres in blood. ZCCHC8 protein was located in different lung cell types, including alveolar type 2 (AT2) pneumocytes, the culprit cells in pulmonary fibrosis. AT2 cells showed telomere shortening and increased DNA damage, which was comparable to patients with sporadic pulmonary fibrosis and those with pulmonary fibrosis carrying a telomere-related gene variant, respectively. Discussion The ZCCHC8 c.586G&gt;A variant confirms the involvement of ZCCHC8 in pulmonary fibrosis and short-telomere syndromes and underlines the importance of including the ZCCHC8 gene in diagnostic gene panels for these diseases.","author":[{"dropping-particle":"","family":"Groen","given":"Karlijn","non-dropping-particle":"","parse-names":false,"suffix":""},{"dropping-particle":"","family":"Vis","given":"Joanne J.","non-dropping-particle":"van der","parse-names":false,"suffix":""},{"dropping-particle":"","family":"Batenburg","given":"Aernoud A.","non-dropping-particle":"van","parse-names":false,"suffix":""},{"dropping-particle":"","family":"Kazemier","given":"Karin M.","non-dropping-particle":"","parse-names":false,"suffix":""},{"dropping-particle":"","family":"Bruijn","given":"Marjolein J.W.","non-dropping-particle":"de","parse-names":false,"suffix":""},{"dropping-particle":"","family":"Stadhouders","given":"Ralph","non-dropping-particle":"","parse-names":false,"suffix":""},{"dropping-particle":"","family":"Arp","given":"Pascal","non-dropping-particle":"","parse-names":false,"suffix":""},{"dropping-particle":"","family":"Verkerk","given":"Annemieke J.M.H.","non-dropping-particle":"","parse-names":false,"suffix":""},{"dropping-particle":"","family":"Schoemaker","given":"Angela E.","non-dropping-particle":"","parse-names":false,"suffix":""},{"dropping-particle":"","family":"Bie","given":"Charlotte I.","non-dropping-particle":"de","parse-names":false,"suffix":""},{"dropping-particle":"","family":"Massink","given":"Maarten P.G.","non-dropping-particle":"","parse-names":false,"suffix":""},{"dropping-particle":"","family":"Beek","given":"Frouke T.","non-dropping-particle":"van","parse-names":false,"suffix":""},{"dropping-particle":"","family":"Grutters","given":"Jan C.","non-dropping-particle":"","parse-names":false,"suffix":""},{"dropping-particle":"","family":"Vergouw","given":"Leonie J.M.","non-dropping-particle":"","parse-names":false,"suffix":""},{"dropping-particle":"","family":"Moorsel","given":"Coline H.M.","non-dropping-particle":"van","parse-names":false,"suffix":""}],"container-title":"ERJ open research","id":"ITEM-2","issue":"1","issued":{"date-parts":[["2024","1","1"]]},"publisher":"ERJ Open Res","title":"A new variant in the ZCCHC8 gene: diverse clinical phenotypes and expression in the lung","type":"article-journal","volume":"10"},"uris":["http://www.mendeley.com/documents/?uuid=75adcbbb-2015-3a6f-8879-eb4d2d64a61a"]},{"id":"ITEM-3","itemData":{"DOI":"10.1182/BLOOD.2019003264","ISSN":"1528-0020","PMID":"32076714","abstract":"Short telomeres have been linked to cancer risk, yet other evidence supports them being tumor suppressive. Here, we report cancer outcomes in individuals with germline mutations in telomerase and other telomere-maintenance genes. Among 180 individuals evaluated in a hospital-based setting, 12.8% had cancer. Solid tumors were rare (2.8%); nearly all were young male DKC1 mutation carriers, and they were generally resectable with good short-term outcomes. Myelodysplastic syndrome (MDS) was most common, followed by acute myeloid leukemia (AML); they accounted for 75% of cancers. Age over 50 years was the biggest risk factor, and MDS/AML usually manifested with marrow hypoplasia and monosomy 7, but the somatic mutation landscape was indistinct from unselected patients. One- and 2-year survival were 61% and 39%, respectively, and two-thirds of MDS/AML patients died of pulmonary fibrosis and/or hepatopulmonary syndrome. In one-half of the cases, MDS/AML patients showed a recurrent peripheral blood pattern of acquired, granulocyte-specific telomere shortening. This attrition was absent in age-matched mutation carriers who did not have MDS/AML. We tested whether adult short telomere patients without MDS/AML also had evidence of clonal hematopoiesis of indeterminate potential-related mutations and found that 30% were affected. These patients also primarily suffered morbidity from pulmonary fibrosis during follow-up. Our data show that the Mendelian short telomere syndromes are associated with a relatively narrow cancer spectrum, primarily MDS and AML. They suggest that short telomere length is sufficient to drive premature age-related clonal hematopoiesis in these inherited disorders. (Blood. 2020;135(22):1946-1956).","author":[{"dropping-particle":"","family":"Schratz","given":"Kristen E.","non-dropping-particle":"","parse-names":false,"suffix":""},{"dropping-particle":"","family":"Haley","given":"Lisa","non-dropping-particle":"","parse-names":false,"suffix":""},{"dropping-particle":"","family":"Danoff","given":"Sonye K.","non-dropping-particle":"","parse-names":false,"suffix":""},{"dropping-particle":"","family":"Blackford","given":"Amanda L.","non-dropping-particle":"","parse-names":false,"suffix":""},{"dropping-particle":"","family":"DeZern","given":"Amy E.","non-dropping-particle":"","parse-names":false,"suffix":""},{"dropping-particle":"","family":"Gocke","given":"Christopher D.","non-dropping-particle":"","parse-names":false,"suffix":""},{"dropping-particle":"","family":"Duffield","given":"Amy S.","non-dropping-particle":"","parse-names":false,"suffix":""},{"dropping-particle":"","family":"Armanios","given":"Mary","non-dropping-particle":"","parse-names":false,"suffix":""}],"container-title":"Blood","id":"ITEM-3","issue":"22","issued":{"date-parts":[["2020","5","28"]]},"page":"1946-1956","publisher":"Blood","title":"Cancer spectrum and outcomes in the Mendelian short telomere syndromes","type":"article-journal","volume":"135"},"uris":["http://www.mendeley.com/documents/?uuid=c8d0425a-818b-3721-a15e-15ed42399f9b"]}],"mendeley":{"formattedCitation":"(46–48)","plainTextFormattedCitation":"(46–48)","previouslyFormattedCitation":"(46–48)"},"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(46–48)</w:t>
            </w:r>
            <w:r w:rsidRPr="006E42E0">
              <w:rPr>
                <w:rFonts w:ascii="Verdana" w:eastAsia="Times New Roman" w:hAnsi="Verdana" w:cs="Arial"/>
                <w:color w:val="000000"/>
                <w:sz w:val="16"/>
                <w:szCs w:val="20"/>
                <w:lang w:val="nl-NL" w:eastAsia="nl-NL"/>
              </w:rPr>
              <w:fldChar w:fldCharType="end"/>
            </w:r>
          </w:p>
        </w:tc>
      </w:tr>
      <w:tr w:rsidR="005C5BE9" w:rsidRPr="006E42E0" w14:paraId="6400A64D" w14:textId="77777777" w:rsidTr="00E02DA9">
        <w:tc>
          <w:tcPr>
            <w:tcW w:w="1098" w:type="dxa"/>
            <w:tcBorders>
              <w:top w:val="nil"/>
              <w:left w:val="single" w:sz="4" w:space="0" w:color="auto"/>
              <w:bottom w:val="single" w:sz="4" w:space="0" w:color="auto"/>
              <w:right w:val="nil"/>
            </w:tcBorders>
            <w:shd w:val="clear" w:color="auto" w:fill="auto"/>
            <w:noWrap/>
            <w:vAlign w:val="bottom"/>
            <w:hideMark/>
          </w:tcPr>
          <w:p w14:paraId="074D3391" w14:textId="77777777" w:rsidR="006E42E0" w:rsidRPr="006E42E0" w:rsidRDefault="006E42E0" w:rsidP="00E02DA9">
            <w:pPr>
              <w:spacing w:after="0" w:line="240" w:lineRule="auto"/>
              <w:rPr>
                <w:rFonts w:ascii="Verdana" w:eastAsia="Times New Roman" w:hAnsi="Verdana" w:cs="Arial"/>
                <w:i/>
                <w:iCs/>
                <w:color w:val="000000"/>
                <w:sz w:val="16"/>
                <w:szCs w:val="20"/>
                <w:lang w:val="nl-NL" w:eastAsia="nl-NL"/>
              </w:rPr>
            </w:pPr>
            <w:r w:rsidRPr="006E42E0">
              <w:rPr>
                <w:rFonts w:ascii="Verdana" w:eastAsia="Times New Roman" w:hAnsi="Verdana" w:cs="Arial"/>
                <w:i/>
                <w:iCs/>
                <w:color w:val="000000"/>
                <w:sz w:val="16"/>
                <w:szCs w:val="20"/>
                <w:lang w:val="nl-NL" w:eastAsia="nl-NL"/>
              </w:rPr>
              <w:t>ZCCHC8</w:t>
            </w:r>
          </w:p>
        </w:tc>
        <w:tc>
          <w:tcPr>
            <w:tcW w:w="1591" w:type="dxa"/>
            <w:tcBorders>
              <w:top w:val="nil"/>
              <w:left w:val="nil"/>
              <w:bottom w:val="single" w:sz="4" w:space="0" w:color="auto"/>
              <w:right w:val="nil"/>
            </w:tcBorders>
            <w:shd w:val="clear" w:color="auto" w:fill="auto"/>
            <w:noWrap/>
            <w:vAlign w:val="bottom"/>
            <w:hideMark/>
          </w:tcPr>
          <w:p w14:paraId="37C008EF"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c.586G&gt;A</w:t>
            </w:r>
          </w:p>
        </w:tc>
        <w:tc>
          <w:tcPr>
            <w:tcW w:w="1701" w:type="dxa"/>
            <w:tcBorders>
              <w:top w:val="nil"/>
              <w:left w:val="nil"/>
              <w:bottom w:val="single" w:sz="4" w:space="0" w:color="auto"/>
              <w:right w:val="nil"/>
            </w:tcBorders>
            <w:shd w:val="clear" w:color="auto" w:fill="auto"/>
            <w:noWrap/>
            <w:vAlign w:val="bottom"/>
            <w:hideMark/>
          </w:tcPr>
          <w:p w14:paraId="5D2388B2"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NM_017612.5</w:t>
            </w:r>
          </w:p>
        </w:tc>
        <w:tc>
          <w:tcPr>
            <w:tcW w:w="1507" w:type="dxa"/>
            <w:tcBorders>
              <w:top w:val="nil"/>
              <w:left w:val="nil"/>
              <w:bottom w:val="single" w:sz="4" w:space="0" w:color="auto"/>
              <w:right w:val="nil"/>
            </w:tcBorders>
            <w:shd w:val="clear" w:color="auto" w:fill="auto"/>
            <w:noWrap/>
            <w:vAlign w:val="bottom"/>
            <w:hideMark/>
          </w:tcPr>
          <w:p w14:paraId="374006A1" w14:textId="77777777"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p.(Glu196Lys)</w:t>
            </w:r>
          </w:p>
        </w:tc>
        <w:tc>
          <w:tcPr>
            <w:tcW w:w="940" w:type="dxa"/>
            <w:tcBorders>
              <w:top w:val="nil"/>
              <w:left w:val="nil"/>
              <w:bottom w:val="single" w:sz="4" w:space="0" w:color="auto"/>
              <w:right w:val="nil"/>
            </w:tcBorders>
            <w:shd w:val="clear" w:color="auto" w:fill="auto"/>
            <w:noWrap/>
            <w:vAlign w:val="bottom"/>
            <w:hideMark/>
          </w:tcPr>
          <w:p w14:paraId="2E4B32E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LP</w:t>
            </w:r>
          </w:p>
        </w:tc>
        <w:tc>
          <w:tcPr>
            <w:tcW w:w="761" w:type="dxa"/>
            <w:tcBorders>
              <w:top w:val="nil"/>
              <w:left w:val="nil"/>
              <w:bottom w:val="single" w:sz="4" w:space="0" w:color="auto"/>
              <w:right w:val="nil"/>
            </w:tcBorders>
            <w:shd w:val="clear" w:color="auto" w:fill="auto"/>
            <w:noWrap/>
            <w:vAlign w:val="bottom"/>
            <w:hideMark/>
          </w:tcPr>
          <w:p w14:paraId="15EC3DF5"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2</w:t>
            </w:r>
          </w:p>
        </w:tc>
        <w:tc>
          <w:tcPr>
            <w:tcW w:w="850" w:type="dxa"/>
            <w:tcBorders>
              <w:top w:val="nil"/>
              <w:left w:val="nil"/>
              <w:bottom w:val="single" w:sz="4" w:space="0" w:color="auto"/>
              <w:right w:val="nil"/>
            </w:tcBorders>
            <w:shd w:val="clear" w:color="auto" w:fill="auto"/>
            <w:noWrap/>
            <w:vAlign w:val="bottom"/>
            <w:hideMark/>
          </w:tcPr>
          <w:p w14:paraId="23118D6A" w14:textId="77777777" w:rsidR="006E42E0" w:rsidRPr="006E42E0" w:rsidRDefault="006E42E0" w:rsidP="00E02DA9">
            <w:pPr>
              <w:spacing w:after="0" w:line="240" w:lineRule="auto"/>
              <w:jc w:val="center"/>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t>8</w:t>
            </w:r>
          </w:p>
        </w:tc>
        <w:tc>
          <w:tcPr>
            <w:tcW w:w="2065" w:type="dxa"/>
            <w:tcBorders>
              <w:top w:val="nil"/>
              <w:left w:val="nil"/>
              <w:bottom w:val="single" w:sz="4" w:space="0" w:color="auto"/>
              <w:right w:val="single" w:sz="4" w:space="0" w:color="auto"/>
            </w:tcBorders>
            <w:shd w:val="clear" w:color="auto" w:fill="auto"/>
            <w:noWrap/>
            <w:vAlign w:val="bottom"/>
            <w:hideMark/>
          </w:tcPr>
          <w:p w14:paraId="736AD1D4" w14:textId="646EDA6C" w:rsidR="006E42E0" w:rsidRPr="006E42E0" w:rsidRDefault="006E42E0" w:rsidP="00E02DA9">
            <w:pPr>
              <w:spacing w:after="0" w:line="240" w:lineRule="auto"/>
              <w:rPr>
                <w:rFonts w:ascii="Verdana" w:eastAsia="Times New Roman" w:hAnsi="Verdana" w:cs="Arial"/>
                <w:color w:val="000000"/>
                <w:sz w:val="16"/>
                <w:szCs w:val="20"/>
                <w:lang w:val="nl-NL" w:eastAsia="nl-NL"/>
              </w:rPr>
            </w:pPr>
            <w:r w:rsidRPr="006E42E0">
              <w:rPr>
                <w:rFonts w:ascii="Verdana" w:eastAsia="Times New Roman" w:hAnsi="Verdana" w:cs="Arial"/>
                <w:color w:val="000000"/>
                <w:sz w:val="16"/>
                <w:szCs w:val="20"/>
                <w:lang w:val="nl-NL" w:eastAsia="nl-NL"/>
              </w:rPr>
              <w:fldChar w:fldCharType="begin" w:fldLock="1"/>
            </w:r>
            <w:r w:rsidR="005C5BE9">
              <w:rPr>
                <w:rFonts w:ascii="Verdana" w:eastAsia="Times New Roman" w:hAnsi="Verdana" w:cs="Arial"/>
                <w:color w:val="000000"/>
                <w:sz w:val="16"/>
                <w:szCs w:val="20"/>
                <w:lang w:val="nl-NL" w:eastAsia="nl-NL"/>
              </w:rPr>
              <w:instrText xml:space="preserve">ADDIN CSL_CITATION {"citationItems":[{"id":"ITEM-1","itemData":{"DOI":"10.1183/23120541.00487-2023","ISSN":"2312-0541","PMID":"38375433","abstract":"Introduction Pulmonary fibrosis is a severe disease which can be familial. A genetic cause can only be found in </w:instrText>
            </w:r>
            <w:r w:rsidR="005C5BE9">
              <w:rPr>
                <w:rFonts w:ascii="Cambria Math" w:eastAsia="Times New Roman" w:hAnsi="Cambria Math" w:cs="Cambria Math"/>
                <w:color w:val="000000"/>
                <w:sz w:val="16"/>
                <w:szCs w:val="20"/>
                <w:lang w:val="nl-NL" w:eastAsia="nl-NL"/>
              </w:rPr>
              <w:instrText>∼</w:instrText>
            </w:r>
            <w:r w:rsidR="005C5BE9">
              <w:rPr>
                <w:rFonts w:ascii="Verdana" w:eastAsia="Times New Roman" w:hAnsi="Verdana" w:cs="Arial"/>
                <w:color w:val="000000"/>
                <w:sz w:val="16"/>
                <w:szCs w:val="20"/>
                <w:lang w:val="nl-NL" w:eastAsia="nl-NL"/>
              </w:rPr>
              <w:instrText>40% of families. Searching for shared novel genetic variants may aid the discovery of new genetic causes of disease. Methods Whole-exome sequencing was performed in 152 unrelated patients with a suspected genetic cause of pulmonary fibrosis from the St Antonius interstitial lung disease biobank. Variants of interest were selected by filtering for novel, potentially deleterious variants that were present in at least three unrelated pulmonary fibrosis patients. Results The novel c.586G&gt;A p.(E196K) variant in the ZCCHC8 gene was observed in three unrelated patients: two familial patients and one sporadic patient, who was later genealogically linked to one of the families. The variant was identified in nine additional relatives with pulmonary fibrosis and other telomererelated phenotypes, such as pulmonary arterial venous malformations, emphysema, myelodysplastic syndrome, acute myeloid leukaemia and dyskeratosis congenita. One family showed incomplete segregation, with absence of the variant in one pulmonary fibrosis patient who carried a PARN variant. The majority of ZCCHC8 variant carriers showed short telomeres in blood. ZCCHC8 protein was located in different lung cell types, including alveolar type 2 (AT2) pneumocytes, the culprit cells in pulmonary fibrosis. AT2 cells showed telomere shortening and increased DNA damage, which was comparable to patients with sporadic pulmonary fibrosis and those with pulmonary fibrosis carrying a telomere-related gene variant, respectively. Discussion The ZCCHC8 c.586G&gt;A variant confirms the involvement of ZCCHC8 in pulmonary fibrosis and short-telomere syndromes and underlines the importance of including the ZCCHC8 gene in diagnostic gene panels for these diseases.","author":[{"dropping-particle":"","family":"Groen","given":"Karlijn","non-dropping-particle":"","parse-names":false,"suffix":""},{"dropping-particle":"","family":"Vis","given":"Joanne J.","non-dropping-particle":"van der","parse-names":false,"suffix":""},{"dropping-particle":"","family":"Batenburg","given":"Aernoud A.","non-dropping-particle":"van","parse-names":false,"suffix":""},{"dropping-particle":"","family":"Kazemier","given":"Karin M.","non-dropping-particle":"","parse-names":false,"suffix":""},{"dropping-particle":"","family":"Bruijn","given":"Marjolein J.W.","non-dropping-particle":"de","parse-names":false,"suffix":""},{"dropping-particle":"","family":"Stadhouders","given":"Ralph","non-dropping-particle":"","parse-names":false,"suffix":""},{"dropping-particle":"","family":"Arp","given":"Pascal","non-dropping-particle":"","parse-names":false,"suffix":""},{"dropping-particle":"","family":"Verkerk","given":"Annemieke J.M.H.","non-dropping-particle":"","parse-names":false,"suffix":""},{"dropping-particle":"","family":"Schoemaker","given":"Angela E.","non-dropping-particle":"","parse-names":false,"suffix":""},{"dropping-particle":"","family":"Bie","given":"Charlotte I.","non-dropping-particle":"de","parse-names":false,"suffix":""},{"dropping-particle":"","family":"Massink","given":"Maarten P.G.","non-dropping-particle":"","parse-names":false,"suffix":""},{"dropping-particle":"","family":"Beek","given":"Frouke T.","non-dropping-particle":"van","parse-names":false,"suffix":""},{"dropping-particle":"","family":"Grutters","given":"Jan C.","non-dropping-particle":"","parse-names":false,"suffix":""},{"dropping-particle":"","family":"Vergouw","given":"Leonie J.M.","non-dropping-particle":"","parse-names":false,"suffix":""},{"dropping-particle":"","family":"Moorsel","given":"Coline H.M.","non-dropping-particle":"van","parse-names":false,"suffix":""}],"container-title":"ERJ open research","id":"ITEM-1","issue":"1","issued":{"date-parts":[["2024","1","1"]]},"publisher":"ERJ Open Res","title":"A new variant in the ZCCHC8 gene: diverse clinical phenotypes and expression in the lung","type":"article-journal","volume":"10"},"uris":["http://www.mendeley.com/documents/?uuid=75adcbbb-2015-3a6f-8879-eb4d2d64a61a"]}],"mendeley":{"formattedCitation":"(47)","plainTextFormattedCitation":"(47)","previouslyFormattedCitation":"(47)"},"properties":{"noteIndex":0},"schema":"https://github.com/citation-style-language/schema/raw/master/csl-citation.json"}</w:instrText>
            </w:r>
            <w:r w:rsidRPr="006E42E0">
              <w:rPr>
                <w:rFonts w:ascii="Verdana" w:eastAsia="Times New Roman" w:hAnsi="Verdana" w:cs="Arial"/>
                <w:color w:val="000000"/>
                <w:sz w:val="16"/>
                <w:szCs w:val="20"/>
                <w:lang w:val="nl-NL" w:eastAsia="nl-NL"/>
              </w:rPr>
              <w:fldChar w:fldCharType="separate"/>
            </w:r>
            <w:r w:rsidRPr="006E42E0">
              <w:rPr>
                <w:rFonts w:ascii="Verdana" w:eastAsia="Times New Roman" w:hAnsi="Verdana" w:cs="Arial"/>
                <w:noProof/>
                <w:color w:val="000000"/>
                <w:sz w:val="16"/>
                <w:szCs w:val="20"/>
                <w:lang w:val="nl-NL" w:eastAsia="nl-NL"/>
              </w:rPr>
              <w:t>(47)</w:t>
            </w:r>
            <w:r w:rsidRPr="006E42E0">
              <w:rPr>
                <w:rFonts w:ascii="Verdana" w:eastAsia="Times New Roman" w:hAnsi="Verdana" w:cs="Arial"/>
                <w:color w:val="000000"/>
                <w:sz w:val="16"/>
                <w:szCs w:val="20"/>
                <w:lang w:val="nl-NL" w:eastAsia="nl-NL"/>
              </w:rPr>
              <w:fldChar w:fldCharType="end"/>
            </w:r>
          </w:p>
        </w:tc>
      </w:tr>
    </w:tbl>
    <w:p w14:paraId="4D82B628" w14:textId="111CAFDB" w:rsidR="00776018" w:rsidRDefault="00B912B1">
      <w:pPr>
        <w:rPr>
          <w:rFonts w:ascii="Verdana" w:hAnsi="Verdana" w:cs="Arial"/>
          <w:sz w:val="20"/>
          <w:szCs w:val="20"/>
        </w:rPr>
      </w:pPr>
      <w:r w:rsidRPr="003C1447">
        <w:rPr>
          <w:rFonts w:ascii="Verdana" w:hAnsi="Verdana" w:cs="Arial"/>
          <w:sz w:val="20"/>
          <w:szCs w:val="20"/>
          <w:vertAlign w:val="superscript"/>
        </w:rPr>
        <w:t>#</w:t>
      </w:r>
      <w:r w:rsidRPr="003C1447">
        <w:rPr>
          <w:rFonts w:ascii="Verdana" w:hAnsi="Verdana" w:cs="Arial"/>
          <w:sz w:val="20"/>
          <w:szCs w:val="20"/>
        </w:rPr>
        <w:t xml:space="preserve">1 patient also heterozygous for </w:t>
      </w:r>
      <w:r w:rsidRPr="003C1447">
        <w:rPr>
          <w:rFonts w:ascii="Verdana" w:hAnsi="Verdana" w:cs="Arial"/>
          <w:i/>
          <w:sz w:val="20"/>
          <w:szCs w:val="20"/>
        </w:rPr>
        <w:t>TERT</w:t>
      </w:r>
      <w:r w:rsidRPr="003C1447">
        <w:rPr>
          <w:rFonts w:ascii="Verdana" w:hAnsi="Verdana" w:cs="Arial"/>
          <w:sz w:val="20"/>
          <w:szCs w:val="20"/>
        </w:rPr>
        <w:t xml:space="preserve"> c.2005C&gt;T mutation; *1 patient homozygous; </w:t>
      </w:r>
      <w:r w:rsidRPr="003C1447">
        <w:rPr>
          <w:rFonts w:ascii="Verdana" w:hAnsi="Verdana" w:cs="Arial"/>
          <w:sz w:val="20"/>
          <w:szCs w:val="20"/>
          <w:vertAlign w:val="superscript"/>
        </w:rPr>
        <w:t xml:space="preserve">$ </w:t>
      </w:r>
      <w:r w:rsidRPr="003C1447">
        <w:rPr>
          <w:rFonts w:ascii="Verdana" w:hAnsi="Verdana" w:cs="Arial"/>
          <w:sz w:val="20"/>
          <w:szCs w:val="20"/>
        </w:rPr>
        <w:t xml:space="preserve">confirmed with RNA analysis; </w:t>
      </w:r>
      <w:r w:rsidRPr="003C1447">
        <w:rPr>
          <w:rFonts w:ascii="Calibri" w:hAnsi="Calibri" w:cs="Calibri"/>
          <w:sz w:val="20"/>
          <w:szCs w:val="20"/>
          <w:vertAlign w:val="superscript"/>
        </w:rPr>
        <w:t>ǂ</w:t>
      </w:r>
      <w:r w:rsidRPr="003C1447">
        <w:rPr>
          <w:rFonts w:ascii="Verdana" w:hAnsi="Verdana" w:cs="Arial"/>
          <w:sz w:val="20"/>
          <w:szCs w:val="20"/>
          <w:vertAlign w:val="superscript"/>
        </w:rPr>
        <w:t xml:space="preserve"> </w:t>
      </w:r>
      <w:r w:rsidRPr="003C1447">
        <w:rPr>
          <w:rFonts w:ascii="Verdana" w:hAnsi="Verdana" w:cs="Arial"/>
          <w:sz w:val="20"/>
          <w:szCs w:val="20"/>
        </w:rPr>
        <w:t>allelic phase unknown; VUS, variant of unknown significance; LP, likely pathogenic; P, pathogenic</w:t>
      </w:r>
    </w:p>
    <w:p w14:paraId="2A22D440" w14:textId="0FB231FE" w:rsidR="000861DD" w:rsidRDefault="000861DD" w:rsidP="000861DD">
      <w:pPr>
        <w:rPr>
          <w:rFonts w:ascii="Verdana" w:hAnsi="Verdana" w:cstheme="minorHAnsi"/>
          <w:b/>
          <w:sz w:val="20"/>
          <w:lang w:val="en-US"/>
        </w:rPr>
      </w:pPr>
      <w:r w:rsidRPr="00DA341F">
        <w:rPr>
          <w:rFonts w:ascii="Verdana" w:hAnsi="Verdana" w:cstheme="minorHAnsi"/>
          <w:b/>
          <w:sz w:val="20"/>
          <w:lang w:val="en-US"/>
        </w:rPr>
        <w:t>Table E</w:t>
      </w:r>
      <w:r>
        <w:rPr>
          <w:rFonts w:ascii="Verdana" w:hAnsi="Verdana" w:cstheme="minorHAnsi"/>
          <w:b/>
          <w:sz w:val="20"/>
          <w:lang w:val="en-US"/>
        </w:rPr>
        <w:t>2</w:t>
      </w:r>
      <w:r w:rsidRPr="00DA341F">
        <w:rPr>
          <w:rFonts w:ascii="Verdana" w:hAnsi="Verdana" w:cstheme="minorHAnsi"/>
          <w:b/>
          <w:sz w:val="20"/>
          <w:lang w:val="en-US"/>
        </w:rPr>
        <w:t xml:space="preserve">. Baseline characteristics of patients with pulmonary fibrosis and a rare TRG variant classified as </w:t>
      </w:r>
      <w:r>
        <w:rPr>
          <w:rFonts w:ascii="Verdana" w:hAnsi="Verdana" w:cstheme="minorHAnsi"/>
          <w:b/>
          <w:sz w:val="20"/>
          <w:lang w:val="en-US"/>
        </w:rPr>
        <w:t xml:space="preserve">variant of unknown significance, </w:t>
      </w:r>
      <w:r w:rsidRPr="00DA341F">
        <w:rPr>
          <w:rFonts w:ascii="Verdana" w:hAnsi="Verdana" w:cstheme="minorHAnsi"/>
          <w:b/>
          <w:sz w:val="20"/>
          <w:lang w:val="en-US"/>
        </w:rPr>
        <w:t>likely pathogenic</w:t>
      </w:r>
      <w:r>
        <w:rPr>
          <w:rFonts w:ascii="Verdana" w:hAnsi="Verdana" w:cstheme="minorHAnsi"/>
          <w:b/>
          <w:sz w:val="20"/>
          <w:lang w:val="en-US"/>
        </w:rPr>
        <w:t xml:space="preserve"> or pathogenic</w:t>
      </w:r>
      <w:r w:rsidRPr="00DA341F">
        <w:rPr>
          <w:rFonts w:ascii="Verdana" w:hAnsi="Verdana" w:cstheme="minorHAnsi"/>
          <w:b/>
          <w:sz w:val="20"/>
          <w:lang w:val="en-US"/>
        </w:rPr>
        <w:t xml:space="preserve"> stratified by presence of cancer</w:t>
      </w:r>
    </w:p>
    <w:tbl>
      <w:tblPr>
        <w:tblW w:w="10340" w:type="dxa"/>
        <w:tblCellMar>
          <w:left w:w="70" w:type="dxa"/>
          <w:right w:w="70" w:type="dxa"/>
        </w:tblCellMar>
        <w:tblLook w:val="04A0" w:firstRow="1" w:lastRow="0" w:firstColumn="1" w:lastColumn="0" w:noHBand="0" w:noVBand="1"/>
      </w:tblPr>
      <w:tblGrid>
        <w:gridCol w:w="4040"/>
        <w:gridCol w:w="1840"/>
        <w:gridCol w:w="2140"/>
        <w:gridCol w:w="1360"/>
        <w:gridCol w:w="960"/>
      </w:tblGrid>
      <w:tr w:rsidR="006F00A4" w:rsidRPr="006F00A4" w14:paraId="76271A96" w14:textId="77777777" w:rsidTr="006F00A4">
        <w:trPr>
          <w:trHeight w:val="615"/>
        </w:trPr>
        <w:tc>
          <w:tcPr>
            <w:tcW w:w="4040" w:type="dxa"/>
            <w:tcBorders>
              <w:top w:val="nil"/>
              <w:left w:val="nil"/>
              <w:bottom w:val="single" w:sz="8" w:space="0" w:color="auto"/>
              <w:right w:val="single" w:sz="8" w:space="0" w:color="auto"/>
            </w:tcBorders>
            <w:shd w:val="clear" w:color="auto" w:fill="auto"/>
            <w:vAlign w:val="center"/>
            <w:hideMark/>
          </w:tcPr>
          <w:p w14:paraId="4FB125A8"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w:t>
            </w:r>
          </w:p>
        </w:tc>
        <w:tc>
          <w:tcPr>
            <w:tcW w:w="1840" w:type="dxa"/>
            <w:tcBorders>
              <w:top w:val="nil"/>
              <w:left w:val="nil"/>
              <w:bottom w:val="single" w:sz="8" w:space="0" w:color="auto"/>
              <w:right w:val="nil"/>
            </w:tcBorders>
            <w:shd w:val="clear" w:color="auto" w:fill="auto"/>
            <w:vAlign w:val="center"/>
            <w:hideMark/>
          </w:tcPr>
          <w:p w14:paraId="59FE8B20" w14:textId="77777777" w:rsidR="006F00A4" w:rsidRPr="006F00A4" w:rsidRDefault="006F00A4" w:rsidP="006F00A4">
            <w:pPr>
              <w:spacing w:after="0" w:line="240" w:lineRule="auto"/>
              <w:jc w:val="center"/>
              <w:rPr>
                <w:rFonts w:ascii="Calibri" w:eastAsia="Times New Roman" w:hAnsi="Calibri" w:cs="Calibri"/>
                <w:b/>
                <w:bCs/>
                <w:color w:val="000000"/>
                <w:lang w:val="nl-NL" w:eastAsia="nl-NL"/>
              </w:rPr>
            </w:pPr>
            <w:proofErr w:type="spellStart"/>
            <w:r w:rsidRPr="006F00A4">
              <w:rPr>
                <w:rFonts w:ascii="Calibri" w:eastAsia="Times New Roman" w:hAnsi="Calibri" w:cs="Calibri"/>
                <w:b/>
                <w:bCs/>
                <w:color w:val="000000"/>
                <w:lang w:val="nl-NL" w:eastAsia="nl-NL"/>
              </w:rPr>
              <w:t>All</w:t>
            </w:r>
            <w:proofErr w:type="spellEnd"/>
            <w:r w:rsidRPr="006F00A4">
              <w:rPr>
                <w:rFonts w:ascii="Calibri" w:eastAsia="Times New Roman" w:hAnsi="Calibri" w:cs="Calibri"/>
                <w:b/>
                <w:bCs/>
                <w:color w:val="000000"/>
                <w:lang w:val="nl-NL" w:eastAsia="nl-NL"/>
              </w:rPr>
              <w:t xml:space="preserve"> (n=177)</w:t>
            </w:r>
          </w:p>
        </w:tc>
        <w:tc>
          <w:tcPr>
            <w:tcW w:w="2140" w:type="dxa"/>
            <w:tcBorders>
              <w:top w:val="nil"/>
              <w:left w:val="nil"/>
              <w:bottom w:val="single" w:sz="8" w:space="0" w:color="auto"/>
              <w:right w:val="nil"/>
            </w:tcBorders>
            <w:shd w:val="clear" w:color="auto" w:fill="auto"/>
            <w:vAlign w:val="center"/>
            <w:hideMark/>
          </w:tcPr>
          <w:p w14:paraId="152C3673" w14:textId="77777777" w:rsidR="006F00A4" w:rsidRPr="006F00A4" w:rsidRDefault="006F00A4" w:rsidP="006F00A4">
            <w:pPr>
              <w:spacing w:after="0" w:line="240" w:lineRule="auto"/>
              <w:jc w:val="center"/>
              <w:rPr>
                <w:rFonts w:ascii="Calibri" w:eastAsia="Times New Roman" w:hAnsi="Calibri" w:cs="Calibri"/>
                <w:b/>
                <w:bCs/>
                <w:color w:val="000000"/>
                <w:lang w:val="nl-NL" w:eastAsia="nl-NL"/>
              </w:rPr>
            </w:pPr>
            <w:r w:rsidRPr="006F00A4">
              <w:rPr>
                <w:rFonts w:ascii="Calibri" w:eastAsia="Times New Roman" w:hAnsi="Calibri" w:cs="Calibri"/>
                <w:b/>
                <w:bCs/>
                <w:color w:val="000000"/>
                <w:lang w:val="nl-NL" w:eastAsia="nl-NL"/>
              </w:rPr>
              <w:t xml:space="preserve">No </w:t>
            </w:r>
            <w:proofErr w:type="spellStart"/>
            <w:r w:rsidRPr="006F00A4">
              <w:rPr>
                <w:rFonts w:ascii="Calibri" w:eastAsia="Times New Roman" w:hAnsi="Calibri" w:cs="Calibri"/>
                <w:b/>
                <w:bCs/>
                <w:color w:val="000000"/>
                <w:lang w:val="nl-NL" w:eastAsia="nl-NL"/>
              </w:rPr>
              <w:t>cancer</w:t>
            </w:r>
            <w:proofErr w:type="spellEnd"/>
            <w:r w:rsidRPr="006F00A4">
              <w:rPr>
                <w:rFonts w:ascii="Calibri" w:eastAsia="Times New Roman" w:hAnsi="Calibri" w:cs="Calibri"/>
                <w:b/>
                <w:bCs/>
                <w:color w:val="000000"/>
                <w:lang w:val="nl-NL" w:eastAsia="nl-NL"/>
              </w:rPr>
              <w:t xml:space="preserve"> (n=156)</w:t>
            </w:r>
          </w:p>
        </w:tc>
        <w:tc>
          <w:tcPr>
            <w:tcW w:w="1360" w:type="dxa"/>
            <w:tcBorders>
              <w:top w:val="nil"/>
              <w:left w:val="nil"/>
              <w:bottom w:val="single" w:sz="8" w:space="0" w:color="auto"/>
              <w:right w:val="nil"/>
            </w:tcBorders>
            <w:shd w:val="clear" w:color="auto" w:fill="auto"/>
            <w:vAlign w:val="center"/>
            <w:hideMark/>
          </w:tcPr>
          <w:p w14:paraId="5C319BDD" w14:textId="77777777" w:rsidR="006F00A4" w:rsidRPr="006F00A4" w:rsidRDefault="006F00A4" w:rsidP="006F00A4">
            <w:pPr>
              <w:spacing w:after="0" w:line="240" w:lineRule="auto"/>
              <w:jc w:val="center"/>
              <w:rPr>
                <w:rFonts w:ascii="Calibri" w:eastAsia="Times New Roman" w:hAnsi="Calibri" w:cs="Calibri"/>
                <w:b/>
                <w:bCs/>
                <w:color w:val="000000"/>
                <w:lang w:val="nl-NL" w:eastAsia="nl-NL"/>
              </w:rPr>
            </w:pPr>
            <w:r w:rsidRPr="006F00A4">
              <w:rPr>
                <w:rFonts w:ascii="Calibri" w:eastAsia="Times New Roman" w:hAnsi="Calibri" w:cs="Calibri"/>
                <w:b/>
                <w:bCs/>
                <w:color w:val="000000"/>
                <w:lang w:val="nl-NL" w:eastAsia="nl-NL"/>
              </w:rPr>
              <w:t>Cancer (n=21)</w:t>
            </w:r>
          </w:p>
        </w:tc>
        <w:tc>
          <w:tcPr>
            <w:tcW w:w="960" w:type="dxa"/>
            <w:tcBorders>
              <w:top w:val="nil"/>
              <w:left w:val="nil"/>
              <w:bottom w:val="single" w:sz="8" w:space="0" w:color="auto"/>
              <w:right w:val="nil"/>
            </w:tcBorders>
            <w:shd w:val="clear" w:color="auto" w:fill="auto"/>
            <w:vAlign w:val="center"/>
            <w:hideMark/>
          </w:tcPr>
          <w:p w14:paraId="76354F10" w14:textId="77777777" w:rsidR="006F00A4" w:rsidRPr="006F00A4" w:rsidRDefault="006F00A4" w:rsidP="006F00A4">
            <w:pPr>
              <w:spacing w:after="0" w:line="240" w:lineRule="auto"/>
              <w:jc w:val="center"/>
              <w:rPr>
                <w:rFonts w:ascii="Calibri" w:eastAsia="Times New Roman" w:hAnsi="Calibri" w:cs="Calibri"/>
                <w:b/>
                <w:bCs/>
                <w:color w:val="000000"/>
                <w:lang w:val="nl-NL" w:eastAsia="nl-NL"/>
              </w:rPr>
            </w:pPr>
            <w:r w:rsidRPr="006F00A4">
              <w:rPr>
                <w:rFonts w:ascii="Calibri" w:eastAsia="Times New Roman" w:hAnsi="Calibri" w:cs="Calibri"/>
                <w:b/>
                <w:bCs/>
                <w:color w:val="000000"/>
                <w:lang w:val="nl-NL" w:eastAsia="nl-NL"/>
              </w:rPr>
              <w:t>p</w:t>
            </w:r>
            <w:r w:rsidRPr="006F00A4">
              <w:rPr>
                <w:rFonts w:ascii="Calibri" w:eastAsia="Times New Roman" w:hAnsi="Calibri" w:cs="Calibri"/>
                <w:b/>
                <w:bCs/>
                <w:color w:val="000000"/>
                <w:vertAlign w:val="superscript"/>
                <w:lang w:val="nl-NL" w:eastAsia="nl-NL"/>
              </w:rPr>
              <w:t>*</w:t>
            </w:r>
          </w:p>
        </w:tc>
      </w:tr>
      <w:tr w:rsidR="006F00A4" w:rsidRPr="006F00A4" w14:paraId="48605440"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5533DD68"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Male</w:t>
            </w:r>
          </w:p>
        </w:tc>
        <w:tc>
          <w:tcPr>
            <w:tcW w:w="1840" w:type="dxa"/>
            <w:tcBorders>
              <w:top w:val="nil"/>
              <w:left w:val="nil"/>
              <w:bottom w:val="nil"/>
              <w:right w:val="nil"/>
            </w:tcBorders>
            <w:shd w:val="clear" w:color="auto" w:fill="auto"/>
            <w:vAlign w:val="center"/>
            <w:hideMark/>
          </w:tcPr>
          <w:p w14:paraId="41C1D4C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112 (63)</w:t>
            </w:r>
          </w:p>
        </w:tc>
        <w:tc>
          <w:tcPr>
            <w:tcW w:w="2140" w:type="dxa"/>
            <w:tcBorders>
              <w:top w:val="nil"/>
              <w:left w:val="nil"/>
              <w:bottom w:val="nil"/>
              <w:right w:val="nil"/>
            </w:tcBorders>
            <w:shd w:val="clear" w:color="auto" w:fill="auto"/>
            <w:vAlign w:val="center"/>
            <w:hideMark/>
          </w:tcPr>
          <w:p w14:paraId="440D4CCF"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99 (64)</w:t>
            </w:r>
          </w:p>
        </w:tc>
        <w:tc>
          <w:tcPr>
            <w:tcW w:w="1360" w:type="dxa"/>
            <w:tcBorders>
              <w:top w:val="nil"/>
              <w:left w:val="nil"/>
              <w:bottom w:val="nil"/>
              <w:right w:val="nil"/>
            </w:tcBorders>
            <w:shd w:val="clear" w:color="auto" w:fill="auto"/>
            <w:vAlign w:val="center"/>
            <w:hideMark/>
          </w:tcPr>
          <w:p w14:paraId="4D486B9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13 (62) </w:t>
            </w:r>
          </w:p>
        </w:tc>
        <w:tc>
          <w:tcPr>
            <w:tcW w:w="960" w:type="dxa"/>
            <w:tcBorders>
              <w:top w:val="nil"/>
              <w:left w:val="nil"/>
              <w:bottom w:val="nil"/>
              <w:right w:val="nil"/>
            </w:tcBorders>
            <w:shd w:val="clear" w:color="auto" w:fill="auto"/>
            <w:vAlign w:val="center"/>
            <w:hideMark/>
          </w:tcPr>
          <w:p w14:paraId="6E54DAF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0.89</w:t>
            </w:r>
          </w:p>
        </w:tc>
      </w:tr>
      <w:tr w:rsidR="006F00A4" w:rsidRPr="006F00A4" w14:paraId="5A8FEE57" w14:textId="77777777" w:rsidTr="006F00A4">
        <w:trPr>
          <w:trHeight w:val="345"/>
        </w:trPr>
        <w:tc>
          <w:tcPr>
            <w:tcW w:w="4040" w:type="dxa"/>
            <w:tcBorders>
              <w:top w:val="nil"/>
              <w:left w:val="nil"/>
              <w:bottom w:val="nil"/>
              <w:right w:val="single" w:sz="8" w:space="0" w:color="auto"/>
            </w:tcBorders>
            <w:shd w:val="clear" w:color="auto" w:fill="auto"/>
            <w:vAlign w:val="center"/>
            <w:hideMark/>
          </w:tcPr>
          <w:p w14:paraId="328CE91A"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Age at PF dx, y (range)</w:t>
            </w:r>
            <w:r w:rsidRPr="006F00A4">
              <w:rPr>
                <w:rFonts w:ascii="Calibri" w:eastAsia="Times New Roman" w:hAnsi="Calibri" w:cs="Calibri"/>
                <w:color w:val="000000"/>
                <w:vertAlign w:val="superscript"/>
                <w:lang w:val="nl-NL" w:eastAsia="nl-NL"/>
              </w:rPr>
              <w:t>#</w:t>
            </w:r>
          </w:p>
        </w:tc>
        <w:tc>
          <w:tcPr>
            <w:tcW w:w="1840" w:type="dxa"/>
            <w:tcBorders>
              <w:top w:val="nil"/>
              <w:left w:val="nil"/>
              <w:bottom w:val="nil"/>
              <w:right w:val="nil"/>
            </w:tcBorders>
            <w:shd w:val="clear" w:color="auto" w:fill="auto"/>
            <w:vAlign w:val="center"/>
            <w:hideMark/>
          </w:tcPr>
          <w:p w14:paraId="62D759B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62.8 (30-85)</w:t>
            </w:r>
          </w:p>
        </w:tc>
        <w:tc>
          <w:tcPr>
            <w:tcW w:w="2140" w:type="dxa"/>
            <w:tcBorders>
              <w:top w:val="nil"/>
              <w:left w:val="nil"/>
              <w:bottom w:val="nil"/>
              <w:right w:val="nil"/>
            </w:tcBorders>
            <w:shd w:val="clear" w:color="auto" w:fill="auto"/>
            <w:vAlign w:val="center"/>
            <w:hideMark/>
          </w:tcPr>
          <w:p w14:paraId="7A99C86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63.2 (30-85)</w:t>
            </w:r>
          </w:p>
        </w:tc>
        <w:tc>
          <w:tcPr>
            <w:tcW w:w="1360" w:type="dxa"/>
            <w:tcBorders>
              <w:top w:val="nil"/>
              <w:left w:val="nil"/>
              <w:bottom w:val="nil"/>
              <w:right w:val="nil"/>
            </w:tcBorders>
            <w:shd w:val="clear" w:color="auto" w:fill="auto"/>
            <w:vAlign w:val="center"/>
            <w:hideMark/>
          </w:tcPr>
          <w:p w14:paraId="78AADC9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61.5 (51-80)</w:t>
            </w:r>
          </w:p>
        </w:tc>
        <w:tc>
          <w:tcPr>
            <w:tcW w:w="960" w:type="dxa"/>
            <w:tcBorders>
              <w:top w:val="nil"/>
              <w:left w:val="nil"/>
              <w:bottom w:val="nil"/>
              <w:right w:val="nil"/>
            </w:tcBorders>
            <w:shd w:val="clear" w:color="auto" w:fill="auto"/>
            <w:vAlign w:val="center"/>
            <w:hideMark/>
          </w:tcPr>
          <w:p w14:paraId="4DDE0C6F"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0.95</w:t>
            </w:r>
          </w:p>
        </w:tc>
      </w:tr>
      <w:tr w:rsidR="006F00A4" w:rsidRPr="006F00A4" w14:paraId="795451EF"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5EB76EA6"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Age at </w:t>
            </w:r>
            <w:proofErr w:type="spellStart"/>
            <w:r w:rsidRPr="006F00A4">
              <w:rPr>
                <w:rFonts w:ascii="Calibri" w:eastAsia="Times New Roman" w:hAnsi="Calibri" w:cs="Calibri"/>
                <w:color w:val="000000"/>
                <w:lang w:val="nl-NL" w:eastAsia="nl-NL"/>
              </w:rPr>
              <w:t>cancer</w:t>
            </w:r>
            <w:proofErr w:type="spellEnd"/>
            <w:r w:rsidRPr="006F00A4">
              <w:rPr>
                <w:rFonts w:ascii="Calibri" w:eastAsia="Times New Roman" w:hAnsi="Calibri" w:cs="Calibri"/>
                <w:color w:val="000000"/>
                <w:lang w:val="nl-NL" w:eastAsia="nl-NL"/>
              </w:rPr>
              <w:t xml:space="preserve"> dx, y (range)</w:t>
            </w:r>
          </w:p>
        </w:tc>
        <w:tc>
          <w:tcPr>
            <w:tcW w:w="1840" w:type="dxa"/>
            <w:tcBorders>
              <w:top w:val="nil"/>
              <w:left w:val="nil"/>
              <w:bottom w:val="nil"/>
              <w:right w:val="nil"/>
            </w:tcBorders>
            <w:shd w:val="clear" w:color="auto" w:fill="auto"/>
            <w:vAlign w:val="center"/>
            <w:hideMark/>
          </w:tcPr>
          <w:p w14:paraId="3E1CB77D" w14:textId="77777777" w:rsidR="006F00A4" w:rsidRPr="006F00A4" w:rsidRDefault="006F00A4" w:rsidP="006F00A4">
            <w:pPr>
              <w:spacing w:after="0" w:line="240" w:lineRule="auto"/>
              <w:rPr>
                <w:rFonts w:ascii="Calibri" w:eastAsia="Times New Roman" w:hAnsi="Calibri" w:cs="Calibri"/>
                <w:color w:val="000000"/>
                <w:lang w:val="nl-NL" w:eastAsia="nl-NL"/>
              </w:rPr>
            </w:pPr>
          </w:p>
        </w:tc>
        <w:tc>
          <w:tcPr>
            <w:tcW w:w="2140" w:type="dxa"/>
            <w:tcBorders>
              <w:top w:val="nil"/>
              <w:left w:val="nil"/>
              <w:bottom w:val="nil"/>
              <w:right w:val="nil"/>
            </w:tcBorders>
            <w:shd w:val="clear" w:color="auto" w:fill="auto"/>
            <w:vAlign w:val="center"/>
            <w:hideMark/>
          </w:tcPr>
          <w:p w14:paraId="6EB80070" w14:textId="77777777" w:rsidR="006F00A4" w:rsidRPr="006F00A4" w:rsidRDefault="006F00A4" w:rsidP="006F00A4">
            <w:pPr>
              <w:spacing w:after="0" w:line="240" w:lineRule="auto"/>
              <w:jc w:val="center"/>
              <w:rPr>
                <w:rFonts w:ascii="Calibri" w:eastAsia="Times New Roman" w:hAnsi="Calibri" w:cs="Calibri"/>
                <w:i/>
                <w:iCs/>
                <w:color w:val="000000"/>
                <w:lang w:val="nl-NL" w:eastAsia="nl-NL"/>
              </w:rPr>
            </w:pPr>
            <w:r w:rsidRPr="006F00A4">
              <w:rPr>
                <w:rFonts w:ascii="Calibri" w:eastAsia="Times New Roman" w:hAnsi="Calibri" w:cs="Calibri"/>
                <w:i/>
                <w:iCs/>
                <w:color w:val="000000"/>
                <w:lang w:val="nl-NL" w:eastAsia="nl-NL"/>
              </w:rPr>
              <w:t>NA</w:t>
            </w:r>
          </w:p>
        </w:tc>
        <w:tc>
          <w:tcPr>
            <w:tcW w:w="1360" w:type="dxa"/>
            <w:tcBorders>
              <w:top w:val="nil"/>
              <w:left w:val="nil"/>
              <w:bottom w:val="nil"/>
              <w:right w:val="nil"/>
            </w:tcBorders>
            <w:shd w:val="clear" w:color="auto" w:fill="auto"/>
            <w:vAlign w:val="center"/>
            <w:hideMark/>
          </w:tcPr>
          <w:p w14:paraId="23F5B43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60.4 (34-81)</w:t>
            </w:r>
          </w:p>
        </w:tc>
        <w:tc>
          <w:tcPr>
            <w:tcW w:w="960" w:type="dxa"/>
            <w:tcBorders>
              <w:top w:val="nil"/>
              <w:left w:val="nil"/>
              <w:bottom w:val="nil"/>
              <w:right w:val="nil"/>
            </w:tcBorders>
            <w:shd w:val="clear" w:color="auto" w:fill="auto"/>
            <w:vAlign w:val="center"/>
            <w:hideMark/>
          </w:tcPr>
          <w:p w14:paraId="240F4845" w14:textId="77777777" w:rsidR="006F00A4" w:rsidRPr="006F00A4" w:rsidRDefault="006F00A4" w:rsidP="006F00A4">
            <w:pPr>
              <w:spacing w:after="0" w:line="240" w:lineRule="auto"/>
              <w:jc w:val="center"/>
              <w:rPr>
                <w:rFonts w:ascii="Calibri" w:eastAsia="Times New Roman" w:hAnsi="Calibri" w:cs="Calibri"/>
                <w:i/>
                <w:iCs/>
                <w:color w:val="000000"/>
                <w:lang w:val="nl-NL" w:eastAsia="nl-NL"/>
              </w:rPr>
            </w:pPr>
            <w:r w:rsidRPr="006F00A4">
              <w:rPr>
                <w:rFonts w:ascii="Calibri" w:eastAsia="Times New Roman" w:hAnsi="Calibri" w:cs="Calibri"/>
                <w:i/>
                <w:iCs/>
                <w:color w:val="000000"/>
                <w:lang w:val="nl-NL" w:eastAsia="nl-NL"/>
              </w:rPr>
              <w:t>NA</w:t>
            </w:r>
          </w:p>
        </w:tc>
      </w:tr>
      <w:tr w:rsidR="006F00A4" w:rsidRPr="006F00A4" w14:paraId="6DEB400E" w14:textId="77777777" w:rsidTr="006F00A4">
        <w:trPr>
          <w:trHeight w:val="345"/>
        </w:trPr>
        <w:tc>
          <w:tcPr>
            <w:tcW w:w="4040" w:type="dxa"/>
            <w:tcBorders>
              <w:top w:val="nil"/>
              <w:left w:val="nil"/>
              <w:bottom w:val="nil"/>
              <w:right w:val="single" w:sz="8" w:space="0" w:color="auto"/>
            </w:tcBorders>
            <w:shd w:val="clear" w:color="auto" w:fill="auto"/>
            <w:vAlign w:val="center"/>
            <w:hideMark/>
          </w:tcPr>
          <w:p w14:paraId="32D839FB"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Ever </w:t>
            </w:r>
            <w:proofErr w:type="spellStart"/>
            <w:r w:rsidRPr="006F00A4">
              <w:rPr>
                <w:rFonts w:ascii="Calibri" w:eastAsia="Times New Roman" w:hAnsi="Calibri" w:cs="Calibri"/>
                <w:color w:val="000000"/>
                <w:lang w:val="nl-NL" w:eastAsia="nl-NL"/>
              </w:rPr>
              <w:t>smoker</w:t>
            </w:r>
            <w:proofErr w:type="spellEnd"/>
            <w:r w:rsidRPr="006F00A4">
              <w:rPr>
                <w:rFonts w:ascii="Calibri" w:eastAsia="Times New Roman" w:hAnsi="Calibri" w:cs="Calibri"/>
                <w:color w:val="000000"/>
                <w:vertAlign w:val="superscript"/>
                <w:lang w:val="nl-NL" w:eastAsia="nl-NL"/>
              </w:rPr>
              <w:t>$</w:t>
            </w:r>
          </w:p>
        </w:tc>
        <w:tc>
          <w:tcPr>
            <w:tcW w:w="1840" w:type="dxa"/>
            <w:tcBorders>
              <w:top w:val="nil"/>
              <w:left w:val="nil"/>
              <w:bottom w:val="nil"/>
              <w:right w:val="nil"/>
            </w:tcBorders>
            <w:shd w:val="clear" w:color="auto" w:fill="auto"/>
            <w:vAlign w:val="center"/>
            <w:hideMark/>
          </w:tcPr>
          <w:p w14:paraId="2C352B4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120 (68)</w:t>
            </w:r>
          </w:p>
        </w:tc>
        <w:tc>
          <w:tcPr>
            <w:tcW w:w="2140" w:type="dxa"/>
            <w:tcBorders>
              <w:top w:val="nil"/>
              <w:left w:val="nil"/>
              <w:bottom w:val="nil"/>
              <w:right w:val="nil"/>
            </w:tcBorders>
            <w:shd w:val="clear" w:color="auto" w:fill="auto"/>
            <w:vAlign w:val="center"/>
            <w:hideMark/>
          </w:tcPr>
          <w:p w14:paraId="0EC9F52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104 (67) </w:t>
            </w:r>
          </w:p>
        </w:tc>
        <w:tc>
          <w:tcPr>
            <w:tcW w:w="1360" w:type="dxa"/>
            <w:tcBorders>
              <w:top w:val="nil"/>
              <w:left w:val="nil"/>
              <w:bottom w:val="nil"/>
              <w:right w:val="nil"/>
            </w:tcBorders>
            <w:shd w:val="clear" w:color="auto" w:fill="auto"/>
            <w:vAlign w:val="center"/>
            <w:hideMark/>
          </w:tcPr>
          <w:p w14:paraId="74CE68AD"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16 (76) </w:t>
            </w:r>
          </w:p>
        </w:tc>
        <w:tc>
          <w:tcPr>
            <w:tcW w:w="960" w:type="dxa"/>
            <w:tcBorders>
              <w:top w:val="nil"/>
              <w:left w:val="nil"/>
              <w:bottom w:val="nil"/>
              <w:right w:val="nil"/>
            </w:tcBorders>
            <w:shd w:val="clear" w:color="auto" w:fill="auto"/>
            <w:vAlign w:val="center"/>
            <w:hideMark/>
          </w:tcPr>
          <w:p w14:paraId="2D92A5B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0.40</w:t>
            </w:r>
          </w:p>
        </w:tc>
      </w:tr>
      <w:tr w:rsidR="006F00A4" w:rsidRPr="006F00A4" w14:paraId="6387D03A"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7505413C" w14:textId="77777777" w:rsidR="006F00A4" w:rsidRPr="006F00A4" w:rsidRDefault="006F00A4" w:rsidP="006F00A4">
            <w:pPr>
              <w:spacing w:after="0" w:line="240" w:lineRule="auto"/>
              <w:rPr>
                <w:rFonts w:ascii="Calibri" w:eastAsia="Times New Roman" w:hAnsi="Calibri" w:cs="Calibri"/>
                <w:color w:val="000000"/>
                <w:lang w:val="nl-NL" w:eastAsia="nl-NL"/>
              </w:rPr>
            </w:pPr>
            <w:proofErr w:type="spellStart"/>
            <w:r w:rsidRPr="006F00A4">
              <w:rPr>
                <w:rFonts w:ascii="Calibri" w:eastAsia="Times New Roman" w:hAnsi="Calibri" w:cs="Calibri"/>
                <w:color w:val="000000"/>
                <w:lang w:val="nl-NL" w:eastAsia="nl-NL"/>
              </w:rPr>
              <w:t>Died</w:t>
            </w:r>
            <w:proofErr w:type="spellEnd"/>
          </w:p>
        </w:tc>
        <w:tc>
          <w:tcPr>
            <w:tcW w:w="1840" w:type="dxa"/>
            <w:tcBorders>
              <w:top w:val="nil"/>
              <w:left w:val="nil"/>
              <w:bottom w:val="nil"/>
              <w:right w:val="nil"/>
            </w:tcBorders>
            <w:shd w:val="clear" w:color="auto" w:fill="auto"/>
            <w:vAlign w:val="center"/>
            <w:hideMark/>
          </w:tcPr>
          <w:p w14:paraId="65A48737"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101 (64)</w:t>
            </w:r>
          </w:p>
        </w:tc>
        <w:tc>
          <w:tcPr>
            <w:tcW w:w="2140" w:type="dxa"/>
            <w:tcBorders>
              <w:top w:val="nil"/>
              <w:left w:val="nil"/>
              <w:bottom w:val="nil"/>
              <w:right w:val="nil"/>
            </w:tcBorders>
            <w:shd w:val="clear" w:color="auto" w:fill="auto"/>
            <w:vAlign w:val="center"/>
            <w:hideMark/>
          </w:tcPr>
          <w:p w14:paraId="73E442E3"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85 (63)</w:t>
            </w:r>
          </w:p>
        </w:tc>
        <w:tc>
          <w:tcPr>
            <w:tcW w:w="1360" w:type="dxa"/>
            <w:tcBorders>
              <w:top w:val="nil"/>
              <w:left w:val="nil"/>
              <w:bottom w:val="nil"/>
              <w:right w:val="nil"/>
            </w:tcBorders>
            <w:shd w:val="clear" w:color="auto" w:fill="auto"/>
            <w:vAlign w:val="center"/>
            <w:hideMark/>
          </w:tcPr>
          <w:p w14:paraId="16E6EC9D"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16 (80) </w:t>
            </w:r>
          </w:p>
        </w:tc>
        <w:tc>
          <w:tcPr>
            <w:tcW w:w="960" w:type="dxa"/>
            <w:tcBorders>
              <w:top w:val="nil"/>
              <w:left w:val="nil"/>
              <w:bottom w:val="nil"/>
              <w:right w:val="nil"/>
            </w:tcBorders>
            <w:shd w:val="clear" w:color="auto" w:fill="auto"/>
            <w:vAlign w:val="center"/>
            <w:hideMark/>
          </w:tcPr>
          <w:p w14:paraId="340FF71D"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0.14</w:t>
            </w:r>
          </w:p>
        </w:tc>
      </w:tr>
      <w:tr w:rsidR="006F00A4" w:rsidRPr="006F00A4" w14:paraId="214F3A8A"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6C4C1FDA" w14:textId="77777777" w:rsidR="006F00A4" w:rsidRPr="006F00A4" w:rsidRDefault="006F00A4" w:rsidP="006F00A4">
            <w:pPr>
              <w:spacing w:after="0" w:line="240" w:lineRule="auto"/>
              <w:rPr>
                <w:rFonts w:ascii="Calibri" w:eastAsia="Times New Roman" w:hAnsi="Calibri" w:cs="Calibri"/>
                <w:color w:val="000000"/>
                <w:lang w:val="nl-NL" w:eastAsia="nl-NL"/>
              </w:rPr>
            </w:pPr>
            <w:proofErr w:type="spellStart"/>
            <w:r w:rsidRPr="006F00A4">
              <w:rPr>
                <w:rFonts w:ascii="Calibri" w:eastAsia="Times New Roman" w:hAnsi="Calibri" w:cs="Calibri"/>
                <w:color w:val="000000"/>
                <w:lang w:val="nl-NL" w:eastAsia="nl-NL"/>
              </w:rPr>
              <w:t>Lung</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transplantation</w:t>
            </w:r>
            <w:proofErr w:type="spellEnd"/>
          </w:p>
        </w:tc>
        <w:tc>
          <w:tcPr>
            <w:tcW w:w="1840" w:type="dxa"/>
            <w:tcBorders>
              <w:top w:val="nil"/>
              <w:left w:val="nil"/>
              <w:bottom w:val="nil"/>
              <w:right w:val="nil"/>
            </w:tcBorders>
            <w:shd w:val="clear" w:color="auto" w:fill="auto"/>
            <w:vAlign w:val="center"/>
            <w:hideMark/>
          </w:tcPr>
          <w:p w14:paraId="3F6EE5C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21 (12)</w:t>
            </w:r>
          </w:p>
        </w:tc>
        <w:tc>
          <w:tcPr>
            <w:tcW w:w="2140" w:type="dxa"/>
            <w:tcBorders>
              <w:top w:val="nil"/>
              <w:left w:val="nil"/>
              <w:bottom w:val="nil"/>
              <w:right w:val="nil"/>
            </w:tcBorders>
            <w:shd w:val="clear" w:color="auto" w:fill="auto"/>
            <w:vAlign w:val="center"/>
            <w:hideMark/>
          </w:tcPr>
          <w:p w14:paraId="1C71FF9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20  (13)</w:t>
            </w:r>
          </w:p>
        </w:tc>
        <w:tc>
          <w:tcPr>
            <w:tcW w:w="1360" w:type="dxa"/>
            <w:tcBorders>
              <w:top w:val="nil"/>
              <w:left w:val="nil"/>
              <w:bottom w:val="nil"/>
              <w:right w:val="nil"/>
            </w:tcBorders>
            <w:shd w:val="clear" w:color="auto" w:fill="auto"/>
            <w:vAlign w:val="center"/>
            <w:hideMark/>
          </w:tcPr>
          <w:p w14:paraId="5C67778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(5)^</w:t>
            </w:r>
          </w:p>
        </w:tc>
        <w:tc>
          <w:tcPr>
            <w:tcW w:w="960" w:type="dxa"/>
            <w:tcBorders>
              <w:top w:val="nil"/>
              <w:left w:val="nil"/>
              <w:bottom w:val="nil"/>
              <w:right w:val="nil"/>
            </w:tcBorders>
            <w:shd w:val="clear" w:color="auto" w:fill="auto"/>
            <w:vAlign w:val="center"/>
            <w:hideMark/>
          </w:tcPr>
          <w:p w14:paraId="08618C47"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0.48</w:t>
            </w:r>
          </w:p>
        </w:tc>
      </w:tr>
      <w:tr w:rsidR="006F00A4" w:rsidRPr="006F00A4" w14:paraId="0E858960" w14:textId="77777777" w:rsidTr="006F00A4">
        <w:trPr>
          <w:trHeight w:val="345"/>
        </w:trPr>
        <w:tc>
          <w:tcPr>
            <w:tcW w:w="4040" w:type="dxa"/>
            <w:tcBorders>
              <w:top w:val="nil"/>
              <w:left w:val="nil"/>
              <w:bottom w:val="nil"/>
              <w:right w:val="single" w:sz="8" w:space="0" w:color="auto"/>
            </w:tcBorders>
            <w:shd w:val="clear" w:color="auto" w:fill="auto"/>
            <w:vAlign w:val="center"/>
            <w:hideMark/>
          </w:tcPr>
          <w:p w14:paraId="77858331"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Follow-up time </w:t>
            </w:r>
            <w:proofErr w:type="spellStart"/>
            <w:r w:rsidRPr="006F00A4">
              <w:rPr>
                <w:rFonts w:ascii="Calibri" w:eastAsia="Times New Roman" w:hAnsi="Calibri" w:cs="Calibri"/>
                <w:color w:val="000000"/>
                <w:lang w:val="nl-NL" w:eastAsia="nl-NL"/>
              </w:rPr>
              <w:t>after</w:t>
            </w:r>
            <w:proofErr w:type="spellEnd"/>
            <w:r w:rsidRPr="006F00A4">
              <w:rPr>
                <w:rFonts w:ascii="Calibri" w:eastAsia="Times New Roman" w:hAnsi="Calibri" w:cs="Calibri"/>
                <w:color w:val="000000"/>
                <w:lang w:val="nl-NL" w:eastAsia="nl-NL"/>
              </w:rPr>
              <w:t xml:space="preserve"> PF dx, y</w:t>
            </w:r>
            <w:r w:rsidRPr="006F00A4">
              <w:rPr>
                <w:rFonts w:ascii="Calibri" w:eastAsia="Times New Roman" w:hAnsi="Calibri" w:cs="Calibri"/>
                <w:color w:val="000000"/>
                <w:vertAlign w:val="superscript"/>
                <w:lang w:val="nl-NL" w:eastAsia="nl-NL"/>
              </w:rPr>
              <w:t>#</w:t>
            </w:r>
          </w:p>
        </w:tc>
        <w:tc>
          <w:tcPr>
            <w:tcW w:w="1840" w:type="dxa"/>
            <w:tcBorders>
              <w:top w:val="nil"/>
              <w:left w:val="nil"/>
              <w:bottom w:val="nil"/>
              <w:right w:val="nil"/>
            </w:tcBorders>
            <w:shd w:val="clear" w:color="auto" w:fill="auto"/>
            <w:vAlign w:val="center"/>
            <w:hideMark/>
          </w:tcPr>
          <w:p w14:paraId="5806DE7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1.9 (2.6)</w:t>
            </w:r>
          </w:p>
        </w:tc>
        <w:tc>
          <w:tcPr>
            <w:tcW w:w="2140" w:type="dxa"/>
            <w:tcBorders>
              <w:top w:val="nil"/>
              <w:left w:val="nil"/>
              <w:bottom w:val="nil"/>
              <w:right w:val="nil"/>
            </w:tcBorders>
            <w:shd w:val="clear" w:color="auto" w:fill="auto"/>
            <w:vAlign w:val="center"/>
            <w:hideMark/>
          </w:tcPr>
          <w:p w14:paraId="1A9087C5"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1.8 (2.6)</w:t>
            </w:r>
          </w:p>
        </w:tc>
        <w:tc>
          <w:tcPr>
            <w:tcW w:w="1360" w:type="dxa"/>
            <w:tcBorders>
              <w:top w:val="nil"/>
              <w:left w:val="nil"/>
              <w:bottom w:val="nil"/>
              <w:right w:val="nil"/>
            </w:tcBorders>
            <w:shd w:val="clear" w:color="auto" w:fill="auto"/>
            <w:vAlign w:val="center"/>
            <w:hideMark/>
          </w:tcPr>
          <w:p w14:paraId="35B5479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3.0 (4.0)</w:t>
            </w:r>
          </w:p>
        </w:tc>
        <w:tc>
          <w:tcPr>
            <w:tcW w:w="960" w:type="dxa"/>
            <w:tcBorders>
              <w:top w:val="nil"/>
              <w:left w:val="nil"/>
              <w:bottom w:val="nil"/>
              <w:right w:val="nil"/>
            </w:tcBorders>
            <w:shd w:val="clear" w:color="auto" w:fill="auto"/>
            <w:vAlign w:val="center"/>
            <w:hideMark/>
          </w:tcPr>
          <w:p w14:paraId="0687459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0.14</w:t>
            </w:r>
          </w:p>
        </w:tc>
      </w:tr>
      <w:tr w:rsidR="006F00A4" w:rsidRPr="006F00A4" w14:paraId="1C5507D8" w14:textId="77777777" w:rsidTr="006F00A4">
        <w:trPr>
          <w:trHeight w:val="345"/>
        </w:trPr>
        <w:tc>
          <w:tcPr>
            <w:tcW w:w="4040" w:type="dxa"/>
            <w:tcBorders>
              <w:top w:val="nil"/>
              <w:left w:val="nil"/>
              <w:bottom w:val="nil"/>
              <w:right w:val="single" w:sz="8" w:space="0" w:color="auto"/>
            </w:tcBorders>
            <w:shd w:val="clear" w:color="auto" w:fill="auto"/>
            <w:vAlign w:val="center"/>
            <w:hideMark/>
          </w:tcPr>
          <w:p w14:paraId="33F3E159"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Survival time </w:t>
            </w:r>
            <w:proofErr w:type="spellStart"/>
            <w:r w:rsidRPr="006F00A4">
              <w:rPr>
                <w:rFonts w:ascii="Calibri" w:eastAsia="Times New Roman" w:hAnsi="Calibri" w:cs="Calibri"/>
                <w:color w:val="000000"/>
                <w:lang w:val="nl-NL" w:eastAsia="nl-NL"/>
              </w:rPr>
              <w:t>after</w:t>
            </w:r>
            <w:proofErr w:type="spellEnd"/>
            <w:r w:rsidRPr="006F00A4">
              <w:rPr>
                <w:rFonts w:ascii="Calibri" w:eastAsia="Times New Roman" w:hAnsi="Calibri" w:cs="Calibri"/>
                <w:color w:val="000000"/>
                <w:lang w:val="nl-NL" w:eastAsia="nl-NL"/>
              </w:rPr>
              <w:t xml:space="preserve"> PF dx, y (95%CI)</w:t>
            </w:r>
            <w:r w:rsidRPr="006F00A4">
              <w:rPr>
                <w:rFonts w:ascii="Calibri" w:eastAsia="Times New Roman" w:hAnsi="Calibri" w:cs="Calibri"/>
                <w:color w:val="000000"/>
                <w:vertAlign w:val="superscript"/>
                <w:lang w:val="nl-NL" w:eastAsia="nl-NL"/>
              </w:rPr>
              <w:t>#</w:t>
            </w:r>
          </w:p>
        </w:tc>
        <w:tc>
          <w:tcPr>
            <w:tcW w:w="1840" w:type="dxa"/>
            <w:tcBorders>
              <w:top w:val="nil"/>
              <w:left w:val="nil"/>
              <w:bottom w:val="nil"/>
              <w:right w:val="nil"/>
            </w:tcBorders>
            <w:shd w:val="clear" w:color="auto" w:fill="auto"/>
            <w:vAlign w:val="center"/>
            <w:hideMark/>
          </w:tcPr>
          <w:p w14:paraId="2E18D30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2.8 (2.0-3.5)</w:t>
            </w:r>
          </w:p>
        </w:tc>
        <w:tc>
          <w:tcPr>
            <w:tcW w:w="2140" w:type="dxa"/>
            <w:tcBorders>
              <w:top w:val="nil"/>
              <w:left w:val="nil"/>
              <w:bottom w:val="nil"/>
              <w:right w:val="nil"/>
            </w:tcBorders>
            <w:shd w:val="clear" w:color="auto" w:fill="auto"/>
            <w:vAlign w:val="center"/>
            <w:hideMark/>
          </w:tcPr>
          <w:p w14:paraId="09644FC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2.6 (1.8-3.5)</w:t>
            </w:r>
          </w:p>
        </w:tc>
        <w:tc>
          <w:tcPr>
            <w:tcW w:w="1360" w:type="dxa"/>
            <w:tcBorders>
              <w:top w:val="nil"/>
              <w:left w:val="nil"/>
              <w:bottom w:val="nil"/>
              <w:right w:val="nil"/>
            </w:tcBorders>
            <w:shd w:val="clear" w:color="auto" w:fill="auto"/>
            <w:vAlign w:val="center"/>
            <w:hideMark/>
          </w:tcPr>
          <w:p w14:paraId="6855E494"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3.0 (2.0-4.0)</w:t>
            </w:r>
          </w:p>
        </w:tc>
        <w:tc>
          <w:tcPr>
            <w:tcW w:w="960" w:type="dxa"/>
            <w:tcBorders>
              <w:top w:val="nil"/>
              <w:left w:val="nil"/>
              <w:bottom w:val="nil"/>
              <w:right w:val="nil"/>
            </w:tcBorders>
            <w:shd w:val="clear" w:color="auto" w:fill="auto"/>
            <w:vAlign w:val="center"/>
            <w:hideMark/>
          </w:tcPr>
          <w:p w14:paraId="422EE6B2"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0.92</w:t>
            </w:r>
          </w:p>
        </w:tc>
      </w:tr>
      <w:tr w:rsidR="006F00A4" w:rsidRPr="006F00A4" w14:paraId="431CFEBD" w14:textId="77777777" w:rsidTr="006F00A4">
        <w:trPr>
          <w:trHeight w:val="345"/>
        </w:trPr>
        <w:tc>
          <w:tcPr>
            <w:tcW w:w="4040" w:type="dxa"/>
            <w:tcBorders>
              <w:top w:val="nil"/>
              <w:left w:val="nil"/>
              <w:bottom w:val="nil"/>
              <w:right w:val="single" w:sz="8" w:space="0" w:color="auto"/>
            </w:tcBorders>
            <w:shd w:val="clear" w:color="auto" w:fill="auto"/>
            <w:vAlign w:val="center"/>
            <w:hideMark/>
          </w:tcPr>
          <w:p w14:paraId="051AA065"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Diagnoses</w:t>
            </w:r>
          </w:p>
        </w:tc>
        <w:tc>
          <w:tcPr>
            <w:tcW w:w="1840" w:type="dxa"/>
            <w:tcBorders>
              <w:top w:val="nil"/>
              <w:left w:val="nil"/>
              <w:bottom w:val="nil"/>
              <w:right w:val="nil"/>
            </w:tcBorders>
            <w:shd w:val="clear" w:color="auto" w:fill="auto"/>
            <w:vAlign w:val="center"/>
            <w:hideMark/>
          </w:tcPr>
          <w:p w14:paraId="6987FBA2" w14:textId="77777777" w:rsidR="006F00A4" w:rsidRPr="006F00A4" w:rsidRDefault="006F00A4" w:rsidP="006F00A4">
            <w:pPr>
              <w:spacing w:after="0" w:line="240" w:lineRule="auto"/>
              <w:rPr>
                <w:rFonts w:ascii="Calibri" w:eastAsia="Times New Roman" w:hAnsi="Calibri" w:cs="Calibri"/>
                <w:color w:val="000000"/>
                <w:lang w:val="nl-NL" w:eastAsia="nl-NL"/>
              </w:rPr>
            </w:pPr>
          </w:p>
        </w:tc>
        <w:tc>
          <w:tcPr>
            <w:tcW w:w="2140" w:type="dxa"/>
            <w:tcBorders>
              <w:top w:val="nil"/>
              <w:left w:val="nil"/>
              <w:bottom w:val="nil"/>
              <w:right w:val="nil"/>
            </w:tcBorders>
            <w:shd w:val="clear" w:color="auto" w:fill="auto"/>
            <w:vAlign w:val="center"/>
            <w:hideMark/>
          </w:tcPr>
          <w:p w14:paraId="20CD77DB"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1360" w:type="dxa"/>
            <w:tcBorders>
              <w:top w:val="nil"/>
              <w:left w:val="nil"/>
              <w:bottom w:val="nil"/>
              <w:right w:val="nil"/>
            </w:tcBorders>
            <w:shd w:val="clear" w:color="auto" w:fill="auto"/>
            <w:vAlign w:val="center"/>
            <w:hideMark/>
          </w:tcPr>
          <w:p w14:paraId="057BC5A8"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960" w:type="dxa"/>
            <w:tcBorders>
              <w:top w:val="nil"/>
              <w:left w:val="nil"/>
              <w:bottom w:val="nil"/>
              <w:right w:val="nil"/>
            </w:tcBorders>
            <w:shd w:val="clear" w:color="auto" w:fill="auto"/>
            <w:noWrap/>
            <w:vAlign w:val="bottom"/>
            <w:hideMark/>
          </w:tcPr>
          <w:p w14:paraId="785A813D"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0.78</w:t>
            </w:r>
            <w:r w:rsidRPr="006F00A4">
              <w:rPr>
                <w:rFonts w:ascii="Arial" w:eastAsia="Times New Roman" w:hAnsi="Arial" w:cs="Arial"/>
                <w:color w:val="000000"/>
                <w:vertAlign w:val="superscript"/>
                <w:lang w:val="nl-NL" w:eastAsia="nl-NL"/>
              </w:rPr>
              <w:t>ǁ</w:t>
            </w:r>
          </w:p>
        </w:tc>
      </w:tr>
      <w:tr w:rsidR="006F00A4" w:rsidRPr="006F00A4" w14:paraId="483E74EC"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4A6582FC"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Idiopathic</w:t>
            </w:r>
            <w:proofErr w:type="spellEnd"/>
            <w:r w:rsidRPr="006F00A4">
              <w:rPr>
                <w:rFonts w:ascii="Calibri" w:eastAsia="Times New Roman" w:hAnsi="Calibri" w:cs="Calibri"/>
                <w:color w:val="000000"/>
                <w:lang w:val="nl-NL" w:eastAsia="nl-NL"/>
              </w:rPr>
              <w:t xml:space="preserve"> Pulmonary Fibrosis</w:t>
            </w:r>
          </w:p>
        </w:tc>
        <w:tc>
          <w:tcPr>
            <w:tcW w:w="1840" w:type="dxa"/>
            <w:tcBorders>
              <w:top w:val="nil"/>
              <w:left w:val="nil"/>
              <w:bottom w:val="nil"/>
              <w:right w:val="nil"/>
            </w:tcBorders>
            <w:shd w:val="clear" w:color="auto" w:fill="auto"/>
            <w:vAlign w:val="center"/>
            <w:hideMark/>
          </w:tcPr>
          <w:p w14:paraId="335ECDB9"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140 (79)</w:t>
            </w:r>
          </w:p>
        </w:tc>
        <w:tc>
          <w:tcPr>
            <w:tcW w:w="2140" w:type="dxa"/>
            <w:tcBorders>
              <w:top w:val="nil"/>
              <w:left w:val="nil"/>
              <w:bottom w:val="nil"/>
              <w:right w:val="nil"/>
            </w:tcBorders>
            <w:shd w:val="clear" w:color="auto" w:fill="auto"/>
            <w:vAlign w:val="center"/>
            <w:hideMark/>
          </w:tcPr>
          <w:p w14:paraId="5706F352"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124 (79)</w:t>
            </w:r>
          </w:p>
        </w:tc>
        <w:tc>
          <w:tcPr>
            <w:tcW w:w="1360" w:type="dxa"/>
            <w:tcBorders>
              <w:top w:val="nil"/>
              <w:left w:val="nil"/>
              <w:bottom w:val="nil"/>
              <w:right w:val="nil"/>
            </w:tcBorders>
            <w:shd w:val="clear" w:color="auto" w:fill="auto"/>
            <w:vAlign w:val="center"/>
            <w:hideMark/>
          </w:tcPr>
          <w:p w14:paraId="40B164B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16 (75)</w:t>
            </w:r>
          </w:p>
        </w:tc>
        <w:tc>
          <w:tcPr>
            <w:tcW w:w="960" w:type="dxa"/>
            <w:tcBorders>
              <w:top w:val="nil"/>
              <w:left w:val="nil"/>
              <w:bottom w:val="nil"/>
              <w:right w:val="nil"/>
            </w:tcBorders>
            <w:shd w:val="clear" w:color="auto" w:fill="auto"/>
            <w:noWrap/>
            <w:vAlign w:val="bottom"/>
            <w:hideMark/>
          </w:tcPr>
          <w:p w14:paraId="70715E60"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6CB14776"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1F1858E1"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Hypersensitivity</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pneumonitis</w:t>
            </w:r>
            <w:proofErr w:type="spellEnd"/>
          </w:p>
        </w:tc>
        <w:tc>
          <w:tcPr>
            <w:tcW w:w="1840" w:type="dxa"/>
            <w:tcBorders>
              <w:top w:val="nil"/>
              <w:left w:val="nil"/>
              <w:bottom w:val="nil"/>
              <w:right w:val="nil"/>
            </w:tcBorders>
            <w:shd w:val="clear" w:color="auto" w:fill="auto"/>
            <w:vAlign w:val="center"/>
            <w:hideMark/>
          </w:tcPr>
          <w:p w14:paraId="04166CB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9 (5)</w:t>
            </w:r>
          </w:p>
        </w:tc>
        <w:tc>
          <w:tcPr>
            <w:tcW w:w="2140" w:type="dxa"/>
            <w:tcBorders>
              <w:top w:val="nil"/>
              <w:left w:val="nil"/>
              <w:bottom w:val="nil"/>
              <w:right w:val="nil"/>
            </w:tcBorders>
            <w:shd w:val="clear" w:color="auto" w:fill="auto"/>
            <w:vAlign w:val="center"/>
            <w:hideMark/>
          </w:tcPr>
          <w:p w14:paraId="6B56163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8 (5)</w:t>
            </w:r>
          </w:p>
        </w:tc>
        <w:tc>
          <w:tcPr>
            <w:tcW w:w="1360" w:type="dxa"/>
            <w:tcBorders>
              <w:top w:val="nil"/>
              <w:left w:val="nil"/>
              <w:bottom w:val="nil"/>
              <w:right w:val="nil"/>
            </w:tcBorders>
            <w:shd w:val="clear" w:color="auto" w:fill="auto"/>
            <w:vAlign w:val="center"/>
            <w:hideMark/>
          </w:tcPr>
          <w:p w14:paraId="609F962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(5)</w:t>
            </w:r>
          </w:p>
        </w:tc>
        <w:tc>
          <w:tcPr>
            <w:tcW w:w="960" w:type="dxa"/>
            <w:tcBorders>
              <w:top w:val="nil"/>
              <w:left w:val="nil"/>
              <w:bottom w:val="nil"/>
              <w:right w:val="nil"/>
            </w:tcBorders>
            <w:shd w:val="clear" w:color="auto" w:fill="auto"/>
            <w:noWrap/>
            <w:vAlign w:val="bottom"/>
            <w:hideMark/>
          </w:tcPr>
          <w:p w14:paraId="6550ED6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7CC1308A"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680F640A"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Non-</w:t>
            </w:r>
            <w:proofErr w:type="spellStart"/>
            <w:r w:rsidRPr="006F00A4">
              <w:rPr>
                <w:rFonts w:ascii="Calibri" w:eastAsia="Times New Roman" w:hAnsi="Calibri" w:cs="Calibri"/>
                <w:color w:val="000000"/>
                <w:lang w:val="nl-NL" w:eastAsia="nl-NL"/>
              </w:rPr>
              <w:t>specific</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interstitial</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pneumonia</w:t>
            </w:r>
            <w:proofErr w:type="spellEnd"/>
          </w:p>
        </w:tc>
        <w:tc>
          <w:tcPr>
            <w:tcW w:w="1840" w:type="dxa"/>
            <w:tcBorders>
              <w:top w:val="nil"/>
              <w:left w:val="nil"/>
              <w:bottom w:val="nil"/>
              <w:right w:val="nil"/>
            </w:tcBorders>
            <w:shd w:val="clear" w:color="auto" w:fill="auto"/>
            <w:vAlign w:val="center"/>
            <w:hideMark/>
          </w:tcPr>
          <w:p w14:paraId="317DBC4F"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8 (5)</w:t>
            </w:r>
          </w:p>
        </w:tc>
        <w:tc>
          <w:tcPr>
            <w:tcW w:w="2140" w:type="dxa"/>
            <w:tcBorders>
              <w:top w:val="nil"/>
              <w:left w:val="nil"/>
              <w:bottom w:val="nil"/>
              <w:right w:val="nil"/>
            </w:tcBorders>
            <w:shd w:val="clear" w:color="auto" w:fill="auto"/>
            <w:vAlign w:val="center"/>
            <w:hideMark/>
          </w:tcPr>
          <w:p w14:paraId="3FADF30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8 (5)</w:t>
            </w:r>
          </w:p>
        </w:tc>
        <w:tc>
          <w:tcPr>
            <w:tcW w:w="1360" w:type="dxa"/>
            <w:tcBorders>
              <w:top w:val="nil"/>
              <w:left w:val="nil"/>
              <w:bottom w:val="nil"/>
              <w:right w:val="nil"/>
            </w:tcBorders>
            <w:shd w:val="clear" w:color="auto" w:fill="auto"/>
            <w:noWrap/>
            <w:vAlign w:val="bottom"/>
            <w:hideMark/>
          </w:tcPr>
          <w:p w14:paraId="0F50FC3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w:t>
            </w:r>
          </w:p>
        </w:tc>
        <w:tc>
          <w:tcPr>
            <w:tcW w:w="960" w:type="dxa"/>
            <w:tcBorders>
              <w:top w:val="nil"/>
              <w:left w:val="nil"/>
              <w:bottom w:val="nil"/>
              <w:right w:val="nil"/>
            </w:tcBorders>
            <w:shd w:val="clear" w:color="auto" w:fill="auto"/>
            <w:noWrap/>
            <w:vAlign w:val="bottom"/>
            <w:hideMark/>
          </w:tcPr>
          <w:p w14:paraId="30E92F1D"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456823AE" w14:textId="77777777" w:rsidTr="006F00A4">
        <w:trPr>
          <w:trHeight w:val="315"/>
        </w:trPr>
        <w:tc>
          <w:tcPr>
            <w:tcW w:w="4040" w:type="dxa"/>
            <w:tcBorders>
              <w:top w:val="nil"/>
              <w:left w:val="nil"/>
              <w:bottom w:val="nil"/>
              <w:right w:val="single" w:sz="8" w:space="0" w:color="auto"/>
            </w:tcBorders>
            <w:shd w:val="clear" w:color="auto" w:fill="auto"/>
            <w:vAlign w:val="center"/>
            <w:hideMark/>
          </w:tcPr>
          <w:p w14:paraId="1A702981"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Non-</w:t>
            </w:r>
            <w:proofErr w:type="spellStart"/>
            <w:r w:rsidRPr="006F00A4">
              <w:rPr>
                <w:rFonts w:ascii="Calibri" w:eastAsia="Times New Roman" w:hAnsi="Calibri" w:cs="Calibri"/>
                <w:color w:val="000000"/>
                <w:lang w:val="nl-NL" w:eastAsia="nl-NL"/>
              </w:rPr>
              <w:t>classifiable</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interstitial</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pneumonia</w:t>
            </w:r>
            <w:proofErr w:type="spellEnd"/>
          </w:p>
        </w:tc>
        <w:tc>
          <w:tcPr>
            <w:tcW w:w="1840" w:type="dxa"/>
            <w:tcBorders>
              <w:top w:val="nil"/>
              <w:left w:val="nil"/>
              <w:bottom w:val="nil"/>
              <w:right w:val="nil"/>
            </w:tcBorders>
            <w:shd w:val="clear" w:color="auto" w:fill="auto"/>
            <w:noWrap/>
            <w:vAlign w:val="bottom"/>
            <w:hideMark/>
          </w:tcPr>
          <w:p w14:paraId="5BF4E7A5"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7 (4)</w:t>
            </w:r>
          </w:p>
        </w:tc>
        <w:tc>
          <w:tcPr>
            <w:tcW w:w="2140" w:type="dxa"/>
            <w:tcBorders>
              <w:top w:val="nil"/>
              <w:left w:val="nil"/>
              <w:bottom w:val="nil"/>
              <w:right w:val="nil"/>
            </w:tcBorders>
            <w:shd w:val="clear" w:color="auto" w:fill="auto"/>
            <w:noWrap/>
            <w:vAlign w:val="bottom"/>
            <w:hideMark/>
          </w:tcPr>
          <w:p w14:paraId="5D677E1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7 (4)</w:t>
            </w:r>
          </w:p>
        </w:tc>
        <w:tc>
          <w:tcPr>
            <w:tcW w:w="1360" w:type="dxa"/>
            <w:tcBorders>
              <w:top w:val="nil"/>
              <w:left w:val="nil"/>
              <w:bottom w:val="nil"/>
              <w:right w:val="nil"/>
            </w:tcBorders>
            <w:shd w:val="clear" w:color="auto" w:fill="auto"/>
            <w:vAlign w:val="center"/>
            <w:hideMark/>
          </w:tcPr>
          <w:p w14:paraId="665DB17D"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(5)</w:t>
            </w:r>
          </w:p>
        </w:tc>
        <w:tc>
          <w:tcPr>
            <w:tcW w:w="960" w:type="dxa"/>
            <w:tcBorders>
              <w:top w:val="nil"/>
              <w:left w:val="nil"/>
              <w:bottom w:val="nil"/>
              <w:right w:val="nil"/>
            </w:tcBorders>
            <w:shd w:val="clear" w:color="auto" w:fill="auto"/>
            <w:noWrap/>
            <w:vAlign w:val="bottom"/>
            <w:hideMark/>
          </w:tcPr>
          <w:p w14:paraId="336F06E4"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0ACBCC0F"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472DB5A8"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Pleuroparencymal</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fibroelastosis</w:t>
            </w:r>
            <w:proofErr w:type="spellEnd"/>
          </w:p>
        </w:tc>
        <w:tc>
          <w:tcPr>
            <w:tcW w:w="1840" w:type="dxa"/>
            <w:tcBorders>
              <w:top w:val="nil"/>
              <w:left w:val="nil"/>
              <w:bottom w:val="nil"/>
              <w:right w:val="nil"/>
            </w:tcBorders>
            <w:shd w:val="clear" w:color="auto" w:fill="auto"/>
            <w:noWrap/>
            <w:vAlign w:val="bottom"/>
            <w:hideMark/>
          </w:tcPr>
          <w:p w14:paraId="3F9EDA0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3 (2)</w:t>
            </w:r>
          </w:p>
        </w:tc>
        <w:tc>
          <w:tcPr>
            <w:tcW w:w="2140" w:type="dxa"/>
            <w:tcBorders>
              <w:top w:val="nil"/>
              <w:left w:val="nil"/>
              <w:bottom w:val="nil"/>
              <w:right w:val="nil"/>
            </w:tcBorders>
            <w:shd w:val="clear" w:color="auto" w:fill="auto"/>
            <w:noWrap/>
            <w:vAlign w:val="bottom"/>
            <w:hideMark/>
          </w:tcPr>
          <w:p w14:paraId="4C1E2863"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3 (2)</w:t>
            </w:r>
          </w:p>
        </w:tc>
        <w:tc>
          <w:tcPr>
            <w:tcW w:w="1360" w:type="dxa"/>
            <w:tcBorders>
              <w:top w:val="nil"/>
              <w:left w:val="nil"/>
              <w:bottom w:val="nil"/>
              <w:right w:val="nil"/>
            </w:tcBorders>
            <w:shd w:val="clear" w:color="auto" w:fill="auto"/>
            <w:noWrap/>
            <w:vAlign w:val="bottom"/>
            <w:hideMark/>
          </w:tcPr>
          <w:p w14:paraId="3C00378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w:t>
            </w:r>
          </w:p>
        </w:tc>
        <w:tc>
          <w:tcPr>
            <w:tcW w:w="960" w:type="dxa"/>
            <w:tcBorders>
              <w:top w:val="nil"/>
              <w:left w:val="nil"/>
              <w:bottom w:val="nil"/>
              <w:right w:val="nil"/>
            </w:tcBorders>
            <w:shd w:val="clear" w:color="auto" w:fill="auto"/>
            <w:noWrap/>
            <w:vAlign w:val="bottom"/>
            <w:hideMark/>
          </w:tcPr>
          <w:p w14:paraId="6F5E2C0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18D458C6"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476001E3"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Smoking-</w:t>
            </w:r>
            <w:proofErr w:type="spellStart"/>
            <w:r w:rsidRPr="006F00A4">
              <w:rPr>
                <w:rFonts w:ascii="Calibri" w:eastAsia="Times New Roman" w:hAnsi="Calibri" w:cs="Calibri"/>
                <w:color w:val="000000"/>
                <w:lang w:val="nl-NL" w:eastAsia="nl-NL"/>
              </w:rPr>
              <w:t>related</w:t>
            </w:r>
            <w:proofErr w:type="spellEnd"/>
            <w:r w:rsidRPr="006F00A4">
              <w:rPr>
                <w:rFonts w:ascii="Calibri" w:eastAsia="Times New Roman" w:hAnsi="Calibri" w:cs="Calibri"/>
                <w:color w:val="000000"/>
                <w:lang w:val="nl-NL" w:eastAsia="nl-NL"/>
              </w:rPr>
              <w:t xml:space="preserve"> ILD</w:t>
            </w:r>
          </w:p>
        </w:tc>
        <w:tc>
          <w:tcPr>
            <w:tcW w:w="1840" w:type="dxa"/>
            <w:tcBorders>
              <w:top w:val="nil"/>
              <w:left w:val="nil"/>
              <w:bottom w:val="nil"/>
              <w:right w:val="nil"/>
            </w:tcBorders>
            <w:shd w:val="clear" w:color="auto" w:fill="auto"/>
            <w:noWrap/>
            <w:vAlign w:val="bottom"/>
            <w:hideMark/>
          </w:tcPr>
          <w:p w14:paraId="4935424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 (1)</w:t>
            </w:r>
          </w:p>
        </w:tc>
        <w:tc>
          <w:tcPr>
            <w:tcW w:w="2140" w:type="dxa"/>
            <w:tcBorders>
              <w:top w:val="nil"/>
              <w:left w:val="nil"/>
              <w:bottom w:val="nil"/>
              <w:right w:val="nil"/>
            </w:tcBorders>
            <w:shd w:val="clear" w:color="auto" w:fill="auto"/>
            <w:noWrap/>
            <w:vAlign w:val="bottom"/>
            <w:hideMark/>
          </w:tcPr>
          <w:p w14:paraId="1B3C44F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 (1)</w:t>
            </w:r>
          </w:p>
        </w:tc>
        <w:tc>
          <w:tcPr>
            <w:tcW w:w="1360" w:type="dxa"/>
            <w:tcBorders>
              <w:top w:val="nil"/>
              <w:left w:val="nil"/>
              <w:bottom w:val="nil"/>
              <w:right w:val="nil"/>
            </w:tcBorders>
            <w:shd w:val="clear" w:color="auto" w:fill="auto"/>
            <w:noWrap/>
            <w:vAlign w:val="bottom"/>
            <w:hideMark/>
          </w:tcPr>
          <w:p w14:paraId="722F2AF2"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w:t>
            </w:r>
          </w:p>
        </w:tc>
        <w:tc>
          <w:tcPr>
            <w:tcW w:w="960" w:type="dxa"/>
            <w:tcBorders>
              <w:top w:val="nil"/>
              <w:left w:val="nil"/>
              <w:bottom w:val="nil"/>
              <w:right w:val="nil"/>
            </w:tcBorders>
            <w:shd w:val="clear" w:color="auto" w:fill="auto"/>
            <w:noWrap/>
            <w:vAlign w:val="bottom"/>
            <w:hideMark/>
          </w:tcPr>
          <w:p w14:paraId="168F76F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1BCFBD8F"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255E5263"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Pneumoconiosis</w:t>
            </w:r>
            <w:proofErr w:type="spellEnd"/>
          </w:p>
        </w:tc>
        <w:tc>
          <w:tcPr>
            <w:tcW w:w="1840" w:type="dxa"/>
            <w:tcBorders>
              <w:top w:val="nil"/>
              <w:left w:val="nil"/>
              <w:bottom w:val="nil"/>
              <w:right w:val="nil"/>
            </w:tcBorders>
            <w:shd w:val="clear" w:color="auto" w:fill="auto"/>
            <w:noWrap/>
            <w:vAlign w:val="bottom"/>
            <w:hideMark/>
          </w:tcPr>
          <w:p w14:paraId="2E8B6B1F"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 (1)</w:t>
            </w:r>
          </w:p>
        </w:tc>
        <w:tc>
          <w:tcPr>
            <w:tcW w:w="2140" w:type="dxa"/>
            <w:tcBorders>
              <w:top w:val="nil"/>
              <w:left w:val="nil"/>
              <w:bottom w:val="nil"/>
              <w:right w:val="nil"/>
            </w:tcBorders>
            <w:shd w:val="clear" w:color="auto" w:fill="auto"/>
            <w:noWrap/>
            <w:vAlign w:val="bottom"/>
            <w:hideMark/>
          </w:tcPr>
          <w:p w14:paraId="35993ED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(1)</w:t>
            </w:r>
          </w:p>
        </w:tc>
        <w:tc>
          <w:tcPr>
            <w:tcW w:w="1360" w:type="dxa"/>
            <w:tcBorders>
              <w:top w:val="nil"/>
              <w:left w:val="nil"/>
              <w:bottom w:val="nil"/>
              <w:right w:val="nil"/>
            </w:tcBorders>
            <w:shd w:val="clear" w:color="auto" w:fill="auto"/>
            <w:vAlign w:val="center"/>
            <w:hideMark/>
          </w:tcPr>
          <w:p w14:paraId="530D330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(5)</w:t>
            </w:r>
          </w:p>
        </w:tc>
        <w:tc>
          <w:tcPr>
            <w:tcW w:w="960" w:type="dxa"/>
            <w:tcBorders>
              <w:top w:val="nil"/>
              <w:left w:val="nil"/>
              <w:bottom w:val="nil"/>
              <w:right w:val="nil"/>
            </w:tcBorders>
            <w:shd w:val="clear" w:color="auto" w:fill="auto"/>
            <w:noWrap/>
            <w:vAlign w:val="bottom"/>
            <w:hideMark/>
          </w:tcPr>
          <w:p w14:paraId="3C6C24E2"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6976A51F"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0BA7C70F"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Reumatoid</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Interstitial</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Pneumonia</w:t>
            </w:r>
            <w:proofErr w:type="spellEnd"/>
          </w:p>
        </w:tc>
        <w:tc>
          <w:tcPr>
            <w:tcW w:w="1840" w:type="dxa"/>
            <w:tcBorders>
              <w:top w:val="nil"/>
              <w:left w:val="nil"/>
              <w:bottom w:val="nil"/>
              <w:right w:val="nil"/>
            </w:tcBorders>
            <w:shd w:val="clear" w:color="auto" w:fill="auto"/>
            <w:noWrap/>
            <w:vAlign w:val="bottom"/>
            <w:hideMark/>
          </w:tcPr>
          <w:p w14:paraId="3E8C2F17"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 (1)</w:t>
            </w:r>
          </w:p>
        </w:tc>
        <w:tc>
          <w:tcPr>
            <w:tcW w:w="2140" w:type="dxa"/>
            <w:tcBorders>
              <w:top w:val="nil"/>
              <w:left w:val="nil"/>
              <w:bottom w:val="nil"/>
              <w:right w:val="nil"/>
            </w:tcBorders>
            <w:shd w:val="clear" w:color="auto" w:fill="auto"/>
            <w:noWrap/>
            <w:vAlign w:val="bottom"/>
            <w:hideMark/>
          </w:tcPr>
          <w:p w14:paraId="22F7586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2 (1)</w:t>
            </w:r>
          </w:p>
        </w:tc>
        <w:tc>
          <w:tcPr>
            <w:tcW w:w="1360" w:type="dxa"/>
            <w:tcBorders>
              <w:top w:val="nil"/>
              <w:left w:val="nil"/>
              <w:bottom w:val="nil"/>
              <w:right w:val="nil"/>
            </w:tcBorders>
            <w:shd w:val="clear" w:color="auto" w:fill="auto"/>
            <w:noWrap/>
            <w:vAlign w:val="bottom"/>
            <w:hideMark/>
          </w:tcPr>
          <w:p w14:paraId="06063E9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w:t>
            </w:r>
          </w:p>
        </w:tc>
        <w:tc>
          <w:tcPr>
            <w:tcW w:w="960" w:type="dxa"/>
            <w:tcBorders>
              <w:top w:val="nil"/>
              <w:left w:val="nil"/>
              <w:bottom w:val="nil"/>
              <w:right w:val="nil"/>
            </w:tcBorders>
            <w:shd w:val="clear" w:color="auto" w:fill="auto"/>
            <w:noWrap/>
            <w:vAlign w:val="bottom"/>
            <w:hideMark/>
          </w:tcPr>
          <w:p w14:paraId="389C9115"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00F1D0D5" w14:textId="77777777" w:rsidTr="006F00A4">
        <w:trPr>
          <w:trHeight w:val="600"/>
        </w:trPr>
        <w:tc>
          <w:tcPr>
            <w:tcW w:w="4040" w:type="dxa"/>
            <w:tcBorders>
              <w:top w:val="nil"/>
              <w:left w:val="nil"/>
              <w:bottom w:val="nil"/>
              <w:right w:val="single" w:sz="8" w:space="0" w:color="auto"/>
            </w:tcBorders>
            <w:shd w:val="clear" w:color="auto" w:fill="auto"/>
            <w:vAlign w:val="center"/>
            <w:hideMark/>
          </w:tcPr>
          <w:p w14:paraId="07A995F1"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lastRenderedPageBreak/>
              <w:t xml:space="preserve">·  </w:t>
            </w:r>
            <w:proofErr w:type="spellStart"/>
            <w:r w:rsidRPr="006F00A4">
              <w:rPr>
                <w:rFonts w:ascii="Calibri" w:eastAsia="Times New Roman" w:hAnsi="Calibri" w:cs="Calibri"/>
                <w:color w:val="000000"/>
                <w:lang w:val="nl-NL" w:eastAsia="nl-NL"/>
              </w:rPr>
              <w:t>Unclassified</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connective</w:t>
            </w:r>
            <w:proofErr w:type="spellEnd"/>
            <w:r w:rsidRPr="006F00A4">
              <w:rPr>
                <w:rFonts w:ascii="Calibri" w:eastAsia="Times New Roman" w:hAnsi="Calibri" w:cs="Calibri"/>
                <w:color w:val="000000"/>
                <w:lang w:val="nl-NL" w:eastAsia="nl-NL"/>
              </w:rPr>
              <w:t xml:space="preserve"> tissue </w:t>
            </w:r>
            <w:proofErr w:type="spellStart"/>
            <w:r w:rsidRPr="006F00A4">
              <w:rPr>
                <w:rFonts w:ascii="Calibri" w:eastAsia="Times New Roman" w:hAnsi="Calibri" w:cs="Calibri"/>
                <w:color w:val="000000"/>
                <w:lang w:val="nl-NL" w:eastAsia="nl-NL"/>
              </w:rPr>
              <w:t>disease</w:t>
            </w:r>
            <w:proofErr w:type="spellEnd"/>
          </w:p>
        </w:tc>
        <w:tc>
          <w:tcPr>
            <w:tcW w:w="1840" w:type="dxa"/>
            <w:tcBorders>
              <w:top w:val="nil"/>
              <w:left w:val="nil"/>
              <w:bottom w:val="nil"/>
              <w:right w:val="nil"/>
            </w:tcBorders>
            <w:shd w:val="clear" w:color="auto" w:fill="auto"/>
            <w:noWrap/>
            <w:vAlign w:val="bottom"/>
            <w:hideMark/>
          </w:tcPr>
          <w:p w14:paraId="0FEA05D0"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(1)</w:t>
            </w:r>
          </w:p>
        </w:tc>
        <w:tc>
          <w:tcPr>
            <w:tcW w:w="2140" w:type="dxa"/>
            <w:tcBorders>
              <w:top w:val="nil"/>
              <w:left w:val="nil"/>
              <w:bottom w:val="nil"/>
              <w:right w:val="nil"/>
            </w:tcBorders>
            <w:shd w:val="clear" w:color="auto" w:fill="auto"/>
            <w:noWrap/>
            <w:vAlign w:val="bottom"/>
            <w:hideMark/>
          </w:tcPr>
          <w:p w14:paraId="1FEDA613"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w:t>
            </w:r>
          </w:p>
        </w:tc>
        <w:tc>
          <w:tcPr>
            <w:tcW w:w="1360" w:type="dxa"/>
            <w:tcBorders>
              <w:top w:val="nil"/>
              <w:left w:val="nil"/>
              <w:bottom w:val="nil"/>
              <w:right w:val="nil"/>
            </w:tcBorders>
            <w:shd w:val="clear" w:color="auto" w:fill="auto"/>
            <w:vAlign w:val="center"/>
            <w:hideMark/>
          </w:tcPr>
          <w:p w14:paraId="7B08F280"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(5)</w:t>
            </w:r>
          </w:p>
        </w:tc>
        <w:tc>
          <w:tcPr>
            <w:tcW w:w="960" w:type="dxa"/>
            <w:tcBorders>
              <w:top w:val="nil"/>
              <w:left w:val="nil"/>
              <w:bottom w:val="nil"/>
              <w:right w:val="nil"/>
            </w:tcBorders>
            <w:shd w:val="clear" w:color="auto" w:fill="auto"/>
            <w:noWrap/>
            <w:vAlign w:val="bottom"/>
            <w:hideMark/>
          </w:tcPr>
          <w:p w14:paraId="214C2345"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0F0BED6E"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57E528C9" w14:textId="77777777" w:rsidR="006F00A4" w:rsidRPr="006F00A4" w:rsidRDefault="006F00A4" w:rsidP="006F00A4">
            <w:pPr>
              <w:spacing w:after="0" w:line="240" w:lineRule="auto"/>
              <w:ind w:firstLineChars="100" w:firstLine="220"/>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Cryptogenic</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organising</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pneumonia</w:t>
            </w:r>
            <w:proofErr w:type="spellEnd"/>
          </w:p>
        </w:tc>
        <w:tc>
          <w:tcPr>
            <w:tcW w:w="1840" w:type="dxa"/>
            <w:tcBorders>
              <w:top w:val="nil"/>
              <w:left w:val="nil"/>
              <w:bottom w:val="nil"/>
              <w:right w:val="nil"/>
            </w:tcBorders>
            <w:shd w:val="clear" w:color="auto" w:fill="auto"/>
            <w:noWrap/>
            <w:vAlign w:val="bottom"/>
            <w:hideMark/>
          </w:tcPr>
          <w:p w14:paraId="0D5A83B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(1)</w:t>
            </w:r>
          </w:p>
        </w:tc>
        <w:tc>
          <w:tcPr>
            <w:tcW w:w="2140" w:type="dxa"/>
            <w:tcBorders>
              <w:top w:val="nil"/>
              <w:left w:val="nil"/>
              <w:bottom w:val="nil"/>
              <w:right w:val="nil"/>
            </w:tcBorders>
            <w:shd w:val="clear" w:color="auto" w:fill="auto"/>
            <w:noWrap/>
            <w:vAlign w:val="bottom"/>
            <w:hideMark/>
          </w:tcPr>
          <w:p w14:paraId="647B9024"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w:t>
            </w:r>
          </w:p>
        </w:tc>
        <w:tc>
          <w:tcPr>
            <w:tcW w:w="1360" w:type="dxa"/>
            <w:tcBorders>
              <w:top w:val="nil"/>
              <w:left w:val="nil"/>
              <w:bottom w:val="nil"/>
              <w:right w:val="nil"/>
            </w:tcBorders>
            <w:shd w:val="clear" w:color="auto" w:fill="auto"/>
            <w:vAlign w:val="center"/>
            <w:hideMark/>
          </w:tcPr>
          <w:p w14:paraId="7355A9A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 (5)</w:t>
            </w:r>
          </w:p>
        </w:tc>
        <w:tc>
          <w:tcPr>
            <w:tcW w:w="960" w:type="dxa"/>
            <w:tcBorders>
              <w:top w:val="nil"/>
              <w:left w:val="nil"/>
              <w:bottom w:val="nil"/>
              <w:right w:val="nil"/>
            </w:tcBorders>
            <w:shd w:val="clear" w:color="auto" w:fill="auto"/>
            <w:noWrap/>
            <w:vAlign w:val="bottom"/>
            <w:hideMark/>
          </w:tcPr>
          <w:p w14:paraId="385AD0E0"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40C42432" w14:textId="77777777" w:rsidTr="006F00A4">
        <w:trPr>
          <w:trHeight w:val="345"/>
        </w:trPr>
        <w:tc>
          <w:tcPr>
            <w:tcW w:w="4040" w:type="dxa"/>
            <w:tcBorders>
              <w:top w:val="nil"/>
              <w:left w:val="nil"/>
              <w:bottom w:val="nil"/>
              <w:right w:val="single" w:sz="8" w:space="0" w:color="auto"/>
            </w:tcBorders>
            <w:shd w:val="clear" w:color="auto" w:fill="auto"/>
            <w:noWrap/>
            <w:vAlign w:val="center"/>
            <w:hideMark/>
          </w:tcPr>
          <w:p w14:paraId="57A05672"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Mutant </w:t>
            </w:r>
            <w:proofErr w:type="spellStart"/>
            <w:r w:rsidRPr="006F00A4">
              <w:rPr>
                <w:rFonts w:ascii="Calibri" w:eastAsia="Times New Roman" w:hAnsi="Calibri" w:cs="Calibri"/>
                <w:color w:val="000000"/>
                <w:lang w:val="nl-NL" w:eastAsia="nl-NL"/>
              </w:rPr>
              <w:t>TRG</w:t>
            </w:r>
            <w:r w:rsidRPr="006F00A4">
              <w:rPr>
                <w:rFonts w:ascii="Calibri" w:eastAsia="Times New Roman" w:hAnsi="Calibri" w:cs="Calibri"/>
                <w:color w:val="000000"/>
                <w:vertAlign w:val="superscript"/>
                <w:lang w:val="nl-NL" w:eastAsia="nl-NL"/>
              </w:rPr>
              <w:t>ǂ</w:t>
            </w:r>
            <w:proofErr w:type="spellEnd"/>
          </w:p>
        </w:tc>
        <w:tc>
          <w:tcPr>
            <w:tcW w:w="1840" w:type="dxa"/>
            <w:tcBorders>
              <w:top w:val="nil"/>
              <w:left w:val="nil"/>
              <w:bottom w:val="nil"/>
              <w:right w:val="nil"/>
            </w:tcBorders>
            <w:shd w:val="clear" w:color="auto" w:fill="auto"/>
            <w:noWrap/>
            <w:vAlign w:val="bottom"/>
            <w:hideMark/>
          </w:tcPr>
          <w:p w14:paraId="3D214A2D" w14:textId="77777777" w:rsidR="006F00A4" w:rsidRPr="006F00A4" w:rsidRDefault="006F00A4" w:rsidP="006F00A4">
            <w:pPr>
              <w:spacing w:after="0" w:line="240" w:lineRule="auto"/>
              <w:rPr>
                <w:rFonts w:ascii="Calibri" w:eastAsia="Times New Roman" w:hAnsi="Calibri" w:cs="Calibri"/>
                <w:color w:val="000000"/>
                <w:lang w:val="nl-NL" w:eastAsia="nl-NL"/>
              </w:rPr>
            </w:pPr>
          </w:p>
        </w:tc>
        <w:tc>
          <w:tcPr>
            <w:tcW w:w="2140" w:type="dxa"/>
            <w:tcBorders>
              <w:top w:val="nil"/>
              <w:left w:val="nil"/>
              <w:bottom w:val="nil"/>
              <w:right w:val="nil"/>
            </w:tcBorders>
            <w:shd w:val="clear" w:color="auto" w:fill="auto"/>
            <w:vAlign w:val="center"/>
            <w:hideMark/>
          </w:tcPr>
          <w:p w14:paraId="4127765E"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1360" w:type="dxa"/>
            <w:tcBorders>
              <w:top w:val="nil"/>
              <w:left w:val="nil"/>
              <w:bottom w:val="nil"/>
              <w:right w:val="nil"/>
            </w:tcBorders>
            <w:shd w:val="clear" w:color="auto" w:fill="auto"/>
            <w:vAlign w:val="center"/>
            <w:hideMark/>
          </w:tcPr>
          <w:p w14:paraId="21F4BBB5"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960" w:type="dxa"/>
            <w:tcBorders>
              <w:top w:val="nil"/>
              <w:left w:val="nil"/>
              <w:bottom w:val="nil"/>
              <w:right w:val="nil"/>
            </w:tcBorders>
            <w:shd w:val="clear" w:color="auto" w:fill="auto"/>
            <w:vAlign w:val="center"/>
            <w:hideMark/>
          </w:tcPr>
          <w:p w14:paraId="44D1D423"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0.92</w:t>
            </w:r>
          </w:p>
        </w:tc>
      </w:tr>
      <w:tr w:rsidR="006F00A4" w:rsidRPr="006F00A4" w14:paraId="3AC495A6"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3FAD7811" w14:textId="77777777" w:rsidR="006F00A4" w:rsidRPr="006F00A4" w:rsidRDefault="006F00A4" w:rsidP="006F00A4">
            <w:pPr>
              <w:spacing w:after="0" w:line="240" w:lineRule="auto"/>
              <w:ind w:firstLineChars="100" w:firstLine="220"/>
              <w:rPr>
                <w:rFonts w:ascii="Symbol" w:eastAsia="Times New Roman" w:hAnsi="Symbol" w:cs="Arial"/>
                <w:color w:val="000000"/>
                <w:lang w:val="nl-NL" w:eastAsia="nl-NL"/>
              </w:rPr>
            </w:pPr>
            <w:r w:rsidRPr="006F00A4">
              <w:rPr>
                <w:rFonts w:ascii="Symbol" w:eastAsia="Times New Roman" w:hAnsi="Symbol" w:cs="Arial"/>
                <w:color w:val="000000"/>
                <w:lang w:val="nl-NL" w:eastAsia="nl-NL"/>
              </w:rPr>
              <w:t></w:t>
            </w:r>
            <w:r w:rsidRPr="006F00A4">
              <w:rPr>
                <w:rFonts w:ascii="Symbol" w:eastAsia="Times New Roman" w:hAnsi="Symbol" w:cs="Arial"/>
                <w:color w:val="000000"/>
                <w:lang w:val="nl-NL" w:eastAsia="nl-NL"/>
              </w:rPr>
              <w:t></w:t>
            </w:r>
            <w:r w:rsidRPr="006F00A4">
              <w:rPr>
                <w:rFonts w:ascii="Calibri" w:eastAsia="Times New Roman" w:hAnsi="Calibri" w:cs="Calibri"/>
                <w:color w:val="000000"/>
                <w:lang w:val="nl-NL" w:eastAsia="nl-NL"/>
              </w:rPr>
              <w:t>TERT</w:t>
            </w:r>
          </w:p>
        </w:tc>
        <w:tc>
          <w:tcPr>
            <w:tcW w:w="1840" w:type="dxa"/>
            <w:tcBorders>
              <w:top w:val="nil"/>
              <w:left w:val="nil"/>
              <w:bottom w:val="nil"/>
              <w:right w:val="nil"/>
            </w:tcBorders>
            <w:shd w:val="clear" w:color="auto" w:fill="auto"/>
            <w:vAlign w:val="center"/>
            <w:hideMark/>
          </w:tcPr>
          <w:p w14:paraId="7CE3FF3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96 (54)</w:t>
            </w:r>
          </w:p>
        </w:tc>
        <w:tc>
          <w:tcPr>
            <w:tcW w:w="2140" w:type="dxa"/>
            <w:tcBorders>
              <w:top w:val="nil"/>
              <w:left w:val="nil"/>
              <w:bottom w:val="nil"/>
              <w:right w:val="nil"/>
            </w:tcBorders>
            <w:shd w:val="clear" w:color="auto" w:fill="auto"/>
            <w:vAlign w:val="center"/>
            <w:hideMark/>
          </w:tcPr>
          <w:p w14:paraId="51C2AF0E"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85 (54)</w:t>
            </w:r>
          </w:p>
        </w:tc>
        <w:tc>
          <w:tcPr>
            <w:tcW w:w="1360" w:type="dxa"/>
            <w:tcBorders>
              <w:top w:val="nil"/>
              <w:left w:val="nil"/>
              <w:bottom w:val="nil"/>
              <w:right w:val="nil"/>
            </w:tcBorders>
            <w:shd w:val="clear" w:color="auto" w:fill="auto"/>
            <w:vAlign w:val="center"/>
            <w:hideMark/>
          </w:tcPr>
          <w:p w14:paraId="34C2906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11 (52)</w:t>
            </w:r>
          </w:p>
        </w:tc>
        <w:tc>
          <w:tcPr>
            <w:tcW w:w="960" w:type="dxa"/>
            <w:tcBorders>
              <w:top w:val="nil"/>
              <w:left w:val="nil"/>
              <w:bottom w:val="nil"/>
              <w:right w:val="nil"/>
            </w:tcBorders>
            <w:shd w:val="clear" w:color="auto" w:fill="auto"/>
            <w:vAlign w:val="center"/>
            <w:hideMark/>
          </w:tcPr>
          <w:p w14:paraId="272B14A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56061A78" w14:textId="77777777" w:rsidTr="006F00A4">
        <w:trPr>
          <w:trHeight w:val="600"/>
        </w:trPr>
        <w:tc>
          <w:tcPr>
            <w:tcW w:w="4040" w:type="dxa"/>
            <w:tcBorders>
              <w:top w:val="nil"/>
              <w:left w:val="nil"/>
              <w:bottom w:val="nil"/>
              <w:right w:val="single" w:sz="8" w:space="0" w:color="auto"/>
            </w:tcBorders>
            <w:shd w:val="clear" w:color="auto" w:fill="auto"/>
            <w:vAlign w:val="center"/>
            <w:hideMark/>
          </w:tcPr>
          <w:p w14:paraId="22ADDD9E" w14:textId="77777777" w:rsidR="006F00A4" w:rsidRPr="006F00A4" w:rsidRDefault="006F00A4" w:rsidP="006F00A4">
            <w:pPr>
              <w:spacing w:after="0" w:line="240" w:lineRule="auto"/>
              <w:rPr>
                <w:rFonts w:ascii="Symbol" w:eastAsia="Times New Roman" w:hAnsi="Symbol" w:cs="Arial"/>
                <w:color w:val="000000"/>
                <w:lang w:val="nl-NL" w:eastAsia="nl-NL"/>
              </w:rPr>
            </w:pPr>
            <w:r w:rsidRPr="006F00A4">
              <w:rPr>
                <w:rFonts w:ascii="Symbol" w:eastAsia="Times New Roman" w:hAnsi="Symbol" w:cs="Arial"/>
                <w:color w:val="000000"/>
                <w:lang w:val="nl-NL" w:eastAsia="nl-NL"/>
              </w:rPr>
              <w:t></w:t>
            </w:r>
            <w:r w:rsidRPr="006F00A4">
              <w:rPr>
                <w:rFonts w:ascii="Symbol" w:eastAsia="Times New Roman" w:hAnsi="Symbol" w:cs="Arial"/>
                <w:color w:val="000000"/>
                <w:lang w:val="nl-NL" w:eastAsia="nl-NL"/>
              </w:rPr>
              <w:t></w:t>
            </w:r>
            <w:proofErr w:type="spellStart"/>
            <w:r w:rsidRPr="006F00A4">
              <w:rPr>
                <w:rFonts w:ascii="Calibri" w:eastAsia="Times New Roman" w:hAnsi="Calibri" w:cs="Calibri"/>
                <w:color w:val="000000"/>
                <w:lang w:val="nl-NL" w:eastAsia="nl-NL"/>
              </w:rPr>
              <w:t>Other</w:t>
            </w:r>
            <w:proofErr w:type="spellEnd"/>
            <w:r w:rsidRPr="006F00A4">
              <w:rPr>
                <w:rFonts w:ascii="Calibri" w:eastAsia="Times New Roman" w:hAnsi="Calibri" w:cs="Calibri"/>
                <w:color w:val="000000"/>
                <w:lang w:val="nl-NL" w:eastAsia="nl-NL"/>
              </w:rPr>
              <w:t xml:space="preserve"> (RTEL1, PARN, ZCCHC8, POT1, ACD, TERC)</w:t>
            </w:r>
          </w:p>
        </w:tc>
        <w:tc>
          <w:tcPr>
            <w:tcW w:w="1840" w:type="dxa"/>
            <w:tcBorders>
              <w:top w:val="nil"/>
              <w:left w:val="nil"/>
              <w:bottom w:val="nil"/>
              <w:right w:val="nil"/>
            </w:tcBorders>
            <w:shd w:val="clear" w:color="auto" w:fill="auto"/>
            <w:vAlign w:val="center"/>
            <w:hideMark/>
          </w:tcPr>
          <w:p w14:paraId="031BC7D9"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83 (46)</w:t>
            </w:r>
          </w:p>
        </w:tc>
        <w:tc>
          <w:tcPr>
            <w:tcW w:w="2140" w:type="dxa"/>
            <w:tcBorders>
              <w:top w:val="nil"/>
              <w:left w:val="nil"/>
              <w:bottom w:val="nil"/>
              <w:right w:val="nil"/>
            </w:tcBorders>
            <w:shd w:val="clear" w:color="auto" w:fill="auto"/>
            <w:vAlign w:val="center"/>
            <w:hideMark/>
          </w:tcPr>
          <w:p w14:paraId="5BCE945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73 (46)</w:t>
            </w:r>
          </w:p>
        </w:tc>
        <w:tc>
          <w:tcPr>
            <w:tcW w:w="1360" w:type="dxa"/>
            <w:tcBorders>
              <w:top w:val="nil"/>
              <w:left w:val="nil"/>
              <w:bottom w:val="nil"/>
              <w:right w:val="nil"/>
            </w:tcBorders>
            <w:shd w:val="clear" w:color="auto" w:fill="auto"/>
            <w:vAlign w:val="center"/>
            <w:hideMark/>
          </w:tcPr>
          <w:p w14:paraId="1F1CC205"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10 (48)</w:t>
            </w:r>
          </w:p>
        </w:tc>
        <w:tc>
          <w:tcPr>
            <w:tcW w:w="960" w:type="dxa"/>
            <w:tcBorders>
              <w:top w:val="nil"/>
              <w:left w:val="nil"/>
              <w:bottom w:val="nil"/>
              <w:right w:val="nil"/>
            </w:tcBorders>
            <w:shd w:val="clear" w:color="auto" w:fill="auto"/>
            <w:vAlign w:val="center"/>
            <w:hideMark/>
          </w:tcPr>
          <w:p w14:paraId="2D4BF51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14897374" w14:textId="77777777" w:rsidTr="006F00A4">
        <w:trPr>
          <w:trHeight w:val="345"/>
        </w:trPr>
        <w:tc>
          <w:tcPr>
            <w:tcW w:w="4040" w:type="dxa"/>
            <w:tcBorders>
              <w:top w:val="nil"/>
              <w:left w:val="nil"/>
              <w:bottom w:val="nil"/>
              <w:right w:val="single" w:sz="8" w:space="0" w:color="auto"/>
            </w:tcBorders>
            <w:shd w:val="clear" w:color="auto" w:fill="auto"/>
            <w:vAlign w:val="center"/>
            <w:hideMark/>
          </w:tcPr>
          <w:p w14:paraId="43324064"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ACMG </w:t>
            </w:r>
            <w:proofErr w:type="spellStart"/>
            <w:r w:rsidRPr="006F00A4">
              <w:rPr>
                <w:rFonts w:ascii="Calibri" w:eastAsia="Times New Roman" w:hAnsi="Calibri" w:cs="Calibri"/>
                <w:color w:val="000000"/>
                <w:lang w:val="nl-NL" w:eastAsia="nl-NL"/>
              </w:rPr>
              <w:t>classification</w:t>
            </w:r>
            <w:r w:rsidRPr="006F00A4">
              <w:rPr>
                <w:rFonts w:ascii="Calibri" w:eastAsia="Times New Roman" w:hAnsi="Calibri" w:cs="Calibri"/>
                <w:color w:val="000000"/>
                <w:vertAlign w:val="superscript"/>
                <w:lang w:val="nl-NL" w:eastAsia="nl-NL"/>
              </w:rPr>
              <w:t>ǂ</w:t>
            </w:r>
            <w:proofErr w:type="spellEnd"/>
          </w:p>
        </w:tc>
        <w:tc>
          <w:tcPr>
            <w:tcW w:w="1840" w:type="dxa"/>
            <w:tcBorders>
              <w:top w:val="nil"/>
              <w:left w:val="nil"/>
              <w:bottom w:val="nil"/>
              <w:right w:val="nil"/>
            </w:tcBorders>
            <w:shd w:val="clear" w:color="auto" w:fill="auto"/>
            <w:vAlign w:val="center"/>
            <w:hideMark/>
          </w:tcPr>
          <w:p w14:paraId="79DD0B26" w14:textId="77777777" w:rsidR="006F00A4" w:rsidRPr="006F00A4" w:rsidRDefault="006F00A4" w:rsidP="006F00A4">
            <w:pPr>
              <w:spacing w:after="0" w:line="240" w:lineRule="auto"/>
              <w:rPr>
                <w:rFonts w:ascii="Calibri" w:eastAsia="Times New Roman" w:hAnsi="Calibri" w:cs="Calibri"/>
                <w:color w:val="000000"/>
                <w:lang w:val="nl-NL" w:eastAsia="nl-NL"/>
              </w:rPr>
            </w:pPr>
          </w:p>
        </w:tc>
        <w:tc>
          <w:tcPr>
            <w:tcW w:w="2140" w:type="dxa"/>
            <w:tcBorders>
              <w:top w:val="nil"/>
              <w:left w:val="nil"/>
              <w:bottom w:val="nil"/>
              <w:right w:val="nil"/>
            </w:tcBorders>
            <w:shd w:val="clear" w:color="auto" w:fill="auto"/>
            <w:vAlign w:val="center"/>
            <w:hideMark/>
          </w:tcPr>
          <w:p w14:paraId="3001B44E"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1360" w:type="dxa"/>
            <w:tcBorders>
              <w:top w:val="nil"/>
              <w:left w:val="nil"/>
              <w:bottom w:val="nil"/>
              <w:right w:val="nil"/>
            </w:tcBorders>
            <w:shd w:val="clear" w:color="auto" w:fill="auto"/>
            <w:vAlign w:val="center"/>
            <w:hideMark/>
          </w:tcPr>
          <w:p w14:paraId="4C6EE5C8"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960" w:type="dxa"/>
            <w:tcBorders>
              <w:top w:val="nil"/>
              <w:left w:val="nil"/>
              <w:bottom w:val="nil"/>
              <w:right w:val="nil"/>
            </w:tcBorders>
            <w:shd w:val="clear" w:color="auto" w:fill="auto"/>
            <w:vAlign w:val="center"/>
            <w:hideMark/>
          </w:tcPr>
          <w:p w14:paraId="5572148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0.81</w:t>
            </w:r>
          </w:p>
        </w:tc>
      </w:tr>
      <w:tr w:rsidR="006F00A4" w:rsidRPr="006F00A4" w14:paraId="34114D92"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781EF3C4" w14:textId="77777777" w:rsidR="006F00A4" w:rsidRPr="006F00A4" w:rsidRDefault="006F00A4" w:rsidP="006F00A4">
            <w:pPr>
              <w:spacing w:after="0" w:line="240" w:lineRule="auto"/>
              <w:ind w:firstLineChars="100" w:firstLine="220"/>
              <w:rPr>
                <w:rFonts w:ascii="Symbol" w:eastAsia="Times New Roman" w:hAnsi="Symbol" w:cs="Arial"/>
                <w:color w:val="000000"/>
                <w:lang w:val="nl-NL" w:eastAsia="nl-NL"/>
              </w:rPr>
            </w:pPr>
            <w:r w:rsidRPr="006F00A4">
              <w:rPr>
                <w:rFonts w:ascii="Symbol" w:eastAsia="Times New Roman" w:hAnsi="Symbol" w:cs="Arial"/>
                <w:color w:val="000000"/>
                <w:lang w:val="nl-NL" w:eastAsia="nl-NL"/>
              </w:rPr>
              <w:t></w:t>
            </w:r>
            <w:r w:rsidRPr="006F00A4">
              <w:rPr>
                <w:rFonts w:ascii="Symbol" w:eastAsia="Times New Roman" w:hAnsi="Symbol" w:cs="Arial"/>
                <w:color w:val="000000"/>
                <w:lang w:val="nl-NL" w:eastAsia="nl-NL"/>
              </w:rPr>
              <w:t></w:t>
            </w:r>
            <w:proofErr w:type="spellStart"/>
            <w:r w:rsidRPr="006F00A4">
              <w:rPr>
                <w:rFonts w:ascii="Calibri" w:eastAsia="Times New Roman" w:hAnsi="Calibri" w:cs="Calibri"/>
                <w:color w:val="000000"/>
                <w:lang w:val="nl-NL" w:eastAsia="nl-NL"/>
              </w:rPr>
              <w:t>Pathogenic</w:t>
            </w:r>
            <w:proofErr w:type="spellEnd"/>
            <w:r w:rsidRPr="006F00A4">
              <w:rPr>
                <w:rFonts w:ascii="Calibri" w:eastAsia="Times New Roman" w:hAnsi="Calibri" w:cs="Calibri"/>
                <w:color w:val="000000"/>
                <w:lang w:val="nl-NL" w:eastAsia="nl-NL"/>
              </w:rPr>
              <w:t xml:space="preserve"> or </w:t>
            </w:r>
            <w:proofErr w:type="spellStart"/>
            <w:r w:rsidRPr="006F00A4">
              <w:rPr>
                <w:rFonts w:ascii="Calibri" w:eastAsia="Times New Roman" w:hAnsi="Calibri" w:cs="Calibri"/>
                <w:color w:val="000000"/>
                <w:lang w:val="nl-NL" w:eastAsia="nl-NL"/>
              </w:rPr>
              <w:t>likely</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pathogenic</w:t>
            </w:r>
            <w:proofErr w:type="spellEnd"/>
          </w:p>
        </w:tc>
        <w:tc>
          <w:tcPr>
            <w:tcW w:w="1840" w:type="dxa"/>
            <w:tcBorders>
              <w:top w:val="nil"/>
              <w:left w:val="nil"/>
              <w:bottom w:val="nil"/>
              <w:right w:val="nil"/>
            </w:tcBorders>
            <w:shd w:val="clear" w:color="auto" w:fill="auto"/>
            <w:vAlign w:val="center"/>
            <w:hideMark/>
          </w:tcPr>
          <w:p w14:paraId="567AA31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116 (63)</w:t>
            </w:r>
          </w:p>
        </w:tc>
        <w:tc>
          <w:tcPr>
            <w:tcW w:w="2140" w:type="dxa"/>
            <w:tcBorders>
              <w:top w:val="nil"/>
              <w:left w:val="nil"/>
              <w:bottom w:val="nil"/>
              <w:right w:val="nil"/>
            </w:tcBorders>
            <w:shd w:val="clear" w:color="auto" w:fill="auto"/>
            <w:vAlign w:val="center"/>
            <w:hideMark/>
          </w:tcPr>
          <w:p w14:paraId="39D03B3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102 (62)</w:t>
            </w:r>
          </w:p>
        </w:tc>
        <w:tc>
          <w:tcPr>
            <w:tcW w:w="1360" w:type="dxa"/>
            <w:tcBorders>
              <w:top w:val="nil"/>
              <w:left w:val="nil"/>
              <w:bottom w:val="nil"/>
              <w:right w:val="nil"/>
            </w:tcBorders>
            <w:shd w:val="clear" w:color="auto" w:fill="auto"/>
            <w:vAlign w:val="center"/>
            <w:hideMark/>
          </w:tcPr>
          <w:p w14:paraId="047CA937"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14 (67)</w:t>
            </w:r>
          </w:p>
        </w:tc>
        <w:tc>
          <w:tcPr>
            <w:tcW w:w="960" w:type="dxa"/>
            <w:tcBorders>
              <w:top w:val="nil"/>
              <w:left w:val="nil"/>
              <w:bottom w:val="nil"/>
              <w:right w:val="nil"/>
            </w:tcBorders>
            <w:shd w:val="clear" w:color="auto" w:fill="auto"/>
            <w:vAlign w:val="center"/>
            <w:hideMark/>
          </w:tcPr>
          <w:p w14:paraId="3D745C9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4DAEC3B3"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16D9BAC6" w14:textId="77777777" w:rsidR="006F00A4" w:rsidRPr="006F00A4" w:rsidRDefault="006F00A4" w:rsidP="006F00A4">
            <w:pPr>
              <w:spacing w:after="0" w:line="240" w:lineRule="auto"/>
              <w:ind w:firstLineChars="100" w:firstLine="220"/>
              <w:rPr>
                <w:rFonts w:ascii="Symbol" w:eastAsia="Times New Roman" w:hAnsi="Symbol" w:cs="Arial"/>
                <w:color w:val="000000"/>
                <w:lang w:val="nl-NL" w:eastAsia="nl-NL"/>
              </w:rPr>
            </w:pPr>
            <w:r w:rsidRPr="006F00A4">
              <w:rPr>
                <w:rFonts w:ascii="Symbol" w:eastAsia="Times New Roman" w:hAnsi="Symbol" w:cs="Arial"/>
                <w:color w:val="000000"/>
                <w:lang w:val="nl-NL" w:eastAsia="nl-NL"/>
              </w:rPr>
              <w:t></w:t>
            </w:r>
            <w:r w:rsidRPr="006F00A4">
              <w:rPr>
                <w:rFonts w:ascii="Symbol" w:eastAsia="Times New Roman" w:hAnsi="Symbol" w:cs="Arial"/>
                <w:color w:val="000000"/>
                <w:lang w:val="nl-NL" w:eastAsia="nl-NL"/>
              </w:rPr>
              <w:t></w:t>
            </w:r>
            <w:r w:rsidRPr="006F00A4">
              <w:rPr>
                <w:rFonts w:ascii="Calibri" w:eastAsia="Times New Roman" w:hAnsi="Calibri" w:cs="Calibri"/>
                <w:color w:val="000000"/>
                <w:lang w:val="nl-NL" w:eastAsia="nl-NL"/>
              </w:rPr>
              <w:t xml:space="preserve">Variant of </w:t>
            </w:r>
            <w:proofErr w:type="spellStart"/>
            <w:r w:rsidRPr="006F00A4">
              <w:rPr>
                <w:rFonts w:ascii="Calibri" w:eastAsia="Times New Roman" w:hAnsi="Calibri" w:cs="Calibri"/>
                <w:color w:val="000000"/>
                <w:lang w:val="nl-NL" w:eastAsia="nl-NL"/>
              </w:rPr>
              <w:t>unknown</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significance</w:t>
            </w:r>
            <w:proofErr w:type="spellEnd"/>
          </w:p>
        </w:tc>
        <w:tc>
          <w:tcPr>
            <w:tcW w:w="1840" w:type="dxa"/>
            <w:tcBorders>
              <w:top w:val="nil"/>
              <w:left w:val="nil"/>
              <w:bottom w:val="nil"/>
              <w:right w:val="nil"/>
            </w:tcBorders>
            <w:shd w:val="clear" w:color="auto" w:fill="auto"/>
            <w:vAlign w:val="center"/>
            <w:hideMark/>
          </w:tcPr>
          <w:p w14:paraId="39DF0483"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63 (38)</w:t>
            </w:r>
          </w:p>
        </w:tc>
        <w:tc>
          <w:tcPr>
            <w:tcW w:w="2140" w:type="dxa"/>
            <w:tcBorders>
              <w:top w:val="nil"/>
              <w:left w:val="nil"/>
              <w:bottom w:val="nil"/>
              <w:right w:val="nil"/>
            </w:tcBorders>
            <w:shd w:val="clear" w:color="auto" w:fill="auto"/>
            <w:vAlign w:val="center"/>
            <w:hideMark/>
          </w:tcPr>
          <w:p w14:paraId="3BBCF37A"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56 (38)</w:t>
            </w:r>
            <w:r w:rsidRPr="006F00A4">
              <w:rPr>
                <w:rFonts w:ascii="Calibri" w:eastAsia="Times New Roman" w:hAnsi="Calibri" w:cs="Calibri"/>
                <w:color w:val="000000"/>
                <w:sz w:val="16"/>
                <w:szCs w:val="16"/>
                <w:lang w:val="nl-NL" w:eastAsia="nl-NL"/>
              </w:rPr>
              <w:t> </w:t>
            </w:r>
          </w:p>
        </w:tc>
        <w:tc>
          <w:tcPr>
            <w:tcW w:w="1360" w:type="dxa"/>
            <w:tcBorders>
              <w:top w:val="nil"/>
              <w:left w:val="nil"/>
              <w:bottom w:val="nil"/>
              <w:right w:val="nil"/>
            </w:tcBorders>
            <w:shd w:val="clear" w:color="auto" w:fill="auto"/>
            <w:vAlign w:val="center"/>
            <w:hideMark/>
          </w:tcPr>
          <w:p w14:paraId="5AD559A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7 (33)</w:t>
            </w:r>
          </w:p>
        </w:tc>
        <w:tc>
          <w:tcPr>
            <w:tcW w:w="960" w:type="dxa"/>
            <w:tcBorders>
              <w:top w:val="nil"/>
              <w:left w:val="nil"/>
              <w:bottom w:val="nil"/>
              <w:right w:val="nil"/>
            </w:tcBorders>
            <w:shd w:val="clear" w:color="auto" w:fill="auto"/>
            <w:vAlign w:val="center"/>
            <w:hideMark/>
          </w:tcPr>
          <w:p w14:paraId="45DD165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p>
        </w:tc>
      </w:tr>
      <w:tr w:rsidR="006F00A4" w:rsidRPr="006F00A4" w14:paraId="721FAF0E" w14:textId="77777777" w:rsidTr="006F00A4">
        <w:trPr>
          <w:trHeight w:val="345"/>
        </w:trPr>
        <w:tc>
          <w:tcPr>
            <w:tcW w:w="4040" w:type="dxa"/>
            <w:tcBorders>
              <w:top w:val="nil"/>
              <w:left w:val="nil"/>
              <w:bottom w:val="nil"/>
              <w:right w:val="single" w:sz="8" w:space="0" w:color="auto"/>
            </w:tcBorders>
            <w:shd w:val="clear" w:color="auto" w:fill="auto"/>
            <w:vAlign w:val="center"/>
            <w:hideMark/>
          </w:tcPr>
          <w:p w14:paraId="4496776E" w14:textId="77777777" w:rsidR="006F00A4" w:rsidRPr="006F00A4" w:rsidRDefault="006F00A4" w:rsidP="006F00A4">
            <w:pPr>
              <w:spacing w:after="0" w:line="240" w:lineRule="auto"/>
              <w:rPr>
                <w:rFonts w:ascii="Calibri" w:eastAsia="Times New Roman" w:hAnsi="Calibri" w:cs="Calibri"/>
                <w:color w:val="000000"/>
                <w:lang w:val="nl-NL" w:eastAsia="nl-NL"/>
              </w:rPr>
            </w:pPr>
            <w:proofErr w:type="spellStart"/>
            <w:r w:rsidRPr="006F00A4">
              <w:rPr>
                <w:rFonts w:ascii="Calibri" w:eastAsia="Times New Roman" w:hAnsi="Calibri" w:cs="Calibri"/>
                <w:color w:val="000000"/>
                <w:lang w:val="nl-NL" w:eastAsia="nl-NL"/>
              </w:rPr>
              <w:t>Telomere</w:t>
            </w:r>
            <w:proofErr w:type="spellEnd"/>
            <w:r w:rsidRPr="006F00A4">
              <w:rPr>
                <w:rFonts w:ascii="Calibri" w:eastAsia="Times New Roman" w:hAnsi="Calibri" w:cs="Calibri"/>
                <w:color w:val="000000"/>
                <w:lang w:val="nl-NL" w:eastAsia="nl-NL"/>
              </w:rPr>
              <w:t xml:space="preserve"> </w:t>
            </w:r>
            <w:proofErr w:type="spellStart"/>
            <w:r w:rsidRPr="006F00A4">
              <w:rPr>
                <w:rFonts w:ascii="Calibri" w:eastAsia="Times New Roman" w:hAnsi="Calibri" w:cs="Calibri"/>
                <w:color w:val="000000"/>
                <w:lang w:val="nl-NL" w:eastAsia="nl-NL"/>
              </w:rPr>
              <w:t>length</w:t>
            </w:r>
            <w:proofErr w:type="spellEnd"/>
            <w:r w:rsidRPr="006F00A4">
              <w:rPr>
                <w:rFonts w:ascii="Calibri" w:eastAsia="Times New Roman" w:hAnsi="Calibri" w:cs="Calibri"/>
                <w:color w:val="000000"/>
                <w:vertAlign w:val="superscript"/>
                <w:lang w:val="nl-NL" w:eastAsia="nl-NL"/>
              </w:rPr>
              <w:t>$</w:t>
            </w:r>
          </w:p>
        </w:tc>
        <w:tc>
          <w:tcPr>
            <w:tcW w:w="1840" w:type="dxa"/>
            <w:tcBorders>
              <w:top w:val="nil"/>
              <w:left w:val="nil"/>
              <w:bottom w:val="nil"/>
              <w:right w:val="nil"/>
            </w:tcBorders>
            <w:shd w:val="clear" w:color="auto" w:fill="auto"/>
            <w:vAlign w:val="center"/>
            <w:hideMark/>
          </w:tcPr>
          <w:p w14:paraId="5B7082C9" w14:textId="77777777" w:rsidR="006F00A4" w:rsidRPr="006F00A4" w:rsidRDefault="006F00A4" w:rsidP="006F00A4">
            <w:pPr>
              <w:spacing w:after="0" w:line="240" w:lineRule="auto"/>
              <w:rPr>
                <w:rFonts w:ascii="Calibri" w:eastAsia="Times New Roman" w:hAnsi="Calibri" w:cs="Calibri"/>
                <w:color w:val="000000"/>
                <w:lang w:val="nl-NL" w:eastAsia="nl-NL"/>
              </w:rPr>
            </w:pPr>
          </w:p>
        </w:tc>
        <w:tc>
          <w:tcPr>
            <w:tcW w:w="2140" w:type="dxa"/>
            <w:tcBorders>
              <w:top w:val="nil"/>
              <w:left w:val="nil"/>
              <w:bottom w:val="nil"/>
              <w:right w:val="nil"/>
            </w:tcBorders>
            <w:shd w:val="clear" w:color="auto" w:fill="auto"/>
            <w:vAlign w:val="center"/>
            <w:hideMark/>
          </w:tcPr>
          <w:p w14:paraId="06565255"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1360" w:type="dxa"/>
            <w:tcBorders>
              <w:top w:val="nil"/>
              <w:left w:val="nil"/>
              <w:bottom w:val="nil"/>
              <w:right w:val="nil"/>
            </w:tcBorders>
            <w:shd w:val="clear" w:color="auto" w:fill="auto"/>
            <w:vAlign w:val="center"/>
            <w:hideMark/>
          </w:tcPr>
          <w:p w14:paraId="38A13D47"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c>
          <w:tcPr>
            <w:tcW w:w="960" w:type="dxa"/>
            <w:tcBorders>
              <w:top w:val="nil"/>
              <w:left w:val="nil"/>
              <w:bottom w:val="nil"/>
              <w:right w:val="nil"/>
            </w:tcBorders>
            <w:shd w:val="clear" w:color="auto" w:fill="auto"/>
            <w:vAlign w:val="center"/>
            <w:hideMark/>
          </w:tcPr>
          <w:p w14:paraId="1CB8A1B0" w14:textId="77777777" w:rsidR="006F00A4" w:rsidRPr="006F00A4" w:rsidRDefault="006F00A4" w:rsidP="006F00A4">
            <w:pPr>
              <w:spacing w:after="0" w:line="240" w:lineRule="auto"/>
              <w:rPr>
                <w:rFonts w:ascii="Times New Roman" w:eastAsia="Times New Roman" w:hAnsi="Times New Roman" w:cs="Times New Roman"/>
                <w:sz w:val="20"/>
                <w:szCs w:val="20"/>
                <w:lang w:val="nl-NL" w:eastAsia="nl-NL"/>
              </w:rPr>
            </w:pPr>
          </w:p>
        </w:tc>
      </w:tr>
      <w:tr w:rsidR="006F00A4" w:rsidRPr="006F00A4" w14:paraId="201AF903" w14:textId="77777777" w:rsidTr="006F00A4">
        <w:trPr>
          <w:trHeight w:val="360"/>
        </w:trPr>
        <w:tc>
          <w:tcPr>
            <w:tcW w:w="4040" w:type="dxa"/>
            <w:tcBorders>
              <w:top w:val="nil"/>
              <w:left w:val="nil"/>
              <w:bottom w:val="nil"/>
              <w:right w:val="single" w:sz="8" w:space="0" w:color="auto"/>
            </w:tcBorders>
            <w:shd w:val="clear" w:color="auto" w:fill="auto"/>
            <w:vAlign w:val="center"/>
            <w:hideMark/>
          </w:tcPr>
          <w:p w14:paraId="448BAF49" w14:textId="77777777" w:rsidR="006F00A4" w:rsidRPr="006F00A4" w:rsidRDefault="006F00A4" w:rsidP="006F00A4">
            <w:pPr>
              <w:spacing w:after="0" w:line="240" w:lineRule="auto"/>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T/S</w:t>
            </w:r>
            <w:r w:rsidRPr="006F00A4">
              <w:rPr>
                <w:rFonts w:ascii="Calibri" w:eastAsia="Times New Roman" w:hAnsi="Calibri" w:cs="Calibri"/>
                <w:color w:val="000000"/>
                <w:vertAlign w:val="subscript"/>
                <w:lang w:val="nl-NL" w:eastAsia="nl-NL"/>
              </w:rPr>
              <w:t xml:space="preserve">age </w:t>
            </w:r>
            <w:proofErr w:type="spellStart"/>
            <w:r w:rsidRPr="006F00A4">
              <w:rPr>
                <w:rFonts w:ascii="Calibri" w:eastAsia="Times New Roman" w:hAnsi="Calibri" w:cs="Calibri"/>
                <w:color w:val="000000"/>
                <w:vertAlign w:val="subscript"/>
                <w:lang w:val="nl-NL" w:eastAsia="nl-NL"/>
              </w:rPr>
              <w:t>adjusted</w:t>
            </w:r>
            <w:proofErr w:type="spellEnd"/>
          </w:p>
        </w:tc>
        <w:tc>
          <w:tcPr>
            <w:tcW w:w="1840" w:type="dxa"/>
            <w:tcBorders>
              <w:top w:val="nil"/>
              <w:left w:val="nil"/>
              <w:bottom w:val="nil"/>
              <w:right w:val="nil"/>
            </w:tcBorders>
            <w:shd w:val="clear" w:color="auto" w:fill="auto"/>
            <w:vAlign w:val="center"/>
            <w:hideMark/>
          </w:tcPr>
          <w:p w14:paraId="3DD05F75"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-0.271 (0.16)</w:t>
            </w:r>
          </w:p>
        </w:tc>
        <w:tc>
          <w:tcPr>
            <w:tcW w:w="2140" w:type="dxa"/>
            <w:tcBorders>
              <w:top w:val="nil"/>
              <w:left w:val="nil"/>
              <w:bottom w:val="nil"/>
              <w:right w:val="nil"/>
            </w:tcBorders>
            <w:shd w:val="clear" w:color="auto" w:fill="auto"/>
            <w:vAlign w:val="center"/>
            <w:hideMark/>
          </w:tcPr>
          <w:p w14:paraId="7DEAE07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-0.272 (0.16)</w:t>
            </w:r>
          </w:p>
        </w:tc>
        <w:tc>
          <w:tcPr>
            <w:tcW w:w="1360" w:type="dxa"/>
            <w:tcBorders>
              <w:top w:val="nil"/>
              <w:left w:val="nil"/>
              <w:bottom w:val="nil"/>
              <w:right w:val="nil"/>
            </w:tcBorders>
            <w:shd w:val="clear" w:color="auto" w:fill="auto"/>
            <w:vAlign w:val="center"/>
            <w:hideMark/>
          </w:tcPr>
          <w:p w14:paraId="36B25B0C"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 -0.235 (0.17)</w:t>
            </w:r>
          </w:p>
        </w:tc>
        <w:tc>
          <w:tcPr>
            <w:tcW w:w="960" w:type="dxa"/>
            <w:tcBorders>
              <w:top w:val="nil"/>
              <w:left w:val="nil"/>
              <w:bottom w:val="nil"/>
              <w:right w:val="nil"/>
            </w:tcBorders>
            <w:shd w:val="clear" w:color="auto" w:fill="auto"/>
            <w:noWrap/>
            <w:vAlign w:val="center"/>
            <w:hideMark/>
          </w:tcPr>
          <w:p w14:paraId="735BB426"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0.22</w:t>
            </w:r>
          </w:p>
        </w:tc>
      </w:tr>
      <w:tr w:rsidR="006F00A4" w:rsidRPr="006F00A4" w14:paraId="470552AA"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45CFAE73" w14:textId="77777777" w:rsidR="006F00A4" w:rsidRPr="006F00A4" w:rsidRDefault="006F00A4" w:rsidP="006F00A4">
            <w:pPr>
              <w:spacing w:after="0" w:line="240" w:lineRule="auto"/>
              <w:ind w:firstLineChars="100" w:firstLine="220"/>
              <w:rPr>
                <w:rFonts w:ascii="Symbol" w:eastAsia="Times New Roman" w:hAnsi="Symbol" w:cs="Arial"/>
                <w:color w:val="000000"/>
                <w:lang w:val="nl-NL" w:eastAsia="nl-NL"/>
              </w:rPr>
            </w:pPr>
            <w:r w:rsidRPr="006F00A4">
              <w:rPr>
                <w:rFonts w:ascii="Symbol" w:eastAsia="Times New Roman" w:hAnsi="Symbol" w:cs="Arial"/>
                <w:color w:val="000000"/>
                <w:lang w:val="nl-NL" w:eastAsia="nl-NL"/>
              </w:rPr>
              <w:t></w:t>
            </w:r>
            <w:r w:rsidRPr="006F00A4">
              <w:rPr>
                <w:rFonts w:ascii="Symbol" w:eastAsia="Times New Roman" w:hAnsi="Symbol" w:cs="Arial"/>
                <w:color w:val="000000"/>
                <w:lang w:val="nl-NL" w:eastAsia="nl-NL"/>
              </w:rPr>
              <w:t></w:t>
            </w:r>
            <w:r w:rsidRPr="006F00A4">
              <w:rPr>
                <w:rFonts w:ascii="Times New Roman" w:eastAsia="Times New Roman" w:hAnsi="Times New Roman" w:cs="Times New Roman"/>
                <w:color w:val="000000"/>
                <w:sz w:val="14"/>
                <w:szCs w:val="14"/>
                <w:lang w:val="nl-NL" w:eastAsia="nl-NL"/>
              </w:rPr>
              <w:t>&lt;</w:t>
            </w:r>
            <w:r w:rsidRPr="006F00A4">
              <w:rPr>
                <w:rFonts w:ascii="Calibri" w:eastAsia="Times New Roman" w:hAnsi="Calibri" w:cs="Calibri"/>
                <w:color w:val="000000"/>
                <w:lang w:val="nl-NL" w:eastAsia="nl-NL"/>
              </w:rPr>
              <w:t xml:space="preserve">10th </w:t>
            </w:r>
            <w:proofErr w:type="spellStart"/>
            <w:r w:rsidRPr="006F00A4">
              <w:rPr>
                <w:rFonts w:ascii="Calibri" w:eastAsia="Times New Roman" w:hAnsi="Calibri" w:cs="Calibri"/>
                <w:color w:val="000000"/>
                <w:lang w:val="nl-NL" w:eastAsia="nl-NL"/>
              </w:rPr>
              <w:t>percentile</w:t>
            </w:r>
            <w:proofErr w:type="spellEnd"/>
          </w:p>
        </w:tc>
        <w:tc>
          <w:tcPr>
            <w:tcW w:w="1840" w:type="dxa"/>
            <w:tcBorders>
              <w:top w:val="nil"/>
              <w:left w:val="nil"/>
              <w:bottom w:val="nil"/>
              <w:right w:val="nil"/>
            </w:tcBorders>
            <w:shd w:val="clear" w:color="auto" w:fill="auto"/>
            <w:vAlign w:val="center"/>
            <w:hideMark/>
          </w:tcPr>
          <w:p w14:paraId="4B643AC2"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127 (72)</w:t>
            </w:r>
          </w:p>
        </w:tc>
        <w:tc>
          <w:tcPr>
            <w:tcW w:w="2140" w:type="dxa"/>
            <w:tcBorders>
              <w:top w:val="nil"/>
              <w:left w:val="nil"/>
              <w:bottom w:val="nil"/>
              <w:right w:val="nil"/>
            </w:tcBorders>
            <w:shd w:val="clear" w:color="auto" w:fill="auto"/>
            <w:vAlign w:val="center"/>
            <w:hideMark/>
          </w:tcPr>
          <w:p w14:paraId="5F2EFB2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113 (73)  </w:t>
            </w:r>
          </w:p>
        </w:tc>
        <w:tc>
          <w:tcPr>
            <w:tcW w:w="1360" w:type="dxa"/>
            <w:tcBorders>
              <w:top w:val="nil"/>
              <w:left w:val="nil"/>
              <w:bottom w:val="nil"/>
              <w:right w:val="nil"/>
            </w:tcBorders>
            <w:shd w:val="clear" w:color="auto" w:fill="auto"/>
            <w:vAlign w:val="center"/>
            <w:hideMark/>
          </w:tcPr>
          <w:p w14:paraId="2866808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14 (70)</w:t>
            </w:r>
          </w:p>
        </w:tc>
        <w:tc>
          <w:tcPr>
            <w:tcW w:w="960" w:type="dxa"/>
            <w:tcBorders>
              <w:top w:val="nil"/>
              <w:left w:val="nil"/>
              <w:bottom w:val="nil"/>
              <w:right w:val="nil"/>
            </w:tcBorders>
            <w:shd w:val="clear" w:color="auto" w:fill="auto"/>
            <w:vAlign w:val="center"/>
            <w:hideMark/>
          </w:tcPr>
          <w:p w14:paraId="7F5DA80F"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0.78</w:t>
            </w:r>
          </w:p>
        </w:tc>
      </w:tr>
      <w:tr w:rsidR="006F00A4" w:rsidRPr="006F00A4" w14:paraId="71089412" w14:textId="77777777" w:rsidTr="006F00A4">
        <w:trPr>
          <w:trHeight w:val="300"/>
        </w:trPr>
        <w:tc>
          <w:tcPr>
            <w:tcW w:w="4040" w:type="dxa"/>
            <w:tcBorders>
              <w:top w:val="nil"/>
              <w:left w:val="nil"/>
              <w:bottom w:val="nil"/>
              <w:right w:val="single" w:sz="8" w:space="0" w:color="auto"/>
            </w:tcBorders>
            <w:shd w:val="clear" w:color="auto" w:fill="auto"/>
            <w:vAlign w:val="center"/>
            <w:hideMark/>
          </w:tcPr>
          <w:p w14:paraId="3241307B" w14:textId="77777777" w:rsidR="006F00A4" w:rsidRPr="006F00A4" w:rsidRDefault="006F00A4" w:rsidP="006F00A4">
            <w:pPr>
              <w:spacing w:after="0" w:line="240" w:lineRule="auto"/>
              <w:ind w:firstLineChars="100" w:firstLine="220"/>
              <w:rPr>
                <w:rFonts w:ascii="Symbol" w:eastAsia="Times New Roman" w:hAnsi="Symbol" w:cs="Arial"/>
                <w:color w:val="000000"/>
                <w:lang w:val="nl-NL" w:eastAsia="nl-NL"/>
              </w:rPr>
            </w:pPr>
            <w:r w:rsidRPr="006F00A4">
              <w:rPr>
                <w:rFonts w:ascii="Symbol" w:eastAsia="Times New Roman" w:hAnsi="Symbol" w:cs="Arial"/>
                <w:color w:val="000000"/>
                <w:lang w:val="nl-NL" w:eastAsia="nl-NL"/>
              </w:rPr>
              <w:t></w:t>
            </w:r>
            <w:r w:rsidRPr="006F00A4">
              <w:rPr>
                <w:rFonts w:ascii="Symbol" w:eastAsia="Times New Roman" w:hAnsi="Symbol" w:cs="Arial"/>
                <w:color w:val="000000"/>
                <w:lang w:val="nl-NL" w:eastAsia="nl-NL"/>
              </w:rPr>
              <w:t></w:t>
            </w:r>
            <w:r w:rsidRPr="006F00A4">
              <w:rPr>
                <w:rFonts w:ascii="Times New Roman" w:eastAsia="Times New Roman" w:hAnsi="Times New Roman" w:cs="Times New Roman"/>
                <w:color w:val="000000"/>
                <w:sz w:val="14"/>
                <w:szCs w:val="14"/>
                <w:lang w:val="nl-NL" w:eastAsia="nl-NL"/>
              </w:rPr>
              <w:t>&lt;</w:t>
            </w:r>
            <w:r w:rsidRPr="006F00A4">
              <w:rPr>
                <w:rFonts w:ascii="Calibri" w:eastAsia="Times New Roman" w:hAnsi="Calibri" w:cs="Calibri"/>
                <w:color w:val="000000"/>
                <w:lang w:val="nl-NL" w:eastAsia="nl-NL"/>
              </w:rPr>
              <w:t xml:space="preserve">1st </w:t>
            </w:r>
            <w:proofErr w:type="spellStart"/>
            <w:r w:rsidRPr="006F00A4">
              <w:rPr>
                <w:rFonts w:ascii="Calibri" w:eastAsia="Times New Roman" w:hAnsi="Calibri" w:cs="Calibri"/>
                <w:color w:val="000000"/>
                <w:lang w:val="nl-NL" w:eastAsia="nl-NL"/>
              </w:rPr>
              <w:t>percentile</w:t>
            </w:r>
            <w:proofErr w:type="spellEnd"/>
          </w:p>
        </w:tc>
        <w:tc>
          <w:tcPr>
            <w:tcW w:w="1840" w:type="dxa"/>
            <w:tcBorders>
              <w:top w:val="nil"/>
              <w:left w:val="nil"/>
              <w:bottom w:val="nil"/>
              <w:right w:val="nil"/>
            </w:tcBorders>
            <w:shd w:val="clear" w:color="auto" w:fill="auto"/>
            <w:vAlign w:val="center"/>
            <w:hideMark/>
          </w:tcPr>
          <w:p w14:paraId="09EDA7AB"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78 (44)</w:t>
            </w:r>
          </w:p>
        </w:tc>
        <w:tc>
          <w:tcPr>
            <w:tcW w:w="2140" w:type="dxa"/>
            <w:tcBorders>
              <w:top w:val="nil"/>
              <w:left w:val="nil"/>
              <w:bottom w:val="nil"/>
              <w:right w:val="nil"/>
            </w:tcBorders>
            <w:shd w:val="clear" w:color="auto" w:fill="auto"/>
            <w:vAlign w:val="center"/>
            <w:hideMark/>
          </w:tcPr>
          <w:p w14:paraId="7D45FB72"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72 (47) </w:t>
            </w:r>
          </w:p>
        </w:tc>
        <w:tc>
          <w:tcPr>
            <w:tcW w:w="1360" w:type="dxa"/>
            <w:tcBorders>
              <w:top w:val="nil"/>
              <w:left w:val="nil"/>
              <w:bottom w:val="nil"/>
              <w:right w:val="nil"/>
            </w:tcBorders>
            <w:shd w:val="clear" w:color="auto" w:fill="auto"/>
            <w:vAlign w:val="center"/>
            <w:hideMark/>
          </w:tcPr>
          <w:p w14:paraId="00CC4AB1"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 xml:space="preserve">6 (30) </w:t>
            </w:r>
            <w:r w:rsidRPr="006F00A4">
              <w:rPr>
                <w:rFonts w:ascii="Calibri" w:eastAsia="Times New Roman" w:hAnsi="Calibri" w:cs="Calibri"/>
                <w:color w:val="000000"/>
                <w:sz w:val="16"/>
                <w:szCs w:val="16"/>
                <w:lang w:val="nl-NL" w:eastAsia="nl-NL"/>
              </w:rPr>
              <w:t> </w:t>
            </w:r>
          </w:p>
        </w:tc>
        <w:tc>
          <w:tcPr>
            <w:tcW w:w="960" w:type="dxa"/>
            <w:tcBorders>
              <w:top w:val="nil"/>
              <w:left w:val="nil"/>
              <w:bottom w:val="nil"/>
              <w:right w:val="nil"/>
            </w:tcBorders>
            <w:shd w:val="clear" w:color="auto" w:fill="auto"/>
            <w:vAlign w:val="center"/>
            <w:hideMark/>
          </w:tcPr>
          <w:p w14:paraId="385A0898" w14:textId="77777777" w:rsidR="006F00A4" w:rsidRPr="006F00A4" w:rsidRDefault="006F00A4" w:rsidP="006F00A4">
            <w:pPr>
              <w:spacing w:after="0" w:line="240" w:lineRule="auto"/>
              <w:jc w:val="center"/>
              <w:rPr>
                <w:rFonts w:ascii="Calibri" w:eastAsia="Times New Roman" w:hAnsi="Calibri" w:cs="Calibri"/>
                <w:color w:val="000000"/>
                <w:lang w:val="nl-NL" w:eastAsia="nl-NL"/>
              </w:rPr>
            </w:pPr>
            <w:r w:rsidRPr="006F00A4">
              <w:rPr>
                <w:rFonts w:ascii="Calibri" w:eastAsia="Times New Roman" w:hAnsi="Calibri" w:cs="Calibri"/>
                <w:color w:val="000000"/>
                <w:lang w:val="nl-NL" w:eastAsia="nl-NL"/>
              </w:rPr>
              <w:t>0.16</w:t>
            </w:r>
          </w:p>
        </w:tc>
      </w:tr>
    </w:tbl>
    <w:p w14:paraId="42349EFC" w14:textId="77777777" w:rsidR="006F00A4" w:rsidRDefault="006F00A4" w:rsidP="000861DD">
      <w:pPr>
        <w:rPr>
          <w:rFonts w:ascii="Verdana" w:hAnsi="Verdana" w:cstheme="minorHAnsi"/>
          <w:b/>
          <w:sz w:val="20"/>
          <w:lang w:val="en-US"/>
        </w:rPr>
      </w:pPr>
    </w:p>
    <w:p w14:paraId="5EC36BBD" w14:textId="3FEADCC6" w:rsidR="007074EF" w:rsidRDefault="007074EF" w:rsidP="007074EF">
      <w:pPr>
        <w:spacing w:line="240" w:lineRule="auto"/>
        <w:jc w:val="both"/>
        <w:rPr>
          <w:rFonts w:ascii="Verdana" w:hAnsi="Verdana"/>
          <w:sz w:val="20"/>
          <w:szCs w:val="20"/>
          <w:lang w:val="en-US"/>
        </w:rPr>
      </w:pPr>
      <w:r>
        <w:rPr>
          <w:rFonts w:ascii="Verdana" w:hAnsi="Verdana"/>
          <w:sz w:val="20"/>
          <w:szCs w:val="20"/>
          <w:vertAlign w:val="superscript"/>
        </w:rPr>
        <w:t>*</w:t>
      </w:r>
      <w:r>
        <w:rPr>
          <w:rFonts w:ascii="Verdana" w:hAnsi="Verdana"/>
          <w:sz w:val="20"/>
          <w:szCs w:val="20"/>
        </w:rPr>
        <w:t xml:space="preserve">p for comparison between the cancer and non-cancer group. ^Lung transplantation was performed 24 years after breast cancer diagnosis (patient 13 table 3). Values are presented as number with percentage between brackets, n(%), continuous values are presented as median with interquartile (IQR), unless otherwise stated </w:t>
      </w:r>
      <w:proofErr w:type="spellStart"/>
      <w:r w:rsidR="00FD050F" w:rsidRPr="00E46225">
        <w:rPr>
          <w:rFonts w:ascii="Arial" w:eastAsia="Times New Roman" w:hAnsi="Arial" w:cs="Arial"/>
          <w:color w:val="000000"/>
          <w:sz w:val="20"/>
          <w:szCs w:val="20"/>
          <w:vertAlign w:val="superscript"/>
          <w:lang w:eastAsia="nl-NL"/>
        </w:rPr>
        <w:t>ǁ</w:t>
      </w:r>
      <w:r>
        <w:rPr>
          <w:rFonts w:ascii="Verdana" w:eastAsia="Times New Roman" w:hAnsi="Verdana" w:cs="Calibri"/>
          <w:color w:val="000000"/>
          <w:sz w:val="20"/>
          <w:szCs w:val="20"/>
          <w:lang w:eastAsia="nl-NL"/>
        </w:rPr>
        <w:t>IPF</w:t>
      </w:r>
      <w:proofErr w:type="spellEnd"/>
      <w:r>
        <w:rPr>
          <w:rFonts w:ascii="Verdana" w:eastAsia="Times New Roman" w:hAnsi="Verdana" w:cs="Calibri"/>
          <w:color w:val="000000"/>
          <w:sz w:val="20"/>
          <w:szCs w:val="20"/>
          <w:lang w:eastAsia="nl-NL"/>
        </w:rPr>
        <w:t xml:space="preserve"> vs all non-IPF.</w:t>
      </w:r>
      <w:r>
        <w:rPr>
          <w:rFonts w:ascii="Verdana" w:hAnsi="Verdana"/>
          <w:sz w:val="20"/>
          <w:szCs w:val="20"/>
        </w:rPr>
        <w:t xml:space="preserve"> </w:t>
      </w:r>
      <w:proofErr w:type="spellStart"/>
      <w:r>
        <w:rPr>
          <w:rFonts w:ascii="Calibri" w:hAnsi="Calibri" w:cs="Calibri"/>
          <w:sz w:val="20"/>
          <w:szCs w:val="20"/>
          <w:vertAlign w:val="superscript"/>
        </w:rPr>
        <w:t>ǂ</w:t>
      </w:r>
      <w:r>
        <w:rPr>
          <w:rFonts w:ascii="Verdana" w:hAnsi="Verdana"/>
          <w:sz w:val="20"/>
          <w:szCs w:val="20"/>
        </w:rPr>
        <w:t>Two</w:t>
      </w:r>
      <w:proofErr w:type="spellEnd"/>
      <w:r>
        <w:rPr>
          <w:rFonts w:ascii="Verdana" w:hAnsi="Verdana"/>
          <w:sz w:val="20"/>
          <w:szCs w:val="20"/>
        </w:rPr>
        <w:t xml:space="preserve"> patients had rare variants in 2 telomere related genes (TRG): </w:t>
      </w:r>
      <w:r>
        <w:rPr>
          <w:rFonts w:ascii="Verdana" w:hAnsi="Verdana"/>
          <w:i/>
          <w:iCs/>
          <w:sz w:val="20"/>
          <w:szCs w:val="20"/>
        </w:rPr>
        <w:t>TERT</w:t>
      </w:r>
      <w:r>
        <w:rPr>
          <w:rFonts w:ascii="Verdana" w:hAnsi="Verdana"/>
          <w:sz w:val="20"/>
          <w:szCs w:val="20"/>
        </w:rPr>
        <w:t>+</w:t>
      </w:r>
      <w:r>
        <w:rPr>
          <w:rFonts w:ascii="Verdana" w:hAnsi="Verdana"/>
          <w:i/>
          <w:iCs/>
          <w:sz w:val="20"/>
          <w:szCs w:val="20"/>
        </w:rPr>
        <w:t>RTEL1</w:t>
      </w:r>
      <w:r>
        <w:rPr>
          <w:rFonts w:ascii="Verdana" w:hAnsi="Verdana"/>
          <w:sz w:val="20"/>
          <w:szCs w:val="20"/>
        </w:rPr>
        <w:t xml:space="preserve"> (n=1) and </w:t>
      </w:r>
      <w:r>
        <w:rPr>
          <w:rFonts w:ascii="Verdana" w:hAnsi="Verdana"/>
          <w:i/>
          <w:iCs/>
          <w:sz w:val="20"/>
          <w:szCs w:val="20"/>
        </w:rPr>
        <w:t>TERT</w:t>
      </w:r>
      <w:r>
        <w:rPr>
          <w:rFonts w:ascii="Verdana" w:hAnsi="Verdana"/>
          <w:sz w:val="20"/>
          <w:szCs w:val="20"/>
        </w:rPr>
        <w:t>+</w:t>
      </w:r>
      <w:r>
        <w:rPr>
          <w:rFonts w:ascii="Verdana" w:hAnsi="Verdana"/>
          <w:i/>
          <w:iCs/>
          <w:sz w:val="20"/>
          <w:szCs w:val="20"/>
        </w:rPr>
        <w:t>TERC</w:t>
      </w:r>
      <w:r>
        <w:rPr>
          <w:rFonts w:ascii="Verdana" w:hAnsi="Verdana"/>
          <w:sz w:val="20"/>
          <w:szCs w:val="20"/>
        </w:rPr>
        <w:t xml:space="preserve"> (n=1) and  were included in both the </w:t>
      </w:r>
      <w:r>
        <w:rPr>
          <w:rFonts w:ascii="Verdana" w:hAnsi="Verdana"/>
          <w:i/>
          <w:sz w:val="20"/>
          <w:szCs w:val="20"/>
        </w:rPr>
        <w:t xml:space="preserve">TERT </w:t>
      </w:r>
      <w:r>
        <w:rPr>
          <w:rFonts w:ascii="Verdana" w:hAnsi="Verdana"/>
          <w:sz w:val="20"/>
          <w:szCs w:val="20"/>
        </w:rPr>
        <w:t xml:space="preserve">and in the other group . </w:t>
      </w:r>
      <w:r>
        <w:rPr>
          <w:rFonts w:ascii="Verdana" w:hAnsi="Verdana"/>
          <w:sz w:val="20"/>
          <w:szCs w:val="20"/>
          <w:vertAlign w:val="superscript"/>
        </w:rPr>
        <w:t>$</w:t>
      </w:r>
      <w:r w:rsidR="00E46225">
        <w:rPr>
          <w:rFonts w:ascii="Verdana" w:hAnsi="Verdana"/>
          <w:sz w:val="20"/>
          <w:szCs w:val="20"/>
        </w:rPr>
        <w:t>n=175</w:t>
      </w:r>
      <w:r>
        <w:rPr>
          <w:rFonts w:ascii="Verdana" w:hAnsi="Verdana"/>
          <w:sz w:val="20"/>
          <w:szCs w:val="20"/>
        </w:rPr>
        <w:t>, including 5 measurements from patients with MDS;</w:t>
      </w:r>
      <w:r>
        <w:rPr>
          <w:rFonts w:ascii="Verdana" w:eastAsia="Times New Roman" w:hAnsi="Verdana" w:cs="Calibri"/>
          <w:color w:val="000000"/>
          <w:sz w:val="20"/>
          <w:szCs w:val="20"/>
          <w:vertAlign w:val="superscript"/>
          <w:lang w:eastAsia="nl-NL"/>
        </w:rPr>
        <w:t xml:space="preserve"> </w:t>
      </w:r>
      <w:proofErr w:type="spellStart"/>
      <w:r w:rsidR="00E46225">
        <w:rPr>
          <w:rFonts w:ascii="Arial" w:eastAsia="Times New Roman" w:hAnsi="Arial" w:cs="Arial"/>
          <w:color w:val="000000"/>
          <w:sz w:val="20"/>
          <w:szCs w:val="20"/>
          <w:vertAlign w:val="superscript"/>
          <w:lang w:eastAsia="nl-NL"/>
        </w:rPr>
        <w:t>ǂ</w:t>
      </w:r>
      <w:r>
        <w:rPr>
          <w:rFonts w:ascii="Verdana" w:hAnsi="Verdana"/>
          <w:sz w:val="20"/>
          <w:szCs w:val="20"/>
        </w:rPr>
        <w:t>including</w:t>
      </w:r>
      <w:proofErr w:type="spellEnd"/>
      <w:r>
        <w:rPr>
          <w:rFonts w:ascii="Verdana" w:hAnsi="Verdana"/>
          <w:sz w:val="20"/>
          <w:szCs w:val="20"/>
        </w:rPr>
        <w:t xml:space="preserve"> Telomere Length (TL)&lt;1st percentile; </w:t>
      </w:r>
      <w:proofErr w:type="spellStart"/>
      <w:r>
        <w:rPr>
          <w:rFonts w:ascii="Verdana" w:hAnsi="Verdana"/>
          <w:sz w:val="20"/>
          <w:szCs w:val="20"/>
        </w:rPr>
        <w:t>Dx</w:t>
      </w:r>
      <w:proofErr w:type="spellEnd"/>
      <w:r>
        <w:rPr>
          <w:rFonts w:ascii="Verdana" w:hAnsi="Verdana"/>
          <w:sz w:val="20"/>
          <w:szCs w:val="20"/>
        </w:rPr>
        <w:t xml:space="preserve">, diagnosis; PF, pulmonary fibrosis; y, years; 95%CI, 95% confidence interval; ILD, interstitial lung disease; T/S </w:t>
      </w:r>
      <w:proofErr w:type="spellStart"/>
      <w:r>
        <w:rPr>
          <w:rFonts w:ascii="Verdana" w:hAnsi="Verdana"/>
          <w:sz w:val="20"/>
          <w:szCs w:val="20"/>
        </w:rPr>
        <w:t>ratio</w:t>
      </w:r>
      <w:r>
        <w:rPr>
          <w:rFonts w:ascii="Verdana" w:hAnsi="Verdana"/>
          <w:sz w:val="20"/>
          <w:szCs w:val="20"/>
          <w:vertAlign w:val="subscript"/>
        </w:rPr>
        <w:t>age</w:t>
      </w:r>
      <w:proofErr w:type="spellEnd"/>
      <w:r>
        <w:rPr>
          <w:rFonts w:ascii="Verdana" w:hAnsi="Verdana"/>
          <w:sz w:val="20"/>
          <w:szCs w:val="20"/>
          <w:vertAlign w:val="subscript"/>
        </w:rPr>
        <w:t xml:space="preserve"> adjusted</w:t>
      </w:r>
      <w:r>
        <w:rPr>
          <w:rFonts w:ascii="Verdana" w:hAnsi="Verdana"/>
          <w:sz w:val="20"/>
          <w:szCs w:val="20"/>
        </w:rPr>
        <w:t>, Telomere length adjusted for age calculated by the difference between observed T/S ratio and the age adjusted normal value.</w:t>
      </w:r>
    </w:p>
    <w:p w14:paraId="36F4150A" w14:textId="77777777" w:rsidR="000861DD" w:rsidRPr="00DA341F" w:rsidRDefault="000861DD" w:rsidP="000861DD">
      <w:pPr>
        <w:rPr>
          <w:rFonts w:ascii="Verdana" w:hAnsi="Verdana" w:cstheme="minorHAnsi"/>
          <w:b/>
          <w:sz w:val="20"/>
          <w:lang w:val="en-US"/>
        </w:rPr>
      </w:pPr>
    </w:p>
    <w:p w14:paraId="50F0E72E" w14:textId="2F083F69" w:rsidR="00D42724" w:rsidRDefault="000861DD">
      <w:pPr>
        <w:rPr>
          <w:rFonts w:ascii="Verdana" w:hAnsi="Verdana"/>
          <w:b/>
          <w:sz w:val="20"/>
          <w:szCs w:val="20"/>
        </w:rPr>
      </w:pPr>
      <w:r>
        <w:rPr>
          <w:rFonts w:ascii="Verdana" w:hAnsi="Verdana"/>
          <w:b/>
          <w:sz w:val="20"/>
          <w:szCs w:val="20"/>
        </w:rPr>
        <w:t>Table E3</w:t>
      </w:r>
      <w:r w:rsidR="00EC3522">
        <w:rPr>
          <w:rFonts w:ascii="Verdana" w:hAnsi="Verdana"/>
          <w:b/>
          <w:sz w:val="20"/>
          <w:szCs w:val="20"/>
        </w:rPr>
        <w:t>. Observ</w:t>
      </w:r>
      <w:r w:rsidR="00D42724">
        <w:rPr>
          <w:rFonts w:ascii="Verdana" w:hAnsi="Verdana"/>
          <w:b/>
          <w:sz w:val="20"/>
          <w:szCs w:val="20"/>
        </w:rPr>
        <w:t xml:space="preserve">ed cancers in patients with pulmonary fibrosis and a </w:t>
      </w:r>
      <w:r w:rsidR="00EC3522">
        <w:rPr>
          <w:rFonts w:ascii="Verdana" w:hAnsi="Verdana"/>
          <w:b/>
          <w:sz w:val="20"/>
          <w:szCs w:val="20"/>
        </w:rPr>
        <w:t>rare TRG variant classified as variant of unknown significance, likely pathogenic or pathogenic</w:t>
      </w:r>
    </w:p>
    <w:tbl>
      <w:tblPr>
        <w:tblW w:w="7974" w:type="dxa"/>
        <w:tblCellMar>
          <w:left w:w="70" w:type="dxa"/>
          <w:right w:w="70" w:type="dxa"/>
        </w:tblCellMar>
        <w:tblLook w:val="04A0" w:firstRow="1" w:lastRow="0" w:firstColumn="1" w:lastColumn="0" w:noHBand="0" w:noVBand="1"/>
      </w:tblPr>
      <w:tblGrid>
        <w:gridCol w:w="1780"/>
        <w:gridCol w:w="1204"/>
        <w:gridCol w:w="1204"/>
        <w:gridCol w:w="1420"/>
        <w:gridCol w:w="2366"/>
      </w:tblGrid>
      <w:tr w:rsidR="00D42724" w:rsidRPr="00D42724" w14:paraId="0A0CAA21" w14:textId="77777777" w:rsidTr="00EC3522">
        <w:trPr>
          <w:trHeight w:val="1035"/>
        </w:trPr>
        <w:tc>
          <w:tcPr>
            <w:tcW w:w="1780" w:type="dxa"/>
            <w:tcBorders>
              <w:top w:val="nil"/>
              <w:left w:val="nil"/>
              <w:bottom w:val="single" w:sz="8" w:space="0" w:color="auto"/>
              <w:right w:val="single" w:sz="8" w:space="0" w:color="auto"/>
            </w:tcBorders>
            <w:shd w:val="clear" w:color="auto" w:fill="auto"/>
            <w:vAlign w:val="center"/>
            <w:hideMark/>
          </w:tcPr>
          <w:p w14:paraId="44E1A5E1" w14:textId="77777777" w:rsidR="00D42724" w:rsidRPr="00F00692" w:rsidRDefault="00D42724" w:rsidP="00D42724">
            <w:pPr>
              <w:spacing w:after="0" w:line="240" w:lineRule="auto"/>
              <w:jc w:val="right"/>
              <w:rPr>
                <w:rFonts w:ascii="Verdana" w:eastAsia="Times New Roman" w:hAnsi="Verdana" w:cs="Calibri"/>
                <w:color w:val="000000"/>
                <w:sz w:val="20"/>
                <w:szCs w:val="20"/>
                <w:lang w:val="en-US" w:eastAsia="nl-NL"/>
              </w:rPr>
            </w:pPr>
            <w:r w:rsidRPr="00D42724">
              <w:rPr>
                <w:rFonts w:ascii="Verdana" w:eastAsia="Times New Roman" w:hAnsi="Verdana" w:cs="Calibri"/>
                <w:color w:val="000000"/>
                <w:sz w:val="20"/>
                <w:szCs w:val="20"/>
                <w:lang w:val="en-US" w:eastAsia="nl-NL"/>
              </w:rPr>
              <w:t> </w:t>
            </w:r>
          </w:p>
        </w:tc>
        <w:tc>
          <w:tcPr>
            <w:tcW w:w="1204" w:type="dxa"/>
            <w:tcBorders>
              <w:top w:val="nil"/>
              <w:left w:val="nil"/>
              <w:bottom w:val="single" w:sz="8" w:space="0" w:color="auto"/>
              <w:right w:val="nil"/>
            </w:tcBorders>
            <w:shd w:val="clear" w:color="auto" w:fill="auto"/>
            <w:vAlign w:val="center"/>
            <w:hideMark/>
          </w:tcPr>
          <w:p w14:paraId="1FA57E3C" w14:textId="77777777" w:rsidR="00D42724" w:rsidRPr="00D42724" w:rsidRDefault="00D42724" w:rsidP="00D42724">
            <w:pPr>
              <w:spacing w:after="0" w:line="240" w:lineRule="auto"/>
              <w:jc w:val="center"/>
              <w:rPr>
                <w:rFonts w:ascii="Verdana" w:eastAsia="Times New Roman" w:hAnsi="Verdana" w:cs="Calibri"/>
                <w:b/>
                <w:bCs/>
                <w:color w:val="000000"/>
                <w:sz w:val="20"/>
                <w:szCs w:val="20"/>
                <w:lang w:val="nl-NL" w:eastAsia="nl-NL"/>
              </w:rPr>
            </w:pPr>
            <w:r w:rsidRPr="00D42724">
              <w:rPr>
                <w:rFonts w:ascii="Verdana" w:eastAsia="Times New Roman" w:hAnsi="Verdana" w:cs="Calibri"/>
                <w:b/>
                <w:bCs/>
                <w:color w:val="000000"/>
                <w:sz w:val="20"/>
                <w:szCs w:val="20"/>
                <w:lang w:val="en-US" w:eastAsia="nl-NL"/>
              </w:rPr>
              <w:t>Observed (n)</w:t>
            </w:r>
          </w:p>
        </w:tc>
        <w:tc>
          <w:tcPr>
            <w:tcW w:w="1204" w:type="dxa"/>
            <w:tcBorders>
              <w:top w:val="nil"/>
              <w:left w:val="nil"/>
              <w:bottom w:val="single" w:sz="8" w:space="0" w:color="auto"/>
              <w:right w:val="nil"/>
            </w:tcBorders>
            <w:shd w:val="clear" w:color="auto" w:fill="auto"/>
            <w:vAlign w:val="center"/>
            <w:hideMark/>
          </w:tcPr>
          <w:p w14:paraId="2AE880F1" w14:textId="77777777" w:rsidR="00D42724" w:rsidRPr="00D42724" w:rsidRDefault="00D42724" w:rsidP="00D42724">
            <w:pPr>
              <w:spacing w:after="0" w:line="240" w:lineRule="auto"/>
              <w:jc w:val="center"/>
              <w:rPr>
                <w:rFonts w:ascii="Verdana" w:eastAsia="Times New Roman" w:hAnsi="Verdana" w:cs="Calibri"/>
                <w:b/>
                <w:bCs/>
                <w:color w:val="000000"/>
                <w:sz w:val="20"/>
                <w:szCs w:val="20"/>
                <w:lang w:val="nl-NL" w:eastAsia="nl-NL"/>
              </w:rPr>
            </w:pPr>
            <w:r w:rsidRPr="00D42724">
              <w:rPr>
                <w:rFonts w:ascii="Verdana" w:eastAsia="Times New Roman" w:hAnsi="Verdana" w:cs="Calibri"/>
                <w:b/>
                <w:bCs/>
                <w:color w:val="000000"/>
                <w:sz w:val="20"/>
                <w:szCs w:val="20"/>
                <w:lang w:val="en-US" w:eastAsia="nl-NL"/>
              </w:rPr>
              <w:t>Observed cancer incidence (%)</w:t>
            </w:r>
          </w:p>
        </w:tc>
        <w:tc>
          <w:tcPr>
            <w:tcW w:w="1420" w:type="dxa"/>
            <w:tcBorders>
              <w:top w:val="nil"/>
              <w:left w:val="nil"/>
              <w:bottom w:val="single" w:sz="8" w:space="0" w:color="auto"/>
              <w:right w:val="nil"/>
            </w:tcBorders>
            <w:shd w:val="clear" w:color="auto" w:fill="auto"/>
            <w:vAlign w:val="center"/>
            <w:hideMark/>
          </w:tcPr>
          <w:p w14:paraId="34A7596B" w14:textId="77777777" w:rsidR="00D42724" w:rsidRPr="00D42724" w:rsidRDefault="00D42724" w:rsidP="00D42724">
            <w:pPr>
              <w:spacing w:after="0" w:line="240" w:lineRule="auto"/>
              <w:jc w:val="center"/>
              <w:rPr>
                <w:rFonts w:ascii="Verdana" w:eastAsia="Times New Roman" w:hAnsi="Verdana" w:cs="Calibri"/>
                <w:b/>
                <w:bCs/>
                <w:color w:val="000000"/>
                <w:sz w:val="20"/>
                <w:szCs w:val="20"/>
                <w:lang w:val="nl-NL" w:eastAsia="nl-NL"/>
              </w:rPr>
            </w:pPr>
            <w:r w:rsidRPr="00D42724">
              <w:rPr>
                <w:rFonts w:ascii="Verdana" w:eastAsia="Times New Roman" w:hAnsi="Verdana" w:cs="Calibri"/>
                <w:b/>
                <w:bCs/>
                <w:color w:val="000000"/>
                <w:sz w:val="20"/>
                <w:szCs w:val="20"/>
                <w:lang w:val="en-US" w:eastAsia="nl-NL"/>
              </w:rPr>
              <w:t>Expected cancer incidence (%)</w:t>
            </w:r>
          </w:p>
        </w:tc>
        <w:tc>
          <w:tcPr>
            <w:tcW w:w="2366" w:type="dxa"/>
            <w:tcBorders>
              <w:top w:val="nil"/>
              <w:left w:val="nil"/>
              <w:bottom w:val="single" w:sz="8" w:space="0" w:color="auto"/>
              <w:right w:val="nil"/>
            </w:tcBorders>
            <w:shd w:val="clear" w:color="auto" w:fill="auto"/>
            <w:vAlign w:val="center"/>
            <w:hideMark/>
          </w:tcPr>
          <w:p w14:paraId="131E3CBC" w14:textId="77777777" w:rsidR="00D42724" w:rsidRPr="00D42724" w:rsidRDefault="00D42724" w:rsidP="00D42724">
            <w:pPr>
              <w:spacing w:after="0" w:line="240" w:lineRule="auto"/>
              <w:jc w:val="center"/>
              <w:rPr>
                <w:rFonts w:ascii="Verdana" w:eastAsia="Times New Roman" w:hAnsi="Verdana" w:cs="Calibri"/>
                <w:b/>
                <w:bCs/>
                <w:color w:val="000000"/>
                <w:sz w:val="20"/>
                <w:szCs w:val="20"/>
                <w:lang w:val="nl-NL" w:eastAsia="nl-NL"/>
              </w:rPr>
            </w:pPr>
            <w:r w:rsidRPr="00D42724">
              <w:rPr>
                <w:rFonts w:ascii="Verdana" w:eastAsia="Times New Roman" w:hAnsi="Verdana" w:cs="Calibri"/>
                <w:b/>
                <w:bCs/>
                <w:color w:val="000000"/>
                <w:sz w:val="20"/>
                <w:szCs w:val="20"/>
                <w:lang w:val="en-US" w:eastAsia="nl-NL"/>
              </w:rPr>
              <w:t>Observed/Expected (95% CI)</w:t>
            </w:r>
          </w:p>
        </w:tc>
      </w:tr>
      <w:tr w:rsidR="00D42724" w:rsidRPr="00D42724" w14:paraId="64B6422F" w14:textId="77777777" w:rsidTr="00EC3522">
        <w:trPr>
          <w:trHeight w:val="255"/>
        </w:trPr>
        <w:tc>
          <w:tcPr>
            <w:tcW w:w="1780" w:type="dxa"/>
            <w:tcBorders>
              <w:top w:val="nil"/>
              <w:left w:val="nil"/>
              <w:bottom w:val="nil"/>
              <w:right w:val="single" w:sz="8" w:space="0" w:color="auto"/>
            </w:tcBorders>
            <w:shd w:val="clear" w:color="auto" w:fill="auto"/>
            <w:noWrap/>
            <w:vAlign w:val="center"/>
            <w:hideMark/>
          </w:tcPr>
          <w:p w14:paraId="22E75F73"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 xml:space="preserve">All cancers* </w:t>
            </w:r>
          </w:p>
        </w:tc>
        <w:tc>
          <w:tcPr>
            <w:tcW w:w="1204" w:type="dxa"/>
            <w:tcBorders>
              <w:top w:val="nil"/>
              <w:left w:val="nil"/>
              <w:bottom w:val="nil"/>
              <w:right w:val="nil"/>
            </w:tcBorders>
            <w:shd w:val="clear" w:color="auto" w:fill="auto"/>
            <w:vAlign w:val="center"/>
            <w:hideMark/>
          </w:tcPr>
          <w:p w14:paraId="21457FBE"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21</w:t>
            </w:r>
          </w:p>
        </w:tc>
        <w:tc>
          <w:tcPr>
            <w:tcW w:w="1204" w:type="dxa"/>
            <w:tcBorders>
              <w:top w:val="nil"/>
              <w:left w:val="nil"/>
              <w:bottom w:val="nil"/>
              <w:right w:val="nil"/>
            </w:tcBorders>
            <w:shd w:val="clear" w:color="auto" w:fill="auto"/>
            <w:vAlign w:val="center"/>
            <w:hideMark/>
          </w:tcPr>
          <w:p w14:paraId="02426203"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11.9</w:t>
            </w:r>
          </w:p>
        </w:tc>
        <w:tc>
          <w:tcPr>
            <w:tcW w:w="1420" w:type="dxa"/>
            <w:tcBorders>
              <w:top w:val="nil"/>
              <w:left w:val="nil"/>
              <w:bottom w:val="nil"/>
              <w:right w:val="nil"/>
            </w:tcBorders>
            <w:shd w:val="clear" w:color="auto" w:fill="auto"/>
            <w:noWrap/>
            <w:vAlign w:val="center"/>
            <w:hideMark/>
          </w:tcPr>
          <w:p w14:paraId="47B6B33A"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18.9</w:t>
            </w:r>
          </w:p>
        </w:tc>
        <w:tc>
          <w:tcPr>
            <w:tcW w:w="2366" w:type="dxa"/>
            <w:tcBorders>
              <w:top w:val="nil"/>
              <w:left w:val="nil"/>
              <w:bottom w:val="nil"/>
              <w:right w:val="nil"/>
            </w:tcBorders>
            <w:shd w:val="clear" w:color="auto" w:fill="auto"/>
            <w:noWrap/>
            <w:vAlign w:val="center"/>
            <w:hideMark/>
          </w:tcPr>
          <w:p w14:paraId="4706A35F" w14:textId="77777777" w:rsidR="00D42724" w:rsidRPr="00D42724" w:rsidRDefault="00D42724" w:rsidP="00D42724">
            <w:pPr>
              <w:spacing w:after="0" w:line="240" w:lineRule="auto"/>
              <w:jc w:val="center"/>
              <w:rPr>
                <w:rFonts w:ascii="Verdana" w:eastAsia="Times New Roman" w:hAnsi="Verdana" w:cs="Calibri"/>
                <w:b/>
                <w:bCs/>
                <w:color w:val="000000"/>
                <w:sz w:val="20"/>
                <w:szCs w:val="20"/>
                <w:lang w:val="nl-NL" w:eastAsia="nl-NL"/>
              </w:rPr>
            </w:pPr>
            <w:r w:rsidRPr="00D42724">
              <w:rPr>
                <w:rFonts w:ascii="Verdana" w:eastAsia="Times New Roman" w:hAnsi="Verdana" w:cs="Calibri"/>
                <w:b/>
                <w:bCs/>
                <w:color w:val="000000"/>
                <w:sz w:val="20"/>
                <w:szCs w:val="20"/>
                <w:lang w:val="en-US" w:eastAsia="nl-NL"/>
              </w:rPr>
              <w:t>0.6 (0.4-0.9)</w:t>
            </w:r>
          </w:p>
        </w:tc>
      </w:tr>
      <w:tr w:rsidR="00D42724" w:rsidRPr="00D42724" w14:paraId="6527DF05" w14:textId="77777777" w:rsidTr="00EC3522">
        <w:trPr>
          <w:trHeight w:val="255"/>
        </w:trPr>
        <w:tc>
          <w:tcPr>
            <w:tcW w:w="1780" w:type="dxa"/>
            <w:tcBorders>
              <w:top w:val="nil"/>
              <w:left w:val="nil"/>
              <w:bottom w:val="nil"/>
              <w:right w:val="single" w:sz="8" w:space="0" w:color="auto"/>
            </w:tcBorders>
            <w:shd w:val="clear" w:color="auto" w:fill="auto"/>
            <w:noWrap/>
            <w:vAlign w:val="center"/>
            <w:hideMark/>
          </w:tcPr>
          <w:p w14:paraId="3F15FAA3"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MDS</w:t>
            </w:r>
          </w:p>
        </w:tc>
        <w:tc>
          <w:tcPr>
            <w:tcW w:w="1204" w:type="dxa"/>
            <w:tcBorders>
              <w:top w:val="nil"/>
              <w:left w:val="nil"/>
              <w:bottom w:val="nil"/>
              <w:right w:val="nil"/>
            </w:tcBorders>
            <w:shd w:val="clear" w:color="auto" w:fill="auto"/>
            <w:vAlign w:val="center"/>
            <w:hideMark/>
          </w:tcPr>
          <w:p w14:paraId="493D18D4"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7</w:t>
            </w:r>
          </w:p>
        </w:tc>
        <w:tc>
          <w:tcPr>
            <w:tcW w:w="1204" w:type="dxa"/>
            <w:tcBorders>
              <w:top w:val="nil"/>
              <w:left w:val="nil"/>
              <w:bottom w:val="nil"/>
              <w:right w:val="nil"/>
            </w:tcBorders>
            <w:shd w:val="clear" w:color="auto" w:fill="auto"/>
            <w:vAlign w:val="center"/>
            <w:hideMark/>
          </w:tcPr>
          <w:p w14:paraId="47EE6025"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4</w:t>
            </w:r>
          </w:p>
        </w:tc>
        <w:tc>
          <w:tcPr>
            <w:tcW w:w="1420" w:type="dxa"/>
            <w:tcBorders>
              <w:top w:val="nil"/>
              <w:left w:val="nil"/>
              <w:bottom w:val="nil"/>
              <w:right w:val="nil"/>
            </w:tcBorders>
            <w:shd w:val="clear" w:color="auto" w:fill="auto"/>
            <w:noWrap/>
            <w:vAlign w:val="center"/>
            <w:hideMark/>
          </w:tcPr>
          <w:p w14:paraId="1EEB5132"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0.1</w:t>
            </w:r>
          </w:p>
        </w:tc>
        <w:tc>
          <w:tcPr>
            <w:tcW w:w="2366" w:type="dxa"/>
            <w:tcBorders>
              <w:top w:val="nil"/>
              <w:left w:val="nil"/>
              <w:bottom w:val="nil"/>
              <w:right w:val="nil"/>
            </w:tcBorders>
            <w:shd w:val="clear" w:color="auto" w:fill="auto"/>
            <w:noWrap/>
            <w:vAlign w:val="center"/>
            <w:hideMark/>
          </w:tcPr>
          <w:p w14:paraId="4496B844" w14:textId="77777777" w:rsidR="00D42724" w:rsidRPr="00D42724" w:rsidRDefault="00D42724" w:rsidP="00D42724">
            <w:pPr>
              <w:spacing w:after="0" w:line="240" w:lineRule="auto"/>
              <w:jc w:val="center"/>
              <w:rPr>
                <w:rFonts w:ascii="Verdana" w:eastAsia="Times New Roman" w:hAnsi="Verdana" w:cs="Calibri"/>
                <w:b/>
                <w:bCs/>
                <w:color w:val="000000"/>
                <w:sz w:val="20"/>
                <w:szCs w:val="20"/>
                <w:lang w:val="nl-NL" w:eastAsia="nl-NL"/>
              </w:rPr>
            </w:pPr>
            <w:r w:rsidRPr="00D42724">
              <w:rPr>
                <w:rFonts w:ascii="Verdana" w:eastAsia="Times New Roman" w:hAnsi="Verdana" w:cs="Calibri"/>
                <w:b/>
                <w:bCs/>
                <w:color w:val="000000"/>
                <w:sz w:val="20"/>
                <w:szCs w:val="20"/>
                <w:lang w:val="en-US" w:eastAsia="nl-NL"/>
              </w:rPr>
              <w:t>38 (16-77)</w:t>
            </w:r>
          </w:p>
        </w:tc>
      </w:tr>
      <w:tr w:rsidR="00D42724" w:rsidRPr="00D42724" w14:paraId="5230D08F" w14:textId="77777777" w:rsidTr="00EC3522">
        <w:trPr>
          <w:trHeight w:val="255"/>
        </w:trPr>
        <w:tc>
          <w:tcPr>
            <w:tcW w:w="1780" w:type="dxa"/>
            <w:tcBorders>
              <w:top w:val="nil"/>
              <w:left w:val="nil"/>
              <w:bottom w:val="nil"/>
              <w:right w:val="single" w:sz="8" w:space="0" w:color="auto"/>
            </w:tcBorders>
            <w:shd w:val="clear" w:color="auto" w:fill="auto"/>
            <w:noWrap/>
            <w:vAlign w:val="center"/>
            <w:hideMark/>
          </w:tcPr>
          <w:p w14:paraId="45A3A63F"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 xml:space="preserve">Lung </w:t>
            </w:r>
          </w:p>
        </w:tc>
        <w:tc>
          <w:tcPr>
            <w:tcW w:w="1204" w:type="dxa"/>
            <w:tcBorders>
              <w:top w:val="nil"/>
              <w:left w:val="nil"/>
              <w:bottom w:val="nil"/>
              <w:right w:val="nil"/>
            </w:tcBorders>
            <w:shd w:val="clear" w:color="auto" w:fill="auto"/>
            <w:vAlign w:val="center"/>
            <w:hideMark/>
          </w:tcPr>
          <w:p w14:paraId="322D9A27"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5</w:t>
            </w:r>
          </w:p>
        </w:tc>
        <w:tc>
          <w:tcPr>
            <w:tcW w:w="1204" w:type="dxa"/>
            <w:tcBorders>
              <w:top w:val="nil"/>
              <w:left w:val="nil"/>
              <w:bottom w:val="nil"/>
              <w:right w:val="nil"/>
            </w:tcBorders>
            <w:shd w:val="clear" w:color="auto" w:fill="auto"/>
            <w:vAlign w:val="center"/>
            <w:hideMark/>
          </w:tcPr>
          <w:p w14:paraId="1A7F86CA"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2.8</w:t>
            </w:r>
          </w:p>
        </w:tc>
        <w:tc>
          <w:tcPr>
            <w:tcW w:w="1420" w:type="dxa"/>
            <w:tcBorders>
              <w:top w:val="nil"/>
              <w:left w:val="nil"/>
              <w:bottom w:val="nil"/>
              <w:right w:val="nil"/>
            </w:tcBorders>
            <w:shd w:val="clear" w:color="auto" w:fill="auto"/>
            <w:noWrap/>
            <w:vAlign w:val="center"/>
            <w:hideMark/>
          </w:tcPr>
          <w:p w14:paraId="2962A4D6"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2.4</w:t>
            </w:r>
          </w:p>
        </w:tc>
        <w:tc>
          <w:tcPr>
            <w:tcW w:w="2366" w:type="dxa"/>
            <w:tcBorders>
              <w:top w:val="nil"/>
              <w:left w:val="nil"/>
              <w:bottom w:val="nil"/>
              <w:right w:val="nil"/>
            </w:tcBorders>
            <w:shd w:val="clear" w:color="auto" w:fill="auto"/>
            <w:noWrap/>
            <w:vAlign w:val="center"/>
            <w:hideMark/>
          </w:tcPr>
          <w:p w14:paraId="485A7B16"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1.2 (0.4-2.7)</w:t>
            </w:r>
          </w:p>
        </w:tc>
      </w:tr>
      <w:tr w:rsidR="00D42724" w:rsidRPr="00D42724" w14:paraId="468F183E" w14:textId="77777777" w:rsidTr="00EC3522">
        <w:trPr>
          <w:trHeight w:val="255"/>
        </w:trPr>
        <w:tc>
          <w:tcPr>
            <w:tcW w:w="1780" w:type="dxa"/>
            <w:tcBorders>
              <w:top w:val="nil"/>
              <w:left w:val="nil"/>
              <w:bottom w:val="nil"/>
              <w:right w:val="single" w:sz="8" w:space="0" w:color="auto"/>
            </w:tcBorders>
            <w:shd w:val="clear" w:color="auto" w:fill="auto"/>
            <w:noWrap/>
            <w:vAlign w:val="center"/>
            <w:hideMark/>
          </w:tcPr>
          <w:p w14:paraId="35BDE86C"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 xml:space="preserve">Rectum </w:t>
            </w:r>
          </w:p>
        </w:tc>
        <w:tc>
          <w:tcPr>
            <w:tcW w:w="1204" w:type="dxa"/>
            <w:tcBorders>
              <w:top w:val="nil"/>
              <w:left w:val="nil"/>
              <w:bottom w:val="nil"/>
              <w:right w:val="nil"/>
            </w:tcBorders>
            <w:shd w:val="clear" w:color="auto" w:fill="auto"/>
            <w:vAlign w:val="center"/>
            <w:hideMark/>
          </w:tcPr>
          <w:p w14:paraId="518A5558"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w:t>
            </w:r>
          </w:p>
        </w:tc>
        <w:tc>
          <w:tcPr>
            <w:tcW w:w="1204" w:type="dxa"/>
            <w:tcBorders>
              <w:top w:val="nil"/>
              <w:left w:val="nil"/>
              <w:bottom w:val="nil"/>
              <w:right w:val="nil"/>
            </w:tcBorders>
            <w:shd w:val="clear" w:color="auto" w:fill="auto"/>
            <w:vAlign w:val="center"/>
            <w:hideMark/>
          </w:tcPr>
          <w:p w14:paraId="42F8F034"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0.6</w:t>
            </w:r>
          </w:p>
        </w:tc>
        <w:tc>
          <w:tcPr>
            <w:tcW w:w="1420" w:type="dxa"/>
            <w:tcBorders>
              <w:top w:val="nil"/>
              <w:left w:val="nil"/>
              <w:bottom w:val="nil"/>
              <w:right w:val="nil"/>
            </w:tcBorders>
            <w:shd w:val="clear" w:color="auto" w:fill="auto"/>
            <w:noWrap/>
            <w:vAlign w:val="center"/>
            <w:hideMark/>
          </w:tcPr>
          <w:p w14:paraId="6323CF8F"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0.8</w:t>
            </w:r>
          </w:p>
        </w:tc>
        <w:tc>
          <w:tcPr>
            <w:tcW w:w="2366" w:type="dxa"/>
            <w:tcBorders>
              <w:top w:val="nil"/>
              <w:left w:val="nil"/>
              <w:bottom w:val="nil"/>
              <w:right w:val="nil"/>
            </w:tcBorders>
            <w:shd w:val="clear" w:color="auto" w:fill="auto"/>
            <w:noWrap/>
            <w:vAlign w:val="center"/>
            <w:hideMark/>
          </w:tcPr>
          <w:p w14:paraId="6FDE8487"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0.7 (0.01-3.8)</w:t>
            </w:r>
          </w:p>
        </w:tc>
      </w:tr>
      <w:tr w:rsidR="00D42724" w:rsidRPr="00D42724" w14:paraId="12A30663" w14:textId="77777777" w:rsidTr="00EC3522">
        <w:trPr>
          <w:trHeight w:val="255"/>
        </w:trPr>
        <w:tc>
          <w:tcPr>
            <w:tcW w:w="1780" w:type="dxa"/>
            <w:tcBorders>
              <w:top w:val="nil"/>
              <w:left w:val="nil"/>
              <w:bottom w:val="nil"/>
              <w:right w:val="single" w:sz="8" w:space="0" w:color="auto"/>
            </w:tcBorders>
            <w:shd w:val="clear" w:color="auto" w:fill="auto"/>
            <w:noWrap/>
            <w:vAlign w:val="center"/>
            <w:hideMark/>
          </w:tcPr>
          <w:p w14:paraId="7AA1DD42"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 xml:space="preserve">Colon </w:t>
            </w:r>
          </w:p>
        </w:tc>
        <w:tc>
          <w:tcPr>
            <w:tcW w:w="1204" w:type="dxa"/>
            <w:tcBorders>
              <w:top w:val="nil"/>
              <w:left w:val="nil"/>
              <w:bottom w:val="nil"/>
              <w:right w:val="nil"/>
            </w:tcBorders>
            <w:shd w:val="clear" w:color="auto" w:fill="auto"/>
            <w:vAlign w:val="center"/>
            <w:hideMark/>
          </w:tcPr>
          <w:p w14:paraId="2EB22BE8"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w:t>
            </w:r>
          </w:p>
        </w:tc>
        <w:tc>
          <w:tcPr>
            <w:tcW w:w="1204" w:type="dxa"/>
            <w:tcBorders>
              <w:top w:val="nil"/>
              <w:left w:val="nil"/>
              <w:bottom w:val="nil"/>
              <w:right w:val="nil"/>
            </w:tcBorders>
            <w:shd w:val="clear" w:color="auto" w:fill="auto"/>
            <w:vAlign w:val="center"/>
            <w:hideMark/>
          </w:tcPr>
          <w:p w14:paraId="044B31BC"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0.6</w:t>
            </w:r>
          </w:p>
        </w:tc>
        <w:tc>
          <w:tcPr>
            <w:tcW w:w="1420" w:type="dxa"/>
            <w:tcBorders>
              <w:top w:val="nil"/>
              <w:left w:val="nil"/>
              <w:bottom w:val="nil"/>
              <w:right w:val="nil"/>
            </w:tcBorders>
            <w:shd w:val="clear" w:color="auto" w:fill="auto"/>
            <w:noWrap/>
            <w:vAlign w:val="center"/>
            <w:hideMark/>
          </w:tcPr>
          <w:p w14:paraId="53BFB397"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1.4</w:t>
            </w:r>
          </w:p>
        </w:tc>
        <w:tc>
          <w:tcPr>
            <w:tcW w:w="2366" w:type="dxa"/>
            <w:tcBorders>
              <w:top w:val="nil"/>
              <w:left w:val="nil"/>
              <w:bottom w:val="nil"/>
              <w:right w:val="nil"/>
            </w:tcBorders>
            <w:shd w:val="clear" w:color="auto" w:fill="auto"/>
            <w:noWrap/>
            <w:vAlign w:val="center"/>
            <w:hideMark/>
          </w:tcPr>
          <w:p w14:paraId="7C598DD4"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0.4 (0.007-2.2)</w:t>
            </w:r>
          </w:p>
        </w:tc>
      </w:tr>
      <w:tr w:rsidR="00D42724" w:rsidRPr="00D42724" w14:paraId="07392C8E" w14:textId="77777777" w:rsidTr="00EC3522">
        <w:trPr>
          <w:trHeight w:val="300"/>
        </w:trPr>
        <w:tc>
          <w:tcPr>
            <w:tcW w:w="1780" w:type="dxa"/>
            <w:tcBorders>
              <w:top w:val="nil"/>
              <w:left w:val="nil"/>
              <w:bottom w:val="nil"/>
              <w:right w:val="single" w:sz="8" w:space="0" w:color="auto"/>
            </w:tcBorders>
            <w:shd w:val="clear" w:color="auto" w:fill="auto"/>
            <w:noWrap/>
            <w:vAlign w:val="center"/>
            <w:hideMark/>
          </w:tcPr>
          <w:p w14:paraId="1338CDEC"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Breast</w:t>
            </w:r>
            <w:r w:rsidRPr="00D42724">
              <w:rPr>
                <w:rFonts w:ascii="Verdana" w:eastAsia="Times New Roman" w:hAnsi="Verdana" w:cs="Calibri"/>
                <w:color w:val="000000"/>
                <w:sz w:val="20"/>
                <w:szCs w:val="20"/>
                <w:vertAlign w:val="superscript"/>
                <w:lang w:val="en-US" w:eastAsia="nl-NL"/>
              </w:rPr>
              <w:t>#</w:t>
            </w:r>
          </w:p>
        </w:tc>
        <w:tc>
          <w:tcPr>
            <w:tcW w:w="1204" w:type="dxa"/>
            <w:tcBorders>
              <w:top w:val="nil"/>
              <w:left w:val="nil"/>
              <w:bottom w:val="nil"/>
              <w:right w:val="nil"/>
            </w:tcBorders>
            <w:shd w:val="clear" w:color="auto" w:fill="auto"/>
            <w:vAlign w:val="center"/>
            <w:hideMark/>
          </w:tcPr>
          <w:p w14:paraId="054094EE"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3</w:t>
            </w:r>
          </w:p>
        </w:tc>
        <w:tc>
          <w:tcPr>
            <w:tcW w:w="1204" w:type="dxa"/>
            <w:tcBorders>
              <w:top w:val="nil"/>
              <w:left w:val="nil"/>
              <w:bottom w:val="nil"/>
              <w:right w:val="nil"/>
            </w:tcBorders>
            <w:shd w:val="clear" w:color="auto" w:fill="auto"/>
            <w:vAlign w:val="center"/>
            <w:hideMark/>
          </w:tcPr>
          <w:p w14:paraId="199E18CC"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4.6</w:t>
            </w:r>
          </w:p>
        </w:tc>
        <w:tc>
          <w:tcPr>
            <w:tcW w:w="1420" w:type="dxa"/>
            <w:tcBorders>
              <w:top w:val="nil"/>
              <w:left w:val="nil"/>
              <w:bottom w:val="nil"/>
              <w:right w:val="nil"/>
            </w:tcBorders>
            <w:shd w:val="clear" w:color="auto" w:fill="auto"/>
            <w:noWrap/>
            <w:vAlign w:val="center"/>
            <w:hideMark/>
          </w:tcPr>
          <w:p w14:paraId="612A15A3"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8.1</w:t>
            </w:r>
          </w:p>
        </w:tc>
        <w:tc>
          <w:tcPr>
            <w:tcW w:w="2366" w:type="dxa"/>
            <w:tcBorders>
              <w:top w:val="nil"/>
              <w:left w:val="nil"/>
              <w:bottom w:val="nil"/>
              <w:right w:val="nil"/>
            </w:tcBorders>
            <w:shd w:val="clear" w:color="auto" w:fill="auto"/>
            <w:noWrap/>
            <w:vAlign w:val="center"/>
            <w:hideMark/>
          </w:tcPr>
          <w:p w14:paraId="268CEBA7"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0.5 (0.1-1.6)</w:t>
            </w:r>
          </w:p>
        </w:tc>
      </w:tr>
      <w:tr w:rsidR="00D42724" w:rsidRPr="00D42724" w14:paraId="570BF4DD" w14:textId="77777777" w:rsidTr="00EC3522">
        <w:trPr>
          <w:trHeight w:val="300"/>
        </w:trPr>
        <w:tc>
          <w:tcPr>
            <w:tcW w:w="1780" w:type="dxa"/>
            <w:tcBorders>
              <w:top w:val="nil"/>
              <w:left w:val="nil"/>
              <w:bottom w:val="nil"/>
              <w:right w:val="single" w:sz="8" w:space="0" w:color="auto"/>
            </w:tcBorders>
            <w:shd w:val="clear" w:color="auto" w:fill="auto"/>
            <w:noWrap/>
            <w:vAlign w:val="center"/>
            <w:hideMark/>
          </w:tcPr>
          <w:p w14:paraId="376EF09E"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Prostate</w:t>
            </w:r>
            <w:r w:rsidRPr="00D42724">
              <w:rPr>
                <w:rFonts w:ascii="Verdana" w:eastAsia="Times New Roman" w:hAnsi="Verdana" w:cs="Calibri"/>
                <w:color w:val="000000"/>
                <w:sz w:val="20"/>
                <w:szCs w:val="20"/>
                <w:vertAlign w:val="superscript"/>
                <w:lang w:val="en-US" w:eastAsia="nl-NL"/>
              </w:rPr>
              <w:t>$</w:t>
            </w:r>
          </w:p>
        </w:tc>
        <w:tc>
          <w:tcPr>
            <w:tcW w:w="1204" w:type="dxa"/>
            <w:tcBorders>
              <w:top w:val="nil"/>
              <w:left w:val="nil"/>
              <w:bottom w:val="nil"/>
              <w:right w:val="nil"/>
            </w:tcBorders>
            <w:shd w:val="clear" w:color="auto" w:fill="auto"/>
            <w:vAlign w:val="center"/>
            <w:hideMark/>
          </w:tcPr>
          <w:p w14:paraId="3611BD9B"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w:t>
            </w:r>
          </w:p>
        </w:tc>
        <w:tc>
          <w:tcPr>
            <w:tcW w:w="1204" w:type="dxa"/>
            <w:tcBorders>
              <w:top w:val="nil"/>
              <w:left w:val="nil"/>
              <w:bottom w:val="nil"/>
              <w:right w:val="nil"/>
            </w:tcBorders>
            <w:shd w:val="clear" w:color="auto" w:fill="auto"/>
            <w:vAlign w:val="center"/>
            <w:hideMark/>
          </w:tcPr>
          <w:p w14:paraId="61A3C5D6"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0.9</w:t>
            </w:r>
          </w:p>
        </w:tc>
        <w:tc>
          <w:tcPr>
            <w:tcW w:w="1420" w:type="dxa"/>
            <w:tcBorders>
              <w:top w:val="nil"/>
              <w:left w:val="nil"/>
              <w:bottom w:val="nil"/>
              <w:right w:val="nil"/>
            </w:tcBorders>
            <w:shd w:val="clear" w:color="auto" w:fill="auto"/>
            <w:noWrap/>
            <w:vAlign w:val="center"/>
            <w:hideMark/>
          </w:tcPr>
          <w:p w14:paraId="62E99D79"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4</w:t>
            </w:r>
          </w:p>
        </w:tc>
        <w:tc>
          <w:tcPr>
            <w:tcW w:w="2366" w:type="dxa"/>
            <w:tcBorders>
              <w:top w:val="nil"/>
              <w:left w:val="nil"/>
              <w:bottom w:val="nil"/>
              <w:right w:val="nil"/>
            </w:tcBorders>
            <w:shd w:val="clear" w:color="auto" w:fill="auto"/>
            <w:noWrap/>
            <w:vAlign w:val="center"/>
            <w:hideMark/>
          </w:tcPr>
          <w:p w14:paraId="374B1907"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0.2 (0.005-1.2)</w:t>
            </w:r>
          </w:p>
        </w:tc>
      </w:tr>
      <w:tr w:rsidR="00D42724" w:rsidRPr="00D42724" w14:paraId="5E6F2CF8" w14:textId="77777777" w:rsidTr="00EC3522">
        <w:trPr>
          <w:trHeight w:val="255"/>
        </w:trPr>
        <w:tc>
          <w:tcPr>
            <w:tcW w:w="1780" w:type="dxa"/>
            <w:tcBorders>
              <w:top w:val="nil"/>
              <w:left w:val="nil"/>
              <w:bottom w:val="nil"/>
              <w:right w:val="single" w:sz="8" w:space="0" w:color="auto"/>
            </w:tcBorders>
            <w:shd w:val="clear" w:color="auto" w:fill="auto"/>
            <w:noWrap/>
            <w:vAlign w:val="center"/>
            <w:hideMark/>
          </w:tcPr>
          <w:p w14:paraId="00BD9B87"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proofErr w:type="spellStart"/>
            <w:r w:rsidRPr="00D42724">
              <w:rPr>
                <w:rFonts w:ascii="Verdana" w:eastAsia="Times New Roman" w:hAnsi="Verdana" w:cs="Calibri"/>
                <w:color w:val="000000"/>
                <w:sz w:val="20"/>
                <w:szCs w:val="20"/>
                <w:lang w:val="en-US" w:eastAsia="nl-NL"/>
              </w:rPr>
              <w:t>Oesophagus</w:t>
            </w:r>
            <w:proofErr w:type="spellEnd"/>
            <w:r w:rsidRPr="00D42724">
              <w:rPr>
                <w:rFonts w:ascii="Verdana" w:eastAsia="Times New Roman" w:hAnsi="Verdana" w:cs="Calibri"/>
                <w:color w:val="000000"/>
                <w:sz w:val="20"/>
                <w:szCs w:val="20"/>
                <w:lang w:val="en-US" w:eastAsia="nl-NL"/>
              </w:rPr>
              <w:t xml:space="preserve"> </w:t>
            </w:r>
          </w:p>
        </w:tc>
        <w:tc>
          <w:tcPr>
            <w:tcW w:w="1204" w:type="dxa"/>
            <w:tcBorders>
              <w:top w:val="nil"/>
              <w:left w:val="nil"/>
              <w:bottom w:val="nil"/>
              <w:right w:val="nil"/>
            </w:tcBorders>
            <w:shd w:val="clear" w:color="auto" w:fill="auto"/>
            <w:vAlign w:val="center"/>
            <w:hideMark/>
          </w:tcPr>
          <w:p w14:paraId="05044A56"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w:t>
            </w:r>
          </w:p>
        </w:tc>
        <w:tc>
          <w:tcPr>
            <w:tcW w:w="1204" w:type="dxa"/>
            <w:tcBorders>
              <w:top w:val="nil"/>
              <w:left w:val="nil"/>
              <w:bottom w:val="nil"/>
              <w:right w:val="nil"/>
            </w:tcBorders>
            <w:shd w:val="clear" w:color="auto" w:fill="auto"/>
            <w:vAlign w:val="center"/>
            <w:hideMark/>
          </w:tcPr>
          <w:p w14:paraId="10A472E1"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0.6</w:t>
            </w:r>
          </w:p>
        </w:tc>
        <w:tc>
          <w:tcPr>
            <w:tcW w:w="1420" w:type="dxa"/>
            <w:tcBorders>
              <w:top w:val="nil"/>
              <w:left w:val="nil"/>
              <w:bottom w:val="nil"/>
              <w:right w:val="nil"/>
            </w:tcBorders>
            <w:shd w:val="clear" w:color="auto" w:fill="auto"/>
            <w:noWrap/>
            <w:vAlign w:val="center"/>
            <w:hideMark/>
          </w:tcPr>
          <w:p w14:paraId="0FD7D21A"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0.5</w:t>
            </w:r>
          </w:p>
        </w:tc>
        <w:tc>
          <w:tcPr>
            <w:tcW w:w="2366" w:type="dxa"/>
            <w:tcBorders>
              <w:top w:val="nil"/>
              <w:left w:val="nil"/>
              <w:bottom w:val="nil"/>
              <w:right w:val="nil"/>
            </w:tcBorders>
            <w:shd w:val="clear" w:color="auto" w:fill="auto"/>
            <w:noWrap/>
            <w:vAlign w:val="center"/>
            <w:hideMark/>
          </w:tcPr>
          <w:p w14:paraId="65A3F808"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1.1 (0.02-6.4)</w:t>
            </w:r>
          </w:p>
        </w:tc>
      </w:tr>
      <w:tr w:rsidR="00D42724" w:rsidRPr="00D42724" w14:paraId="02492A79" w14:textId="77777777" w:rsidTr="00EC3522">
        <w:trPr>
          <w:trHeight w:val="300"/>
        </w:trPr>
        <w:tc>
          <w:tcPr>
            <w:tcW w:w="1780" w:type="dxa"/>
            <w:tcBorders>
              <w:top w:val="nil"/>
              <w:left w:val="nil"/>
              <w:bottom w:val="nil"/>
              <w:right w:val="single" w:sz="8" w:space="0" w:color="auto"/>
            </w:tcBorders>
            <w:shd w:val="clear" w:color="auto" w:fill="auto"/>
            <w:noWrap/>
            <w:vAlign w:val="center"/>
            <w:hideMark/>
          </w:tcPr>
          <w:p w14:paraId="6A1CFEE2"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Lymphoma</w:t>
            </w:r>
            <w:r w:rsidRPr="00D42724">
              <w:rPr>
                <w:rFonts w:ascii="Verdana" w:eastAsia="Times New Roman" w:hAnsi="Verdana" w:cs="Calibri"/>
                <w:color w:val="000000"/>
                <w:sz w:val="20"/>
                <w:szCs w:val="20"/>
                <w:vertAlign w:val="superscript"/>
                <w:lang w:val="en-US" w:eastAsia="nl-NL"/>
              </w:rPr>
              <w:t>¥</w:t>
            </w:r>
          </w:p>
        </w:tc>
        <w:tc>
          <w:tcPr>
            <w:tcW w:w="1204" w:type="dxa"/>
            <w:tcBorders>
              <w:top w:val="nil"/>
              <w:left w:val="nil"/>
              <w:bottom w:val="nil"/>
              <w:right w:val="nil"/>
            </w:tcBorders>
            <w:shd w:val="clear" w:color="auto" w:fill="auto"/>
            <w:vAlign w:val="center"/>
            <w:hideMark/>
          </w:tcPr>
          <w:p w14:paraId="756B074E"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w:t>
            </w:r>
          </w:p>
        </w:tc>
        <w:tc>
          <w:tcPr>
            <w:tcW w:w="1204" w:type="dxa"/>
            <w:tcBorders>
              <w:top w:val="nil"/>
              <w:left w:val="nil"/>
              <w:bottom w:val="nil"/>
              <w:right w:val="nil"/>
            </w:tcBorders>
            <w:shd w:val="clear" w:color="auto" w:fill="auto"/>
            <w:vAlign w:val="center"/>
            <w:hideMark/>
          </w:tcPr>
          <w:p w14:paraId="2604280F"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0.6</w:t>
            </w:r>
          </w:p>
        </w:tc>
        <w:tc>
          <w:tcPr>
            <w:tcW w:w="1420" w:type="dxa"/>
            <w:tcBorders>
              <w:top w:val="nil"/>
              <w:left w:val="nil"/>
              <w:bottom w:val="nil"/>
              <w:right w:val="nil"/>
            </w:tcBorders>
            <w:shd w:val="clear" w:color="auto" w:fill="auto"/>
            <w:noWrap/>
            <w:vAlign w:val="center"/>
            <w:hideMark/>
          </w:tcPr>
          <w:p w14:paraId="08819082"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0.3</w:t>
            </w:r>
          </w:p>
        </w:tc>
        <w:tc>
          <w:tcPr>
            <w:tcW w:w="2366" w:type="dxa"/>
            <w:tcBorders>
              <w:top w:val="nil"/>
              <w:left w:val="nil"/>
              <w:bottom w:val="nil"/>
              <w:right w:val="nil"/>
            </w:tcBorders>
            <w:shd w:val="clear" w:color="auto" w:fill="auto"/>
            <w:noWrap/>
            <w:vAlign w:val="center"/>
            <w:hideMark/>
          </w:tcPr>
          <w:p w14:paraId="6D918285"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1.7 (0.03-9.3)</w:t>
            </w:r>
          </w:p>
        </w:tc>
      </w:tr>
      <w:tr w:rsidR="00D42724" w:rsidRPr="00D42724" w14:paraId="1C05E25B" w14:textId="77777777" w:rsidTr="00EC3522">
        <w:trPr>
          <w:trHeight w:val="255"/>
        </w:trPr>
        <w:tc>
          <w:tcPr>
            <w:tcW w:w="1780" w:type="dxa"/>
            <w:tcBorders>
              <w:top w:val="nil"/>
              <w:left w:val="nil"/>
              <w:bottom w:val="nil"/>
              <w:right w:val="single" w:sz="8" w:space="0" w:color="auto"/>
            </w:tcBorders>
            <w:shd w:val="clear" w:color="auto" w:fill="auto"/>
            <w:noWrap/>
            <w:vAlign w:val="center"/>
            <w:hideMark/>
          </w:tcPr>
          <w:p w14:paraId="4BEF04B3" w14:textId="77777777" w:rsidR="00D42724" w:rsidRPr="00D42724" w:rsidRDefault="00D42724" w:rsidP="00D42724">
            <w:pPr>
              <w:spacing w:after="0" w:line="240" w:lineRule="auto"/>
              <w:jc w:val="right"/>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Unknown primary</w:t>
            </w:r>
          </w:p>
        </w:tc>
        <w:tc>
          <w:tcPr>
            <w:tcW w:w="1204" w:type="dxa"/>
            <w:tcBorders>
              <w:top w:val="nil"/>
              <w:left w:val="nil"/>
              <w:bottom w:val="nil"/>
              <w:right w:val="nil"/>
            </w:tcBorders>
            <w:shd w:val="clear" w:color="auto" w:fill="auto"/>
            <w:vAlign w:val="center"/>
            <w:hideMark/>
          </w:tcPr>
          <w:p w14:paraId="2B942F55"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1</w:t>
            </w:r>
          </w:p>
        </w:tc>
        <w:tc>
          <w:tcPr>
            <w:tcW w:w="1204" w:type="dxa"/>
            <w:tcBorders>
              <w:top w:val="nil"/>
              <w:left w:val="nil"/>
              <w:bottom w:val="nil"/>
              <w:right w:val="nil"/>
            </w:tcBorders>
            <w:shd w:val="clear" w:color="auto" w:fill="auto"/>
            <w:vAlign w:val="center"/>
            <w:hideMark/>
          </w:tcPr>
          <w:p w14:paraId="6EE8945C"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0.6</w:t>
            </w:r>
          </w:p>
        </w:tc>
        <w:tc>
          <w:tcPr>
            <w:tcW w:w="1420" w:type="dxa"/>
            <w:tcBorders>
              <w:top w:val="nil"/>
              <w:left w:val="nil"/>
              <w:bottom w:val="nil"/>
              <w:right w:val="nil"/>
            </w:tcBorders>
            <w:shd w:val="clear" w:color="auto" w:fill="auto"/>
            <w:noWrap/>
            <w:vAlign w:val="center"/>
            <w:hideMark/>
          </w:tcPr>
          <w:p w14:paraId="6B908E5F"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0.1</w:t>
            </w:r>
          </w:p>
        </w:tc>
        <w:tc>
          <w:tcPr>
            <w:tcW w:w="2366" w:type="dxa"/>
            <w:tcBorders>
              <w:top w:val="nil"/>
              <w:left w:val="nil"/>
              <w:bottom w:val="nil"/>
              <w:right w:val="nil"/>
            </w:tcBorders>
            <w:shd w:val="clear" w:color="auto" w:fill="auto"/>
            <w:noWrap/>
            <w:vAlign w:val="center"/>
            <w:hideMark/>
          </w:tcPr>
          <w:p w14:paraId="23B2C395" w14:textId="77777777" w:rsidR="00D42724" w:rsidRPr="00D42724" w:rsidRDefault="00D42724" w:rsidP="00D42724">
            <w:pPr>
              <w:spacing w:after="0" w:line="240" w:lineRule="auto"/>
              <w:jc w:val="center"/>
              <w:rPr>
                <w:rFonts w:ascii="Verdana" w:eastAsia="Times New Roman" w:hAnsi="Verdana" w:cs="Calibri"/>
                <w:color w:val="000000"/>
                <w:sz w:val="20"/>
                <w:szCs w:val="20"/>
                <w:lang w:val="nl-NL" w:eastAsia="nl-NL"/>
              </w:rPr>
            </w:pPr>
            <w:r w:rsidRPr="00D42724">
              <w:rPr>
                <w:rFonts w:ascii="Verdana" w:eastAsia="Times New Roman" w:hAnsi="Verdana" w:cs="Calibri"/>
                <w:color w:val="000000"/>
                <w:sz w:val="20"/>
                <w:szCs w:val="20"/>
                <w:lang w:val="en-US" w:eastAsia="nl-NL"/>
              </w:rPr>
              <w:t>3.9 (0.07-21.7)</w:t>
            </w:r>
          </w:p>
        </w:tc>
      </w:tr>
    </w:tbl>
    <w:p w14:paraId="23F0DF94" w14:textId="77777777" w:rsidR="00EC3522" w:rsidRDefault="00EC3522" w:rsidP="00EC3522">
      <w:pPr>
        <w:spacing w:line="360" w:lineRule="auto"/>
        <w:jc w:val="both"/>
        <w:rPr>
          <w:rFonts w:ascii="Verdana" w:hAnsi="Verdana"/>
          <w:b/>
          <w:sz w:val="20"/>
          <w:szCs w:val="20"/>
        </w:rPr>
      </w:pPr>
    </w:p>
    <w:p w14:paraId="3DDC607A" w14:textId="7F146300" w:rsidR="00776018" w:rsidRDefault="00EC3522" w:rsidP="00EC3522">
      <w:pPr>
        <w:spacing w:line="360" w:lineRule="auto"/>
        <w:jc w:val="both"/>
        <w:rPr>
          <w:rFonts w:ascii="Verdana" w:hAnsi="Verdana"/>
          <w:b/>
          <w:sz w:val="20"/>
          <w:szCs w:val="20"/>
        </w:rPr>
      </w:pPr>
      <w:r w:rsidRPr="00895791">
        <w:rPr>
          <w:rFonts w:ascii="Verdana" w:hAnsi="Verdana"/>
          <w:b/>
          <w:sz w:val="20"/>
          <w:szCs w:val="20"/>
        </w:rPr>
        <w:lastRenderedPageBreak/>
        <w:t xml:space="preserve">Table </w:t>
      </w:r>
      <w:r>
        <w:rPr>
          <w:rFonts w:ascii="Verdana" w:hAnsi="Verdana"/>
          <w:b/>
          <w:sz w:val="20"/>
          <w:szCs w:val="20"/>
        </w:rPr>
        <w:t>E</w:t>
      </w:r>
      <w:r w:rsidR="00E46225">
        <w:rPr>
          <w:rFonts w:ascii="Verdana" w:hAnsi="Verdana"/>
          <w:b/>
          <w:sz w:val="20"/>
          <w:szCs w:val="20"/>
        </w:rPr>
        <w:t>4</w:t>
      </w:r>
      <w:r>
        <w:rPr>
          <w:rFonts w:ascii="Verdana" w:hAnsi="Verdana"/>
          <w:b/>
          <w:sz w:val="20"/>
          <w:szCs w:val="20"/>
        </w:rPr>
        <w:t>.</w:t>
      </w:r>
      <w:r w:rsidRPr="00895791">
        <w:rPr>
          <w:rFonts w:ascii="Verdana" w:hAnsi="Verdana"/>
          <w:b/>
          <w:sz w:val="20"/>
          <w:szCs w:val="20"/>
        </w:rPr>
        <w:t xml:space="preserve"> Characteristics of patients with PF as major TBD manifestation with a rare TRG-variant and cancer </w:t>
      </w:r>
    </w:p>
    <w:tbl>
      <w:tblPr>
        <w:tblpPr w:leftFromText="141" w:rightFromText="141" w:vertAnchor="text" w:horzAnchor="margin" w:tblpXSpec="center" w:tblpY="-78"/>
        <w:tblW w:w="10679" w:type="dxa"/>
        <w:tblCellMar>
          <w:left w:w="70" w:type="dxa"/>
          <w:right w:w="70" w:type="dxa"/>
        </w:tblCellMar>
        <w:tblLook w:val="04A0" w:firstRow="1" w:lastRow="0" w:firstColumn="1" w:lastColumn="0" w:noHBand="0" w:noVBand="1"/>
      </w:tblPr>
      <w:tblGrid>
        <w:gridCol w:w="947"/>
        <w:gridCol w:w="883"/>
        <w:gridCol w:w="549"/>
        <w:gridCol w:w="969"/>
        <w:gridCol w:w="704"/>
        <w:gridCol w:w="568"/>
        <w:gridCol w:w="1108"/>
        <w:gridCol w:w="1028"/>
        <w:gridCol w:w="1638"/>
        <w:gridCol w:w="1093"/>
        <w:gridCol w:w="1192"/>
      </w:tblGrid>
      <w:tr w:rsidR="00375083" w:rsidRPr="00895791" w14:paraId="565DF1F0" w14:textId="77777777" w:rsidTr="00375083">
        <w:trPr>
          <w:trHeight w:val="709"/>
        </w:trPr>
        <w:tc>
          <w:tcPr>
            <w:tcW w:w="947" w:type="dxa"/>
            <w:tcBorders>
              <w:top w:val="nil"/>
              <w:left w:val="nil"/>
              <w:bottom w:val="single" w:sz="4" w:space="0" w:color="auto"/>
              <w:right w:val="single" w:sz="4" w:space="0" w:color="auto"/>
            </w:tcBorders>
            <w:shd w:val="clear" w:color="auto" w:fill="auto"/>
            <w:vAlign w:val="bottom"/>
            <w:hideMark/>
          </w:tcPr>
          <w:p w14:paraId="3B8C17AC"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hAnsi="Verdana"/>
                <w:b/>
                <w:sz w:val="20"/>
                <w:szCs w:val="20"/>
              </w:rPr>
              <w:br w:type="page"/>
            </w:r>
            <w:r w:rsidRPr="00895791">
              <w:rPr>
                <w:rFonts w:ascii="Verdana" w:eastAsia="Times New Roman" w:hAnsi="Verdana" w:cs="Calibri"/>
                <w:b/>
                <w:color w:val="000000"/>
                <w:sz w:val="20"/>
                <w:szCs w:val="20"/>
                <w:lang w:eastAsia="nl-NL"/>
              </w:rPr>
              <w:t>Patient #</w:t>
            </w:r>
          </w:p>
        </w:tc>
        <w:tc>
          <w:tcPr>
            <w:tcW w:w="883" w:type="dxa"/>
            <w:tcBorders>
              <w:top w:val="nil"/>
              <w:left w:val="nil"/>
              <w:bottom w:val="single" w:sz="4" w:space="0" w:color="auto"/>
              <w:right w:val="nil"/>
            </w:tcBorders>
            <w:shd w:val="clear" w:color="auto" w:fill="auto"/>
            <w:vAlign w:val="bottom"/>
            <w:hideMark/>
          </w:tcPr>
          <w:p w14:paraId="0874EB5E"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Family #</w:t>
            </w:r>
          </w:p>
        </w:tc>
        <w:tc>
          <w:tcPr>
            <w:tcW w:w="549" w:type="dxa"/>
            <w:tcBorders>
              <w:top w:val="nil"/>
              <w:left w:val="nil"/>
              <w:bottom w:val="single" w:sz="4" w:space="0" w:color="auto"/>
              <w:right w:val="nil"/>
            </w:tcBorders>
            <w:shd w:val="clear" w:color="auto" w:fill="auto"/>
            <w:vAlign w:val="bottom"/>
            <w:hideMark/>
          </w:tcPr>
          <w:p w14:paraId="08762C60"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Sex</w:t>
            </w:r>
          </w:p>
        </w:tc>
        <w:tc>
          <w:tcPr>
            <w:tcW w:w="969" w:type="dxa"/>
            <w:tcBorders>
              <w:top w:val="nil"/>
              <w:left w:val="nil"/>
              <w:bottom w:val="single" w:sz="4" w:space="0" w:color="auto"/>
              <w:right w:val="nil"/>
            </w:tcBorders>
            <w:shd w:val="clear" w:color="auto" w:fill="auto"/>
            <w:vAlign w:val="bottom"/>
            <w:hideMark/>
          </w:tcPr>
          <w:p w14:paraId="38910D55"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Cancer type</w:t>
            </w:r>
          </w:p>
        </w:tc>
        <w:tc>
          <w:tcPr>
            <w:tcW w:w="704" w:type="dxa"/>
            <w:tcBorders>
              <w:top w:val="nil"/>
              <w:left w:val="nil"/>
              <w:bottom w:val="single" w:sz="4" w:space="0" w:color="auto"/>
              <w:right w:val="nil"/>
            </w:tcBorders>
            <w:shd w:val="clear" w:color="auto" w:fill="auto"/>
            <w:vAlign w:val="bottom"/>
            <w:hideMark/>
          </w:tcPr>
          <w:p w14:paraId="2FB94109"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PF dx</w:t>
            </w:r>
          </w:p>
        </w:tc>
        <w:tc>
          <w:tcPr>
            <w:tcW w:w="568" w:type="dxa"/>
            <w:tcBorders>
              <w:top w:val="nil"/>
              <w:left w:val="nil"/>
              <w:bottom w:val="single" w:sz="4" w:space="0" w:color="auto"/>
              <w:right w:val="nil"/>
            </w:tcBorders>
            <w:shd w:val="clear" w:color="auto" w:fill="auto"/>
            <w:vAlign w:val="bottom"/>
            <w:hideMark/>
          </w:tcPr>
          <w:p w14:paraId="7100B0DC"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Age dx PF</w:t>
            </w:r>
          </w:p>
        </w:tc>
        <w:tc>
          <w:tcPr>
            <w:tcW w:w="1108" w:type="dxa"/>
            <w:tcBorders>
              <w:top w:val="nil"/>
              <w:left w:val="nil"/>
              <w:bottom w:val="single" w:sz="4" w:space="0" w:color="auto"/>
              <w:right w:val="nil"/>
            </w:tcBorders>
            <w:shd w:val="clear" w:color="auto" w:fill="auto"/>
            <w:vAlign w:val="bottom"/>
            <w:hideMark/>
          </w:tcPr>
          <w:p w14:paraId="428DE9C6"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Time (y) between PF and Ca dx</w:t>
            </w:r>
          </w:p>
        </w:tc>
        <w:tc>
          <w:tcPr>
            <w:tcW w:w="1028" w:type="dxa"/>
            <w:tcBorders>
              <w:top w:val="nil"/>
              <w:left w:val="nil"/>
              <w:bottom w:val="single" w:sz="4" w:space="0" w:color="auto"/>
              <w:right w:val="nil"/>
            </w:tcBorders>
            <w:shd w:val="clear" w:color="auto" w:fill="auto"/>
            <w:vAlign w:val="bottom"/>
            <w:hideMark/>
          </w:tcPr>
          <w:p w14:paraId="594E2286"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Gene</w:t>
            </w:r>
          </w:p>
        </w:tc>
        <w:tc>
          <w:tcPr>
            <w:tcW w:w="1638" w:type="dxa"/>
            <w:tcBorders>
              <w:top w:val="nil"/>
              <w:left w:val="nil"/>
              <w:bottom w:val="single" w:sz="4" w:space="0" w:color="auto"/>
              <w:right w:val="nil"/>
            </w:tcBorders>
            <w:shd w:val="clear" w:color="auto" w:fill="auto"/>
            <w:vAlign w:val="bottom"/>
            <w:hideMark/>
          </w:tcPr>
          <w:p w14:paraId="258F6777"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ACMG/AMP classification</w:t>
            </w:r>
          </w:p>
        </w:tc>
        <w:tc>
          <w:tcPr>
            <w:tcW w:w="1093" w:type="dxa"/>
            <w:tcBorders>
              <w:top w:val="nil"/>
              <w:left w:val="nil"/>
              <w:bottom w:val="single" w:sz="4" w:space="0" w:color="auto"/>
              <w:right w:val="nil"/>
            </w:tcBorders>
            <w:shd w:val="clear" w:color="auto" w:fill="auto"/>
            <w:vAlign w:val="bottom"/>
            <w:hideMark/>
          </w:tcPr>
          <w:p w14:paraId="09811295"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History of smoking</w:t>
            </w:r>
          </w:p>
        </w:tc>
        <w:tc>
          <w:tcPr>
            <w:tcW w:w="1192" w:type="dxa"/>
            <w:tcBorders>
              <w:top w:val="nil"/>
              <w:left w:val="nil"/>
              <w:bottom w:val="single" w:sz="4" w:space="0" w:color="auto"/>
              <w:right w:val="nil"/>
            </w:tcBorders>
            <w:shd w:val="clear" w:color="auto" w:fill="auto"/>
            <w:vAlign w:val="bottom"/>
            <w:hideMark/>
          </w:tcPr>
          <w:p w14:paraId="37B28325" w14:textId="77777777" w:rsidR="00375083" w:rsidRPr="00895791" w:rsidRDefault="00375083" w:rsidP="00375083">
            <w:pPr>
              <w:spacing w:after="0" w:line="240" w:lineRule="auto"/>
              <w:jc w:val="center"/>
              <w:rPr>
                <w:rFonts w:ascii="Verdana" w:eastAsia="Times New Roman" w:hAnsi="Verdana" w:cs="Calibri"/>
                <w:b/>
                <w:color w:val="000000"/>
                <w:sz w:val="20"/>
                <w:szCs w:val="20"/>
                <w:lang w:eastAsia="nl-NL"/>
              </w:rPr>
            </w:pPr>
            <w:r w:rsidRPr="00895791">
              <w:rPr>
                <w:rFonts w:ascii="Verdana" w:eastAsia="Times New Roman" w:hAnsi="Verdana" w:cs="Calibri"/>
                <w:b/>
                <w:color w:val="000000"/>
                <w:sz w:val="20"/>
                <w:szCs w:val="20"/>
                <w:lang w:eastAsia="nl-NL"/>
              </w:rPr>
              <w:t>Telomere length</w:t>
            </w:r>
          </w:p>
        </w:tc>
      </w:tr>
      <w:tr w:rsidR="00375083" w:rsidRPr="00895791" w14:paraId="5AF9A192"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6D1779AC"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w:t>
            </w:r>
          </w:p>
        </w:tc>
        <w:tc>
          <w:tcPr>
            <w:tcW w:w="883" w:type="dxa"/>
            <w:tcBorders>
              <w:top w:val="nil"/>
              <w:left w:val="nil"/>
              <w:bottom w:val="nil"/>
              <w:right w:val="nil"/>
            </w:tcBorders>
            <w:shd w:val="clear" w:color="auto" w:fill="auto"/>
            <w:vAlign w:val="center"/>
            <w:hideMark/>
          </w:tcPr>
          <w:p w14:paraId="38A3B47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94</w:t>
            </w:r>
          </w:p>
        </w:tc>
        <w:tc>
          <w:tcPr>
            <w:tcW w:w="549" w:type="dxa"/>
            <w:tcBorders>
              <w:top w:val="nil"/>
              <w:left w:val="nil"/>
              <w:bottom w:val="nil"/>
              <w:right w:val="nil"/>
            </w:tcBorders>
            <w:shd w:val="clear" w:color="auto" w:fill="auto"/>
            <w:vAlign w:val="center"/>
            <w:hideMark/>
          </w:tcPr>
          <w:p w14:paraId="7B502D1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4DDF046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Lung</w:t>
            </w:r>
          </w:p>
        </w:tc>
        <w:tc>
          <w:tcPr>
            <w:tcW w:w="704" w:type="dxa"/>
            <w:tcBorders>
              <w:top w:val="nil"/>
              <w:left w:val="nil"/>
              <w:bottom w:val="nil"/>
              <w:right w:val="nil"/>
            </w:tcBorders>
            <w:shd w:val="clear" w:color="auto" w:fill="auto"/>
            <w:vAlign w:val="center"/>
            <w:hideMark/>
          </w:tcPr>
          <w:p w14:paraId="7FB9BC9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1385A5E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58</w:t>
            </w:r>
          </w:p>
        </w:tc>
        <w:tc>
          <w:tcPr>
            <w:tcW w:w="1108" w:type="dxa"/>
            <w:tcBorders>
              <w:top w:val="nil"/>
              <w:left w:val="nil"/>
              <w:bottom w:val="nil"/>
              <w:right w:val="nil"/>
            </w:tcBorders>
            <w:shd w:val="clear" w:color="auto" w:fill="auto"/>
            <w:vAlign w:val="center"/>
            <w:hideMark/>
          </w:tcPr>
          <w:p w14:paraId="093A8B3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1.3</w:t>
            </w:r>
          </w:p>
        </w:tc>
        <w:tc>
          <w:tcPr>
            <w:tcW w:w="1028" w:type="dxa"/>
            <w:tcBorders>
              <w:top w:val="nil"/>
              <w:left w:val="nil"/>
              <w:bottom w:val="nil"/>
              <w:right w:val="nil"/>
            </w:tcBorders>
            <w:shd w:val="clear" w:color="auto" w:fill="auto"/>
            <w:vAlign w:val="center"/>
            <w:hideMark/>
          </w:tcPr>
          <w:p w14:paraId="25FBF0A9"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PARN</w:t>
            </w:r>
          </w:p>
        </w:tc>
        <w:tc>
          <w:tcPr>
            <w:tcW w:w="1638" w:type="dxa"/>
            <w:tcBorders>
              <w:top w:val="nil"/>
              <w:left w:val="nil"/>
              <w:bottom w:val="nil"/>
              <w:right w:val="nil"/>
            </w:tcBorders>
            <w:shd w:val="clear" w:color="auto" w:fill="auto"/>
            <w:vAlign w:val="center"/>
            <w:hideMark/>
          </w:tcPr>
          <w:p w14:paraId="4D4C4CE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032EF4A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3B6CE0D2"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p>
        </w:tc>
      </w:tr>
      <w:tr w:rsidR="00375083" w:rsidRPr="00895791" w14:paraId="402DF71F" w14:textId="77777777" w:rsidTr="00375083">
        <w:trPr>
          <w:trHeight w:val="345"/>
        </w:trPr>
        <w:tc>
          <w:tcPr>
            <w:tcW w:w="947" w:type="dxa"/>
            <w:tcBorders>
              <w:top w:val="nil"/>
              <w:left w:val="nil"/>
              <w:bottom w:val="nil"/>
              <w:right w:val="single" w:sz="4" w:space="0" w:color="auto"/>
            </w:tcBorders>
            <w:shd w:val="clear" w:color="auto" w:fill="auto"/>
            <w:vAlign w:val="center"/>
          </w:tcPr>
          <w:p w14:paraId="35B8413F"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2</w:t>
            </w:r>
          </w:p>
        </w:tc>
        <w:tc>
          <w:tcPr>
            <w:tcW w:w="883" w:type="dxa"/>
            <w:tcBorders>
              <w:top w:val="nil"/>
              <w:left w:val="nil"/>
              <w:bottom w:val="nil"/>
              <w:right w:val="nil"/>
            </w:tcBorders>
            <w:shd w:val="clear" w:color="auto" w:fill="auto"/>
            <w:vAlign w:val="center"/>
          </w:tcPr>
          <w:p w14:paraId="78ABD43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68</w:t>
            </w:r>
          </w:p>
        </w:tc>
        <w:tc>
          <w:tcPr>
            <w:tcW w:w="549" w:type="dxa"/>
            <w:tcBorders>
              <w:top w:val="nil"/>
              <w:left w:val="nil"/>
              <w:bottom w:val="nil"/>
              <w:right w:val="nil"/>
            </w:tcBorders>
            <w:shd w:val="clear" w:color="auto" w:fill="auto"/>
            <w:vAlign w:val="center"/>
          </w:tcPr>
          <w:p w14:paraId="72FA3DD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tcPr>
          <w:p w14:paraId="0524447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Lung</w:t>
            </w:r>
          </w:p>
        </w:tc>
        <w:tc>
          <w:tcPr>
            <w:tcW w:w="704" w:type="dxa"/>
            <w:tcBorders>
              <w:top w:val="nil"/>
              <w:left w:val="nil"/>
              <w:bottom w:val="nil"/>
              <w:right w:val="nil"/>
            </w:tcBorders>
            <w:shd w:val="clear" w:color="auto" w:fill="auto"/>
            <w:vAlign w:val="center"/>
          </w:tcPr>
          <w:p w14:paraId="5B645D5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tcPr>
          <w:p w14:paraId="345D4B4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61</w:t>
            </w:r>
          </w:p>
        </w:tc>
        <w:tc>
          <w:tcPr>
            <w:tcW w:w="1108" w:type="dxa"/>
            <w:tcBorders>
              <w:top w:val="nil"/>
              <w:left w:val="nil"/>
              <w:bottom w:val="nil"/>
              <w:right w:val="nil"/>
            </w:tcBorders>
            <w:shd w:val="clear" w:color="auto" w:fill="auto"/>
            <w:vAlign w:val="center"/>
          </w:tcPr>
          <w:p w14:paraId="7A1D2AD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0.0</w:t>
            </w:r>
          </w:p>
        </w:tc>
        <w:tc>
          <w:tcPr>
            <w:tcW w:w="1028" w:type="dxa"/>
            <w:tcBorders>
              <w:top w:val="nil"/>
              <w:left w:val="nil"/>
              <w:bottom w:val="nil"/>
              <w:right w:val="nil"/>
            </w:tcBorders>
            <w:shd w:val="clear" w:color="auto" w:fill="auto"/>
            <w:vAlign w:val="center"/>
          </w:tcPr>
          <w:p w14:paraId="4C00A031"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RTEL1</w:t>
            </w:r>
          </w:p>
        </w:tc>
        <w:tc>
          <w:tcPr>
            <w:tcW w:w="1638" w:type="dxa"/>
            <w:tcBorders>
              <w:top w:val="nil"/>
              <w:left w:val="nil"/>
              <w:bottom w:val="nil"/>
              <w:right w:val="nil"/>
            </w:tcBorders>
            <w:shd w:val="clear" w:color="auto" w:fill="auto"/>
            <w:vAlign w:val="center"/>
          </w:tcPr>
          <w:p w14:paraId="4F0E52D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VUS</w:t>
            </w:r>
          </w:p>
        </w:tc>
        <w:tc>
          <w:tcPr>
            <w:tcW w:w="1093" w:type="dxa"/>
            <w:tcBorders>
              <w:top w:val="nil"/>
              <w:left w:val="nil"/>
              <w:bottom w:val="nil"/>
              <w:right w:val="nil"/>
            </w:tcBorders>
            <w:shd w:val="clear" w:color="auto" w:fill="auto"/>
            <w:vAlign w:val="center"/>
          </w:tcPr>
          <w:p w14:paraId="738CD02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tcPr>
          <w:p w14:paraId="7C1B58E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 xml:space="preserve"> &lt;1</w:t>
            </w:r>
            <w:r w:rsidRPr="00895791">
              <w:rPr>
                <w:rFonts w:ascii="Verdana" w:eastAsia="Times New Roman" w:hAnsi="Verdana" w:cs="Calibri"/>
                <w:color w:val="000000"/>
                <w:sz w:val="20"/>
                <w:szCs w:val="20"/>
                <w:vertAlign w:val="superscript"/>
                <w:lang w:eastAsia="nl-NL"/>
              </w:rPr>
              <w:t>st</w:t>
            </w:r>
          </w:p>
        </w:tc>
      </w:tr>
      <w:tr w:rsidR="00375083" w:rsidRPr="00895791" w14:paraId="243A9196" w14:textId="77777777" w:rsidTr="00375083">
        <w:trPr>
          <w:trHeight w:val="345"/>
        </w:trPr>
        <w:tc>
          <w:tcPr>
            <w:tcW w:w="947" w:type="dxa"/>
            <w:tcBorders>
              <w:top w:val="nil"/>
              <w:left w:val="nil"/>
              <w:bottom w:val="nil"/>
              <w:right w:val="single" w:sz="4" w:space="0" w:color="auto"/>
            </w:tcBorders>
            <w:shd w:val="clear" w:color="auto" w:fill="auto"/>
            <w:vAlign w:val="center"/>
          </w:tcPr>
          <w:p w14:paraId="3E6E4770"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3</w:t>
            </w:r>
          </w:p>
        </w:tc>
        <w:tc>
          <w:tcPr>
            <w:tcW w:w="883" w:type="dxa"/>
            <w:tcBorders>
              <w:top w:val="nil"/>
              <w:left w:val="nil"/>
              <w:bottom w:val="nil"/>
              <w:right w:val="nil"/>
            </w:tcBorders>
            <w:shd w:val="clear" w:color="auto" w:fill="auto"/>
            <w:vAlign w:val="center"/>
          </w:tcPr>
          <w:p w14:paraId="27B7721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53</w:t>
            </w:r>
          </w:p>
        </w:tc>
        <w:tc>
          <w:tcPr>
            <w:tcW w:w="549" w:type="dxa"/>
            <w:tcBorders>
              <w:top w:val="nil"/>
              <w:left w:val="nil"/>
              <w:bottom w:val="nil"/>
              <w:right w:val="nil"/>
            </w:tcBorders>
            <w:shd w:val="clear" w:color="auto" w:fill="auto"/>
            <w:vAlign w:val="center"/>
          </w:tcPr>
          <w:p w14:paraId="43A0FDD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tcPr>
          <w:p w14:paraId="1236723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Lung</w:t>
            </w:r>
          </w:p>
        </w:tc>
        <w:tc>
          <w:tcPr>
            <w:tcW w:w="704" w:type="dxa"/>
            <w:tcBorders>
              <w:top w:val="nil"/>
              <w:left w:val="nil"/>
              <w:bottom w:val="nil"/>
              <w:right w:val="nil"/>
            </w:tcBorders>
            <w:shd w:val="clear" w:color="auto" w:fill="auto"/>
            <w:vAlign w:val="center"/>
          </w:tcPr>
          <w:p w14:paraId="4DC7F39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UCTD</w:t>
            </w:r>
          </w:p>
        </w:tc>
        <w:tc>
          <w:tcPr>
            <w:tcW w:w="568" w:type="dxa"/>
            <w:tcBorders>
              <w:top w:val="nil"/>
              <w:left w:val="nil"/>
              <w:bottom w:val="nil"/>
              <w:right w:val="nil"/>
            </w:tcBorders>
            <w:shd w:val="clear" w:color="auto" w:fill="auto"/>
            <w:vAlign w:val="center"/>
          </w:tcPr>
          <w:p w14:paraId="0AD95C6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62</w:t>
            </w:r>
          </w:p>
        </w:tc>
        <w:tc>
          <w:tcPr>
            <w:tcW w:w="1108" w:type="dxa"/>
            <w:tcBorders>
              <w:top w:val="nil"/>
              <w:left w:val="nil"/>
              <w:bottom w:val="nil"/>
              <w:right w:val="nil"/>
            </w:tcBorders>
            <w:shd w:val="clear" w:color="auto" w:fill="auto"/>
            <w:vAlign w:val="center"/>
          </w:tcPr>
          <w:p w14:paraId="4FBB704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w:t>
            </w:r>
          </w:p>
        </w:tc>
        <w:tc>
          <w:tcPr>
            <w:tcW w:w="1028" w:type="dxa"/>
            <w:tcBorders>
              <w:top w:val="nil"/>
              <w:left w:val="nil"/>
              <w:bottom w:val="nil"/>
              <w:right w:val="nil"/>
            </w:tcBorders>
            <w:shd w:val="clear" w:color="auto" w:fill="auto"/>
            <w:vAlign w:val="center"/>
          </w:tcPr>
          <w:p w14:paraId="64CF33D9"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RTEL1</w:t>
            </w:r>
          </w:p>
        </w:tc>
        <w:tc>
          <w:tcPr>
            <w:tcW w:w="1638" w:type="dxa"/>
            <w:tcBorders>
              <w:top w:val="nil"/>
              <w:left w:val="nil"/>
              <w:bottom w:val="nil"/>
              <w:right w:val="nil"/>
            </w:tcBorders>
            <w:shd w:val="clear" w:color="auto" w:fill="auto"/>
            <w:vAlign w:val="center"/>
          </w:tcPr>
          <w:p w14:paraId="7C0506C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VUS</w:t>
            </w:r>
          </w:p>
        </w:tc>
        <w:tc>
          <w:tcPr>
            <w:tcW w:w="1093" w:type="dxa"/>
            <w:tcBorders>
              <w:top w:val="nil"/>
              <w:left w:val="nil"/>
              <w:bottom w:val="nil"/>
              <w:right w:val="nil"/>
            </w:tcBorders>
            <w:shd w:val="clear" w:color="auto" w:fill="auto"/>
            <w:vAlign w:val="center"/>
          </w:tcPr>
          <w:p w14:paraId="67E24FF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tcPr>
          <w:p w14:paraId="7023B09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 xml:space="preserve"> &lt;1</w:t>
            </w:r>
            <w:r w:rsidRPr="00895791">
              <w:rPr>
                <w:rFonts w:ascii="Verdana" w:eastAsia="Times New Roman" w:hAnsi="Verdana" w:cs="Calibri"/>
                <w:color w:val="000000"/>
                <w:sz w:val="20"/>
                <w:szCs w:val="20"/>
                <w:vertAlign w:val="superscript"/>
                <w:lang w:eastAsia="nl-NL"/>
              </w:rPr>
              <w:t>st</w:t>
            </w:r>
          </w:p>
        </w:tc>
      </w:tr>
      <w:tr w:rsidR="00375083" w:rsidRPr="00895791" w14:paraId="4E90244C"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75EFDD5D"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4</w:t>
            </w:r>
          </w:p>
        </w:tc>
        <w:tc>
          <w:tcPr>
            <w:tcW w:w="883" w:type="dxa"/>
            <w:tcBorders>
              <w:top w:val="nil"/>
              <w:left w:val="nil"/>
              <w:bottom w:val="nil"/>
              <w:right w:val="nil"/>
            </w:tcBorders>
            <w:shd w:val="clear" w:color="auto" w:fill="auto"/>
            <w:vAlign w:val="center"/>
            <w:hideMark/>
          </w:tcPr>
          <w:p w14:paraId="0E0C29A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41</w:t>
            </w:r>
          </w:p>
        </w:tc>
        <w:tc>
          <w:tcPr>
            <w:tcW w:w="549" w:type="dxa"/>
            <w:tcBorders>
              <w:top w:val="nil"/>
              <w:left w:val="nil"/>
              <w:bottom w:val="nil"/>
              <w:right w:val="nil"/>
            </w:tcBorders>
            <w:shd w:val="clear" w:color="auto" w:fill="auto"/>
            <w:vAlign w:val="center"/>
            <w:hideMark/>
          </w:tcPr>
          <w:p w14:paraId="03A5CE3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0AE608A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Lung</w:t>
            </w:r>
          </w:p>
        </w:tc>
        <w:tc>
          <w:tcPr>
            <w:tcW w:w="704" w:type="dxa"/>
            <w:tcBorders>
              <w:top w:val="nil"/>
              <w:left w:val="nil"/>
              <w:bottom w:val="nil"/>
              <w:right w:val="nil"/>
            </w:tcBorders>
            <w:shd w:val="clear" w:color="auto" w:fill="auto"/>
            <w:vAlign w:val="center"/>
            <w:hideMark/>
          </w:tcPr>
          <w:p w14:paraId="35E79AC2"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proofErr w:type="spellStart"/>
            <w:r w:rsidRPr="00895791">
              <w:rPr>
                <w:rFonts w:ascii="Verdana" w:eastAsia="Times New Roman" w:hAnsi="Verdana" w:cs="Calibri"/>
                <w:color w:val="000000"/>
                <w:sz w:val="20"/>
                <w:szCs w:val="20"/>
                <w:lang w:eastAsia="nl-NL"/>
              </w:rPr>
              <w:t>Pn</w:t>
            </w:r>
            <w:proofErr w:type="spellEnd"/>
          </w:p>
        </w:tc>
        <w:tc>
          <w:tcPr>
            <w:tcW w:w="568" w:type="dxa"/>
            <w:tcBorders>
              <w:top w:val="nil"/>
              <w:left w:val="nil"/>
              <w:bottom w:val="nil"/>
              <w:right w:val="nil"/>
            </w:tcBorders>
            <w:shd w:val="clear" w:color="auto" w:fill="auto"/>
            <w:vAlign w:val="center"/>
            <w:hideMark/>
          </w:tcPr>
          <w:p w14:paraId="1128CA0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59</w:t>
            </w:r>
          </w:p>
        </w:tc>
        <w:tc>
          <w:tcPr>
            <w:tcW w:w="1108" w:type="dxa"/>
            <w:tcBorders>
              <w:top w:val="nil"/>
              <w:left w:val="nil"/>
              <w:bottom w:val="nil"/>
              <w:right w:val="nil"/>
            </w:tcBorders>
            <w:shd w:val="clear" w:color="auto" w:fill="auto"/>
            <w:vAlign w:val="center"/>
            <w:hideMark/>
          </w:tcPr>
          <w:p w14:paraId="64DA9E25"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6.6</w:t>
            </w:r>
          </w:p>
        </w:tc>
        <w:tc>
          <w:tcPr>
            <w:tcW w:w="1028" w:type="dxa"/>
            <w:tcBorders>
              <w:top w:val="nil"/>
              <w:left w:val="nil"/>
              <w:bottom w:val="nil"/>
              <w:right w:val="nil"/>
            </w:tcBorders>
            <w:shd w:val="clear" w:color="auto" w:fill="auto"/>
            <w:vAlign w:val="center"/>
            <w:hideMark/>
          </w:tcPr>
          <w:p w14:paraId="31F1CF1A"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hideMark/>
          </w:tcPr>
          <w:p w14:paraId="24A2F43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P</w:t>
            </w:r>
          </w:p>
        </w:tc>
        <w:tc>
          <w:tcPr>
            <w:tcW w:w="1093" w:type="dxa"/>
            <w:tcBorders>
              <w:top w:val="nil"/>
              <w:left w:val="nil"/>
              <w:bottom w:val="nil"/>
              <w:right w:val="nil"/>
            </w:tcBorders>
            <w:shd w:val="clear" w:color="auto" w:fill="auto"/>
            <w:vAlign w:val="center"/>
            <w:hideMark/>
          </w:tcPr>
          <w:p w14:paraId="1A8068D5"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4B426E5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p>
        </w:tc>
      </w:tr>
      <w:tr w:rsidR="00375083" w:rsidRPr="00895791" w14:paraId="1A0C8EE0"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0ACD5AE5"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5</w:t>
            </w:r>
          </w:p>
        </w:tc>
        <w:tc>
          <w:tcPr>
            <w:tcW w:w="883" w:type="dxa"/>
            <w:tcBorders>
              <w:top w:val="nil"/>
              <w:left w:val="nil"/>
              <w:bottom w:val="nil"/>
              <w:right w:val="nil"/>
            </w:tcBorders>
            <w:shd w:val="clear" w:color="auto" w:fill="auto"/>
            <w:vAlign w:val="center"/>
            <w:hideMark/>
          </w:tcPr>
          <w:p w14:paraId="0324AA2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2</w:t>
            </w:r>
          </w:p>
        </w:tc>
        <w:tc>
          <w:tcPr>
            <w:tcW w:w="549" w:type="dxa"/>
            <w:tcBorders>
              <w:top w:val="nil"/>
              <w:left w:val="nil"/>
              <w:bottom w:val="nil"/>
              <w:right w:val="nil"/>
            </w:tcBorders>
            <w:shd w:val="clear" w:color="auto" w:fill="auto"/>
            <w:vAlign w:val="center"/>
            <w:hideMark/>
          </w:tcPr>
          <w:p w14:paraId="30A0856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192A246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Lung</w:t>
            </w:r>
          </w:p>
        </w:tc>
        <w:tc>
          <w:tcPr>
            <w:tcW w:w="704" w:type="dxa"/>
            <w:tcBorders>
              <w:top w:val="nil"/>
              <w:left w:val="nil"/>
              <w:bottom w:val="nil"/>
              <w:right w:val="nil"/>
            </w:tcBorders>
            <w:shd w:val="clear" w:color="auto" w:fill="auto"/>
            <w:vAlign w:val="center"/>
            <w:hideMark/>
          </w:tcPr>
          <w:p w14:paraId="00C32A1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5A3236F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75</w:t>
            </w:r>
          </w:p>
        </w:tc>
        <w:tc>
          <w:tcPr>
            <w:tcW w:w="1108" w:type="dxa"/>
            <w:tcBorders>
              <w:top w:val="nil"/>
              <w:left w:val="nil"/>
              <w:bottom w:val="nil"/>
              <w:right w:val="nil"/>
            </w:tcBorders>
            <w:shd w:val="clear" w:color="auto" w:fill="auto"/>
            <w:vAlign w:val="center"/>
            <w:hideMark/>
          </w:tcPr>
          <w:p w14:paraId="5373FC5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0.0</w:t>
            </w:r>
          </w:p>
        </w:tc>
        <w:tc>
          <w:tcPr>
            <w:tcW w:w="1028" w:type="dxa"/>
            <w:tcBorders>
              <w:top w:val="nil"/>
              <w:left w:val="nil"/>
              <w:bottom w:val="nil"/>
              <w:right w:val="nil"/>
            </w:tcBorders>
            <w:shd w:val="clear" w:color="auto" w:fill="auto"/>
            <w:vAlign w:val="center"/>
            <w:hideMark/>
          </w:tcPr>
          <w:p w14:paraId="23A5AEDE"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hideMark/>
          </w:tcPr>
          <w:p w14:paraId="263232C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6ED28B4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1E36093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p>
        </w:tc>
      </w:tr>
      <w:tr w:rsidR="00375083" w:rsidRPr="00895791" w14:paraId="77F28158" w14:textId="77777777" w:rsidTr="00375083">
        <w:trPr>
          <w:trHeight w:val="300"/>
        </w:trPr>
        <w:tc>
          <w:tcPr>
            <w:tcW w:w="947" w:type="dxa"/>
            <w:tcBorders>
              <w:top w:val="nil"/>
              <w:left w:val="nil"/>
              <w:bottom w:val="nil"/>
              <w:right w:val="single" w:sz="4" w:space="0" w:color="auto"/>
            </w:tcBorders>
            <w:shd w:val="clear" w:color="auto" w:fill="auto"/>
            <w:vAlign w:val="center"/>
          </w:tcPr>
          <w:p w14:paraId="6ED1DF92"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6</w:t>
            </w:r>
          </w:p>
        </w:tc>
        <w:tc>
          <w:tcPr>
            <w:tcW w:w="883" w:type="dxa"/>
            <w:tcBorders>
              <w:top w:val="nil"/>
              <w:left w:val="nil"/>
              <w:bottom w:val="nil"/>
              <w:right w:val="nil"/>
            </w:tcBorders>
            <w:shd w:val="clear" w:color="auto" w:fill="auto"/>
            <w:vAlign w:val="center"/>
          </w:tcPr>
          <w:p w14:paraId="047AC6B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9</w:t>
            </w:r>
          </w:p>
        </w:tc>
        <w:tc>
          <w:tcPr>
            <w:tcW w:w="549" w:type="dxa"/>
            <w:tcBorders>
              <w:top w:val="nil"/>
              <w:left w:val="nil"/>
              <w:bottom w:val="nil"/>
              <w:right w:val="nil"/>
            </w:tcBorders>
            <w:shd w:val="clear" w:color="auto" w:fill="auto"/>
            <w:vAlign w:val="center"/>
          </w:tcPr>
          <w:p w14:paraId="7526633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tcPr>
          <w:p w14:paraId="5CB96E8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proofErr w:type="spellStart"/>
            <w:r w:rsidRPr="00895791">
              <w:rPr>
                <w:rFonts w:ascii="Verdana" w:eastAsia="Times New Roman" w:hAnsi="Verdana" w:cs="Calibri"/>
                <w:color w:val="000000"/>
                <w:sz w:val="20"/>
                <w:szCs w:val="20"/>
                <w:lang w:eastAsia="nl-NL"/>
              </w:rPr>
              <w:t>Unk</w:t>
            </w:r>
            <w:proofErr w:type="spellEnd"/>
          </w:p>
        </w:tc>
        <w:tc>
          <w:tcPr>
            <w:tcW w:w="704" w:type="dxa"/>
            <w:tcBorders>
              <w:top w:val="nil"/>
              <w:left w:val="nil"/>
              <w:bottom w:val="nil"/>
              <w:right w:val="nil"/>
            </w:tcBorders>
            <w:shd w:val="clear" w:color="auto" w:fill="auto"/>
            <w:vAlign w:val="center"/>
          </w:tcPr>
          <w:p w14:paraId="50D11AD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tcPr>
          <w:p w14:paraId="00FE702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58</w:t>
            </w:r>
          </w:p>
        </w:tc>
        <w:tc>
          <w:tcPr>
            <w:tcW w:w="1108" w:type="dxa"/>
            <w:tcBorders>
              <w:top w:val="nil"/>
              <w:left w:val="nil"/>
              <w:bottom w:val="nil"/>
              <w:right w:val="nil"/>
            </w:tcBorders>
            <w:shd w:val="clear" w:color="auto" w:fill="auto"/>
            <w:vAlign w:val="center"/>
          </w:tcPr>
          <w:p w14:paraId="3C20A8A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1.2</w:t>
            </w:r>
          </w:p>
        </w:tc>
        <w:tc>
          <w:tcPr>
            <w:tcW w:w="1028" w:type="dxa"/>
            <w:tcBorders>
              <w:top w:val="nil"/>
              <w:left w:val="nil"/>
              <w:bottom w:val="nil"/>
              <w:right w:val="nil"/>
            </w:tcBorders>
            <w:shd w:val="clear" w:color="auto" w:fill="auto"/>
            <w:vAlign w:val="center"/>
          </w:tcPr>
          <w:p w14:paraId="4BF2385A"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tcPr>
          <w:p w14:paraId="2668B06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VUS</w:t>
            </w:r>
          </w:p>
        </w:tc>
        <w:tc>
          <w:tcPr>
            <w:tcW w:w="1093" w:type="dxa"/>
            <w:tcBorders>
              <w:top w:val="nil"/>
              <w:left w:val="nil"/>
              <w:bottom w:val="nil"/>
              <w:right w:val="nil"/>
            </w:tcBorders>
            <w:shd w:val="clear" w:color="auto" w:fill="auto"/>
            <w:vAlign w:val="center"/>
          </w:tcPr>
          <w:p w14:paraId="19446C3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tcPr>
          <w:p w14:paraId="70F812B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&gt;10</w:t>
            </w:r>
            <w:r w:rsidRPr="00895791">
              <w:rPr>
                <w:rFonts w:ascii="Verdana" w:eastAsia="Times New Roman" w:hAnsi="Verdana" w:cs="Calibri"/>
                <w:color w:val="000000"/>
                <w:sz w:val="20"/>
                <w:szCs w:val="20"/>
                <w:vertAlign w:val="superscript"/>
                <w:lang w:eastAsia="nl-NL"/>
              </w:rPr>
              <w:t>th</w:t>
            </w:r>
          </w:p>
        </w:tc>
      </w:tr>
      <w:tr w:rsidR="00375083" w:rsidRPr="00895791" w14:paraId="53C2BA7B" w14:textId="77777777" w:rsidTr="00375083">
        <w:trPr>
          <w:trHeight w:val="345"/>
        </w:trPr>
        <w:tc>
          <w:tcPr>
            <w:tcW w:w="947" w:type="dxa"/>
            <w:tcBorders>
              <w:top w:val="nil"/>
              <w:left w:val="nil"/>
              <w:bottom w:val="nil"/>
              <w:right w:val="single" w:sz="4" w:space="0" w:color="auto"/>
            </w:tcBorders>
            <w:shd w:val="clear" w:color="auto" w:fill="auto"/>
            <w:vAlign w:val="center"/>
            <w:hideMark/>
          </w:tcPr>
          <w:p w14:paraId="2D58F3D9"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7</w:t>
            </w:r>
          </w:p>
        </w:tc>
        <w:tc>
          <w:tcPr>
            <w:tcW w:w="883" w:type="dxa"/>
            <w:tcBorders>
              <w:top w:val="nil"/>
              <w:left w:val="nil"/>
              <w:bottom w:val="nil"/>
              <w:right w:val="nil"/>
            </w:tcBorders>
            <w:shd w:val="clear" w:color="auto" w:fill="auto"/>
            <w:vAlign w:val="center"/>
            <w:hideMark/>
          </w:tcPr>
          <w:p w14:paraId="488F8E7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26</w:t>
            </w:r>
          </w:p>
        </w:tc>
        <w:tc>
          <w:tcPr>
            <w:tcW w:w="549" w:type="dxa"/>
            <w:tcBorders>
              <w:top w:val="nil"/>
              <w:left w:val="nil"/>
              <w:bottom w:val="nil"/>
              <w:right w:val="nil"/>
            </w:tcBorders>
            <w:shd w:val="clear" w:color="auto" w:fill="auto"/>
            <w:vAlign w:val="center"/>
            <w:hideMark/>
          </w:tcPr>
          <w:p w14:paraId="4658713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49FD62D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Rectal</w:t>
            </w:r>
          </w:p>
        </w:tc>
        <w:tc>
          <w:tcPr>
            <w:tcW w:w="704" w:type="dxa"/>
            <w:tcBorders>
              <w:top w:val="nil"/>
              <w:left w:val="nil"/>
              <w:bottom w:val="nil"/>
              <w:right w:val="nil"/>
            </w:tcBorders>
            <w:shd w:val="clear" w:color="auto" w:fill="auto"/>
            <w:vAlign w:val="center"/>
            <w:hideMark/>
          </w:tcPr>
          <w:p w14:paraId="18C4B91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4DFDF7B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70</w:t>
            </w:r>
          </w:p>
        </w:tc>
        <w:tc>
          <w:tcPr>
            <w:tcW w:w="1108" w:type="dxa"/>
            <w:tcBorders>
              <w:top w:val="nil"/>
              <w:left w:val="nil"/>
              <w:bottom w:val="nil"/>
              <w:right w:val="nil"/>
            </w:tcBorders>
            <w:shd w:val="clear" w:color="auto" w:fill="auto"/>
            <w:vAlign w:val="center"/>
            <w:hideMark/>
          </w:tcPr>
          <w:p w14:paraId="2315A03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5.0</w:t>
            </w:r>
          </w:p>
        </w:tc>
        <w:tc>
          <w:tcPr>
            <w:tcW w:w="1028" w:type="dxa"/>
            <w:tcBorders>
              <w:top w:val="nil"/>
              <w:left w:val="nil"/>
              <w:bottom w:val="nil"/>
              <w:right w:val="nil"/>
            </w:tcBorders>
            <w:shd w:val="clear" w:color="auto" w:fill="auto"/>
            <w:vAlign w:val="center"/>
            <w:hideMark/>
          </w:tcPr>
          <w:p w14:paraId="0FB1462A"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RTEL1</w:t>
            </w:r>
          </w:p>
        </w:tc>
        <w:tc>
          <w:tcPr>
            <w:tcW w:w="1638" w:type="dxa"/>
            <w:tcBorders>
              <w:top w:val="nil"/>
              <w:left w:val="nil"/>
              <w:bottom w:val="nil"/>
              <w:right w:val="nil"/>
            </w:tcBorders>
            <w:shd w:val="clear" w:color="auto" w:fill="auto"/>
            <w:vAlign w:val="center"/>
            <w:hideMark/>
          </w:tcPr>
          <w:p w14:paraId="1EDD725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P</w:t>
            </w:r>
          </w:p>
        </w:tc>
        <w:tc>
          <w:tcPr>
            <w:tcW w:w="1093" w:type="dxa"/>
            <w:tcBorders>
              <w:top w:val="nil"/>
              <w:left w:val="nil"/>
              <w:bottom w:val="nil"/>
              <w:right w:val="nil"/>
            </w:tcBorders>
            <w:shd w:val="clear" w:color="auto" w:fill="auto"/>
            <w:vAlign w:val="center"/>
            <w:hideMark/>
          </w:tcPr>
          <w:p w14:paraId="3078D045"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never</w:t>
            </w:r>
          </w:p>
        </w:tc>
        <w:tc>
          <w:tcPr>
            <w:tcW w:w="1192" w:type="dxa"/>
            <w:tcBorders>
              <w:top w:val="nil"/>
              <w:left w:val="nil"/>
              <w:bottom w:val="nil"/>
              <w:right w:val="nil"/>
            </w:tcBorders>
            <w:shd w:val="clear" w:color="auto" w:fill="auto"/>
            <w:vAlign w:val="center"/>
            <w:hideMark/>
          </w:tcPr>
          <w:p w14:paraId="25DABE4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 xml:space="preserve"> &lt;1</w:t>
            </w:r>
            <w:r w:rsidRPr="00895791">
              <w:rPr>
                <w:rFonts w:ascii="Verdana" w:eastAsia="Times New Roman" w:hAnsi="Verdana" w:cs="Calibri"/>
                <w:color w:val="000000"/>
                <w:sz w:val="20"/>
                <w:szCs w:val="20"/>
                <w:vertAlign w:val="superscript"/>
                <w:lang w:eastAsia="nl-NL"/>
              </w:rPr>
              <w:t>st</w:t>
            </w:r>
          </w:p>
        </w:tc>
      </w:tr>
      <w:tr w:rsidR="00375083" w:rsidRPr="00895791" w14:paraId="58E38D44"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7078D0DB"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8</w:t>
            </w:r>
          </w:p>
        </w:tc>
        <w:tc>
          <w:tcPr>
            <w:tcW w:w="883" w:type="dxa"/>
            <w:tcBorders>
              <w:top w:val="nil"/>
              <w:left w:val="nil"/>
              <w:bottom w:val="nil"/>
              <w:right w:val="nil"/>
            </w:tcBorders>
            <w:shd w:val="clear" w:color="auto" w:fill="auto"/>
            <w:vAlign w:val="center"/>
            <w:hideMark/>
          </w:tcPr>
          <w:p w14:paraId="65F1490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4</w:t>
            </w:r>
          </w:p>
        </w:tc>
        <w:tc>
          <w:tcPr>
            <w:tcW w:w="549" w:type="dxa"/>
            <w:tcBorders>
              <w:top w:val="nil"/>
              <w:left w:val="nil"/>
              <w:bottom w:val="nil"/>
              <w:right w:val="nil"/>
            </w:tcBorders>
            <w:shd w:val="clear" w:color="auto" w:fill="auto"/>
            <w:vAlign w:val="center"/>
            <w:hideMark/>
          </w:tcPr>
          <w:p w14:paraId="748BB24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hideMark/>
          </w:tcPr>
          <w:p w14:paraId="2E42A5E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Colon</w:t>
            </w:r>
          </w:p>
        </w:tc>
        <w:tc>
          <w:tcPr>
            <w:tcW w:w="704" w:type="dxa"/>
            <w:tcBorders>
              <w:top w:val="nil"/>
              <w:left w:val="nil"/>
              <w:bottom w:val="nil"/>
              <w:right w:val="nil"/>
            </w:tcBorders>
            <w:shd w:val="clear" w:color="auto" w:fill="auto"/>
            <w:vAlign w:val="center"/>
            <w:hideMark/>
          </w:tcPr>
          <w:p w14:paraId="4DE4836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52914455"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65</w:t>
            </w:r>
          </w:p>
        </w:tc>
        <w:tc>
          <w:tcPr>
            <w:tcW w:w="1108" w:type="dxa"/>
            <w:tcBorders>
              <w:top w:val="nil"/>
              <w:left w:val="nil"/>
              <w:bottom w:val="nil"/>
              <w:right w:val="nil"/>
            </w:tcBorders>
            <w:shd w:val="clear" w:color="auto" w:fill="auto"/>
            <w:vAlign w:val="center"/>
            <w:hideMark/>
          </w:tcPr>
          <w:p w14:paraId="29F742C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-1.7</w:t>
            </w:r>
          </w:p>
        </w:tc>
        <w:tc>
          <w:tcPr>
            <w:tcW w:w="1028" w:type="dxa"/>
            <w:tcBorders>
              <w:top w:val="nil"/>
              <w:left w:val="nil"/>
              <w:bottom w:val="nil"/>
              <w:right w:val="nil"/>
            </w:tcBorders>
            <w:shd w:val="clear" w:color="auto" w:fill="auto"/>
            <w:vAlign w:val="center"/>
            <w:hideMark/>
          </w:tcPr>
          <w:p w14:paraId="0DC9943A"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hideMark/>
          </w:tcPr>
          <w:p w14:paraId="094836F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32703BB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never</w:t>
            </w:r>
          </w:p>
        </w:tc>
        <w:tc>
          <w:tcPr>
            <w:tcW w:w="1192" w:type="dxa"/>
            <w:tcBorders>
              <w:top w:val="nil"/>
              <w:left w:val="nil"/>
              <w:bottom w:val="nil"/>
              <w:right w:val="nil"/>
            </w:tcBorders>
            <w:shd w:val="clear" w:color="auto" w:fill="auto"/>
            <w:vAlign w:val="center"/>
            <w:hideMark/>
          </w:tcPr>
          <w:p w14:paraId="16AF29C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p>
        </w:tc>
      </w:tr>
      <w:tr w:rsidR="00375083" w:rsidRPr="00895791" w14:paraId="5F830285" w14:textId="77777777" w:rsidTr="00375083">
        <w:trPr>
          <w:trHeight w:val="300"/>
        </w:trPr>
        <w:tc>
          <w:tcPr>
            <w:tcW w:w="947" w:type="dxa"/>
            <w:tcBorders>
              <w:top w:val="nil"/>
              <w:left w:val="nil"/>
              <w:bottom w:val="nil"/>
              <w:right w:val="single" w:sz="4" w:space="0" w:color="auto"/>
            </w:tcBorders>
            <w:shd w:val="clear" w:color="auto" w:fill="auto"/>
            <w:vAlign w:val="center"/>
          </w:tcPr>
          <w:p w14:paraId="2CAF43D8"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9</w:t>
            </w:r>
          </w:p>
        </w:tc>
        <w:tc>
          <w:tcPr>
            <w:tcW w:w="883" w:type="dxa"/>
            <w:tcBorders>
              <w:top w:val="nil"/>
              <w:left w:val="nil"/>
              <w:bottom w:val="nil"/>
              <w:right w:val="nil"/>
            </w:tcBorders>
            <w:shd w:val="clear" w:color="auto" w:fill="auto"/>
            <w:vAlign w:val="center"/>
          </w:tcPr>
          <w:p w14:paraId="5ACA7CA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83</w:t>
            </w:r>
          </w:p>
        </w:tc>
        <w:tc>
          <w:tcPr>
            <w:tcW w:w="549" w:type="dxa"/>
            <w:tcBorders>
              <w:top w:val="nil"/>
              <w:left w:val="nil"/>
              <w:bottom w:val="nil"/>
              <w:right w:val="nil"/>
            </w:tcBorders>
            <w:shd w:val="clear" w:color="auto" w:fill="auto"/>
            <w:vAlign w:val="center"/>
          </w:tcPr>
          <w:p w14:paraId="251CDB9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tcPr>
          <w:p w14:paraId="5F20662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proofErr w:type="spellStart"/>
            <w:r w:rsidRPr="00895791">
              <w:rPr>
                <w:rFonts w:ascii="Verdana" w:eastAsia="Times New Roman" w:hAnsi="Verdana" w:cs="Calibri"/>
                <w:color w:val="000000"/>
                <w:sz w:val="20"/>
                <w:szCs w:val="20"/>
                <w:lang w:eastAsia="nl-NL"/>
              </w:rPr>
              <w:t>Lymp</w:t>
            </w:r>
            <w:proofErr w:type="spellEnd"/>
          </w:p>
        </w:tc>
        <w:tc>
          <w:tcPr>
            <w:tcW w:w="704" w:type="dxa"/>
            <w:tcBorders>
              <w:top w:val="nil"/>
              <w:left w:val="nil"/>
              <w:bottom w:val="nil"/>
              <w:right w:val="nil"/>
            </w:tcBorders>
            <w:shd w:val="clear" w:color="auto" w:fill="auto"/>
            <w:vAlign w:val="center"/>
          </w:tcPr>
          <w:p w14:paraId="78FABDA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tcPr>
          <w:p w14:paraId="464A9C5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61</w:t>
            </w:r>
          </w:p>
        </w:tc>
        <w:tc>
          <w:tcPr>
            <w:tcW w:w="1108" w:type="dxa"/>
            <w:tcBorders>
              <w:top w:val="nil"/>
              <w:left w:val="nil"/>
              <w:bottom w:val="nil"/>
              <w:right w:val="nil"/>
            </w:tcBorders>
            <w:shd w:val="clear" w:color="auto" w:fill="auto"/>
            <w:vAlign w:val="center"/>
          </w:tcPr>
          <w:p w14:paraId="375B919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-0.9</w:t>
            </w:r>
          </w:p>
        </w:tc>
        <w:tc>
          <w:tcPr>
            <w:tcW w:w="1028" w:type="dxa"/>
            <w:tcBorders>
              <w:top w:val="nil"/>
              <w:left w:val="nil"/>
              <w:bottom w:val="nil"/>
              <w:right w:val="nil"/>
            </w:tcBorders>
            <w:shd w:val="clear" w:color="auto" w:fill="auto"/>
            <w:vAlign w:val="center"/>
          </w:tcPr>
          <w:p w14:paraId="4EED103E"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PARN</w:t>
            </w:r>
          </w:p>
        </w:tc>
        <w:tc>
          <w:tcPr>
            <w:tcW w:w="1638" w:type="dxa"/>
            <w:tcBorders>
              <w:top w:val="nil"/>
              <w:left w:val="nil"/>
              <w:bottom w:val="nil"/>
              <w:right w:val="nil"/>
            </w:tcBorders>
            <w:shd w:val="clear" w:color="auto" w:fill="auto"/>
            <w:vAlign w:val="center"/>
          </w:tcPr>
          <w:p w14:paraId="7794F1D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VUS</w:t>
            </w:r>
          </w:p>
        </w:tc>
        <w:tc>
          <w:tcPr>
            <w:tcW w:w="1093" w:type="dxa"/>
            <w:tcBorders>
              <w:top w:val="nil"/>
              <w:left w:val="nil"/>
              <w:bottom w:val="nil"/>
              <w:right w:val="nil"/>
            </w:tcBorders>
            <w:shd w:val="clear" w:color="auto" w:fill="auto"/>
            <w:vAlign w:val="center"/>
          </w:tcPr>
          <w:p w14:paraId="280DA9D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never</w:t>
            </w:r>
          </w:p>
        </w:tc>
        <w:tc>
          <w:tcPr>
            <w:tcW w:w="1192" w:type="dxa"/>
            <w:tcBorders>
              <w:top w:val="nil"/>
              <w:left w:val="nil"/>
              <w:bottom w:val="nil"/>
              <w:right w:val="nil"/>
            </w:tcBorders>
            <w:shd w:val="clear" w:color="auto" w:fill="auto"/>
            <w:vAlign w:val="center"/>
          </w:tcPr>
          <w:p w14:paraId="2F3A029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&gt;10</w:t>
            </w:r>
            <w:r w:rsidRPr="00895791">
              <w:rPr>
                <w:rFonts w:ascii="Verdana" w:eastAsia="Times New Roman" w:hAnsi="Verdana" w:cs="Calibri"/>
                <w:color w:val="000000"/>
                <w:sz w:val="20"/>
                <w:szCs w:val="20"/>
                <w:vertAlign w:val="superscript"/>
                <w:lang w:eastAsia="nl-NL"/>
              </w:rPr>
              <w:t>th</w:t>
            </w:r>
          </w:p>
        </w:tc>
      </w:tr>
      <w:tr w:rsidR="00375083" w:rsidRPr="00895791" w14:paraId="438D3799" w14:textId="77777777" w:rsidTr="00375083">
        <w:trPr>
          <w:trHeight w:val="300"/>
        </w:trPr>
        <w:tc>
          <w:tcPr>
            <w:tcW w:w="947" w:type="dxa"/>
            <w:tcBorders>
              <w:top w:val="nil"/>
              <w:left w:val="nil"/>
              <w:bottom w:val="nil"/>
              <w:right w:val="single" w:sz="4" w:space="0" w:color="auto"/>
            </w:tcBorders>
            <w:shd w:val="clear" w:color="auto" w:fill="auto"/>
            <w:vAlign w:val="center"/>
          </w:tcPr>
          <w:p w14:paraId="40049F14"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10</w:t>
            </w:r>
          </w:p>
        </w:tc>
        <w:tc>
          <w:tcPr>
            <w:tcW w:w="883" w:type="dxa"/>
            <w:tcBorders>
              <w:top w:val="nil"/>
              <w:left w:val="nil"/>
              <w:bottom w:val="nil"/>
              <w:right w:val="nil"/>
            </w:tcBorders>
            <w:shd w:val="clear" w:color="auto" w:fill="auto"/>
            <w:vAlign w:val="center"/>
          </w:tcPr>
          <w:p w14:paraId="0C57984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76</w:t>
            </w:r>
          </w:p>
        </w:tc>
        <w:tc>
          <w:tcPr>
            <w:tcW w:w="549" w:type="dxa"/>
            <w:tcBorders>
              <w:top w:val="nil"/>
              <w:left w:val="nil"/>
              <w:bottom w:val="nil"/>
              <w:right w:val="nil"/>
            </w:tcBorders>
            <w:shd w:val="clear" w:color="auto" w:fill="auto"/>
            <w:vAlign w:val="center"/>
          </w:tcPr>
          <w:p w14:paraId="1779F01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tcPr>
          <w:p w14:paraId="3BFBF4A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proofErr w:type="spellStart"/>
            <w:r>
              <w:rPr>
                <w:rFonts w:ascii="Verdana" w:eastAsia="Times New Roman" w:hAnsi="Verdana" w:cs="Calibri"/>
                <w:color w:val="000000"/>
                <w:sz w:val="20"/>
                <w:szCs w:val="20"/>
                <w:lang w:eastAsia="nl-NL"/>
              </w:rPr>
              <w:t>E</w:t>
            </w:r>
            <w:r w:rsidRPr="00895791">
              <w:rPr>
                <w:rFonts w:ascii="Verdana" w:eastAsia="Times New Roman" w:hAnsi="Verdana" w:cs="Calibri"/>
                <w:color w:val="000000"/>
                <w:sz w:val="20"/>
                <w:szCs w:val="20"/>
                <w:lang w:eastAsia="nl-NL"/>
              </w:rPr>
              <w:t>s</w:t>
            </w:r>
            <w:r>
              <w:rPr>
                <w:rFonts w:ascii="Verdana" w:eastAsia="Times New Roman" w:hAnsi="Verdana" w:cs="Calibri"/>
                <w:color w:val="000000"/>
                <w:sz w:val="20"/>
                <w:szCs w:val="20"/>
                <w:lang w:eastAsia="nl-NL"/>
              </w:rPr>
              <w:t>o</w:t>
            </w:r>
            <w:proofErr w:type="spellEnd"/>
          </w:p>
        </w:tc>
        <w:tc>
          <w:tcPr>
            <w:tcW w:w="704" w:type="dxa"/>
            <w:tcBorders>
              <w:top w:val="nil"/>
              <w:left w:val="nil"/>
              <w:bottom w:val="nil"/>
              <w:right w:val="nil"/>
            </w:tcBorders>
            <w:shd w:val="clear" w:color="auto" w:fill="auto"/>
            <w:vAlign w:val="center"/>
          </w:tcPr>
          <w:p w14:paraId="4BE565C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tcPr>
          <w:p w14:paraId="3A7EB5E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78</w:t>
            </w:r>
          </w:p>
        </w:tc>
        <w:tc>
          <w:tcPr>
            <w:tcW w:w="1108" w:type="dxa"/>
            <w:tcBorders>
              <w:top w:val="nil"/>
              <w:left w:val="nil"/>
              <w:bottom w:val="nil"/>
              <w:right w:val="nil"/>
            </w:tcBorders>
            <w:shd w:val="clear" w:color="auto" w:fill="auto"/>
            <w:vAlign w:val="center"/>
          </w:tcPr>
          <w:p w14:paraId="2A15F9C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2.9</w:t>
            </w:r>
          </w:p>
        </w:tc>
        <w:tc>
          <w:tcPr>
            <w:tcW w:w="1028" w:type="dxa"/>
            <w:tcBorders>
              <w:top w:val="nil"/>
              <w:left w:val="nil"/>
              <w:bottom w:val="nil"/>
              <w:right w:val="nil"/>
            </w:tcBorders>
            <w:shd w:val="clear" w:color="auto" w:fill="auto"/>
            <w:vAlign w:val="center"/>
          </w:tcPr>
          <w:p w14:paraId="281BEF02"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tcPr>
          <w:p w14:paraId="52ACDD8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VUS</w:t>
            </w:r>
          </w:p>
        </w:tc>
        <w:tc>
          <w:tcPr>
            <w:tcW w:w="1093" w:type="dxa"/>
            <w:tcBorders>
              <w:top w:val="nil"/>
              <w:left w:val="nil"/>
              <w:bottom w:val="nil"/>
              <w:right w:val="nil"/>
            </w:tcBorders>
            <w:shd w:val="clear" w:color="auto" w:fill="auto"/>
            <w:vAlign w:val="center"/>
          </w:tcPr>
          <w:p w14:paraId="4CBBF1B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tcPr>
          <w:p w14:paraId="6134D99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&gt;10</w:t>
            </w:r>
            <w:r w:rsidRPr="00895791">
              <w:rPr>
                <w:rFonts w:ascii="Verdana" w:eastAsia="Times New Roman" w:hAnsi="Verdana" w:cs="Calibri"/>
                <w:color w:val="000000"/>
                <w:sz w:val="20"/>
                <w:szCs w:val="20"/>
                <w:vertAlign w:val="superscript"/>
                <w:lang w:eastAsia="nl-NL"/>
              </w:rPr>
              <w:t>th</w:t>
            </w:r>
          </w:p>
        </w:tc>
      </w:tr>
      <w:tr w:rsidR="00375083" w:rsidRPr="00895791" w14:paraId="7CA3F93F" w14:textId="77777777" w:rsidTr="00375083">
        <w:trPr>
          <w:trHeight w:val="243"/>
        </w:trPr>
        <w:tc>
          <w:tcPr>
            <w:tcW w:w="947" w:type="dxa"/>
            <w:tcBorders>
              <w:top w:val="nil"/>
              <w:left w:val="nil"/>
              <w:bottom w:val="nil"/>
              <w:right w:val="single" w:sz="4" w:space="0" w:color="auto"/>
            </w:tcBorders>
            <w:shd w:val="clear" w:color="auto" w:fill="auto"/>
            <w:vAlign w:val="center"/>
          </w:tcPr>
          <w:p w14:paraId="1B9AC113"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11</w:t>
            </w:r>
          </w:p>
        </w:tc>
        <w:tc>
          <w:tcPr>
            <w:tcW w:w="883" w:type="dxa"/>
            <w:tcBorders>
              <w:top w:val="nil"/>
              <w:left w:val="nil"/>
              <w:bottom w:val="nil"/>
              <w:right w:val="nil"/>
            </w:tcBorders>
            <w:shd w:val="clear" w:color="auto" w:fill="auto"/>
            <w:vAlign w:val="center"/>
          </w:tcPr>
          <w:p w14:paraId="1AEDBD3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52</w:t>
            </w:r>
          </w:p>
        </w:tc>
        <w:tc>
          <w:tcPr>
            <w:tcW w:w="549" w:type="dxa"/>
            <w:tcBorders>
              <w:top w:val="nil"/>
              <w:left w:val="nil"/>
              <w:bottom w:val="nil"/>
              <w:right w:val="nil"/>
            </w:tcBorders>
            <w:shd w:val="clear" w:color="auto" w:fill="auto"/>
            <w:vAlign w:val="center"/>
          </w:tcPr>
          <w:p w14:paraId="2D817DA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tcPr>
          <w:p w14:paraId="5BBDC40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Prostate</w:t>
            </w:r>
          </w:p>
        </w:tc>
        <w:tc>
          <w:tcPr>
            <w:tcW w:w="704" w:type="dxa"/>
            <w:tcBorders>
              <w:top w:val="nil"/>
              <w:left w:val="nil"/>
              <w:bottom w:val="nil"/>
              <w:right w:val="nil"/>
            </w:tcBorders>
            <w:shd w:val="clear" w:color="auto" w:fill="auto"/>
            <w:vAlign w:val="center"/>
          </w:tcPr>
          <w:p w14:paraId="1A17583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tcPr>
          <w:p w14:paraId="0CA08EA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80</w:t>
            </w:r>
          </w:p>
        </w:tc>
        <w:tc>
          <w:tcPr>
            <w:tcW w:w="1108" w:type="dxa"/>
            <w:tcBorders>
              <w:top w:val="nil"/>
              <w:left w:val="nil"/>
              <w:bottom w:val="nil"/>
              <w:right w:val="nil"/>
            </w:tcBorders>
            <w:shd w:val="clear" w:color="auto" w:fill="auto"/>
            <w:vAlign w:val="center"/>
          </w:tcPr>
          <w:p w14:paraId="068E420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-6.9</w:t>
            </w:r>
          </w:p>
        </w:tc>
        <w:tc>
          <w:tcPr>
            <w:tcW w:w="1028" w:type="dxa"/>
            <w:tcBorders>
              <w:top w:val="nil"/>
              <w:left w:val="nil"/>
              <w:bottom w:val="nil"/>
              <w:right w:val="nil"/>
            </w:tcBorders>
            <w:shd w:val="clear" w:color="auto" w:fill="auto"/>
            <w:vAlign w:val="center"/>
          </w:tcPr>
          <w:p w14:paraId="1A874BA7"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tcPr>
          <w:p w14:paraId="536E01F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VUS</w:t>
            </w:r>
          </w:p>
        </w:tc>
        <w:tc>
          <w:tcPr>
            <w:tcW w:w="1093" w:type="dxa"/>
            <w:tcBorders>
              <w:top w:val="nil"/>
              <w:left w:val="nil"/>
              <w:bottom w:val="nil"/>
              <w:right w:val="nil"/>
            </w:tcBorders>
            <w:shd w:val="clear" w:color="auto" w:fill="auto"/>
            <w:vAlign w:val="center"/>
          </w:tcPr>
          <w:p w14:paraId="3E4F02D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tcPr>
          <w:p w14:paraId="782D4B05"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&gt;10</w:t>
            </w:r>
            <w:r w:rsidRPr="00895791">
              <w:rPr>
                <w:rFonts w:ascii="Verdana" w:eastAsia="Times New Roman" w:hAnsi="Verdana" w:cs="Calibri"/>
                <w:color w:val="000000"/>
                <w:sz w:val="20"/>
                <w:szCs w:val="20"/>
                <w:vertAlign w:val="superscript"/>
                <w:lang w:eastAsia="nl-NL"/>
              </w:rPr>
              <w:t>th</w:t>
            </w:r>
          </w:p>
        </w:tc>
      </w:tr>
      <w:tr w:rsidR="00375083" w:rsidRPr="00895791" w14:paraId="645DD18D"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399DDE99"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12</w:t>
            </w:r>
          </w:p>
        </w:tc>
        <w:tc>
          <w:tcPr>
            <w:tcW w:w="883" w:type="dxa"/>
            <w:tcBorders>
              <w:top w:val="nil"/>
              <w:left w:val="nil"/>
              <w:bottom w:val="nil"/>
              <w:right w:val="nil"/>
            </w:tcBorders>
            <w:shd w:val="clear" w:color="auto" w:fill="auto"/>
            <w:vAlign w:val="center"/>
            <w:hideMark/>
          </w:tcPr>
          <w:p w14:paraId="78715F0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4</w:t>
            </w:r>
          </w:p>
        </w:tc>
        <w:tc>
          <w:tcPr>
            <w:tcW w:w="549" w:type="dxa"/>
            <w:tcBorders>
              <w:top w:val="nil"/>
              <w:left w:val="nil"/>
              <w:bottom w:val="nil"/>
              <w:right w:val="nil"/>
            </w:tcBorders>
            <w:shd w:val="clear" w:color="auto" w:fill="auto"/>
            <w:vAlign w:val="center"/>
            <w:hideMark/>
          </w:tcPr>
          <w:p w14:paraId="3057B2B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hideMark/>
          </w:tcPr>
          <w:p w14:paraId="2F70C7D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Breast</w:t>
            </w:r>
          </w:p>
        </w:tc>
        <w:tc>
          <w:tcPr>
            <w:tcW w:w="704" w:type="dxa"/>
            <w:tcBorders>
              <w:top w:val="nil"/>
              <w:left w:val="nil"/>
              <w:bottom w:val="nil"/>
              <w:right w:val="nil"/>
            </w:tcBorders>
            <w:shd w:val="clear" w:color="auto" w:fill="auto"/>
            <w:vAlign w:val="center"/>
            <w:hideMark/>
          </w:tcPr>
          <w:p w14:paraId="14AE578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7F6064C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71</w:t>
            </w:r>
          </w:p>
        </w:tc>
        <w:tc>
          <w:tcPr>
            <w:tcW w:w="1108" w:type="dxa"/>
            <w:tcBorders>
              <w:top w:val="nil"/>
              <w:left w:val="nil"/>
              <w:bottom w:val="nil"/>
              <w:right w:val="nil"/>
            </w:tcBorders>
            <w:shd w:val="clear" w:color="auto" w:fill="auto"/>
            <w:vAlign w:val="center"/>
            <w:hideMark/>
          </w:tcPr>
          <w:p w14:paraId="3008045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-11.8</w:t>
            </w:r>
          </w:p>
        </w:tc>
        <w:tc>
          <w:tcPr>
            <w:tcW w:w="1028" w:type="dxa"/>
            <w:tcBorders>
              <w:top w:val="nil"/>
              <w:left w:val="nil"/>
              <w:bottom w:val="nil"/>
              <w:right w:val="nil"/>
            </w:tcBorders>
            <w:shd w:val="clear" w:color="auto" w:fill="auto"/>
            <w:vAlign w:val="center"/>
            <w:hideMark/>
          </w:tcPr>
          <w:p w14:paraId="3E9C08E0"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hideMark/>
          </w:tcPr>
          <w:p w14:paraId="030D4FD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30BCDC7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never</w:t>
            </w:r>
          </w:p>
        </w:tc>
        <w:tc>
          <w:tcPr>
            <w:tcW w:w="1192" w:type="dxa"/>
            <w:tcBorders>
              <w:top w:val="nil"/>
              <w:left w:val="nil"/>
              <w:bottom w:val="nil"/>
              <w:right w:val="nil"/>
            </w:tcBorders>
            <w:shd w:val="clear" w:color="auto" w:fill="auto"/>
            <w:vAlign w:val="center"/>
            <w:hideMark/>
          </w:tcPr>
          <w:p w14:paraId="5862E0F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&gt;10</w:t>
            </w:r>
            <w:r w:rsidRPr="00895791">
              <w:rPr>
                <w:rFonts w:ascii="Verdana" w:eastAsia="Times New Roman" w:hAnsi="Verdana" w:cs="Calibri"/>
                <w:color w:val="000000"/>
                <w:sz w:val="20"/>
                <w:szCs w:val="20"/>
                <w:vertAlign w:val="superscript"/>
                <w:lang w:eastAsia="nl-NL"/>
              </w:rPr>
              <w:t>th</w:t>
            </w:r>
          </w:p>
        </w:tc>
      </w:tr>
      <w:tr w:rsidR="00375083" w:rsidRPr="00895791" w14:paraId="21CFD154"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7E3CFC4A"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13</w:t>
            </w:r>
          </w:p>
        </w:tc>
        <w:tc>
          <w:tcPr>
            <w:tcW w:w="883" w:type="dxa"/>
            <w:tcBorders>
              <w:top w:val="nil"/>
              <w:left w:val="nil"/>
              <w:bottom w:val="nil"/>
              <w:right w:val="nil"/>
            </w:tcBorders>
            <w:shd w:val="clear" w:color="auto" w:fill="auto"/>
            <w:vAlign w:val="center"/>
            <w:hideMark/>
          </w:tcPr>
          <w:p w14:paraId="04A79C92"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41</w:t>
            </w:r>
          </w:p>
        </w:tc>
        <w:tc>
          <w:tcPr>
            <w:tcW w:w="549" w:type="dxa"/>
            <w:tcBorders>
              <w:top w:val="nil"/>
              <w:left w:val="nil"/>
              <w:bottom w:val="nil"/>
              <w:right w:val="nil"/>
            </w:tcBorders>
            <w:shd w:val="clear" w:color="auto" w:fill="auto"/>
            <w:vAlign w:val="center"/>
            <w:hideMark/>
          </w:tcPr>
          <w:p w14:paraId="2D2E3FE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hideMark/>
          </w:tcPr>
          <w:p w14:paraId="6256DAA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Breast</w:t>
            </w:r>
          </w:p>
        </w:tc>
        <w:tc>
          <w:tcPr>
            <w:tcW w:w="704" w:type="dxa"/>
            <w:tcBorders>
              <w:top w:val="nil"/>
              <w:left w:val="nil"/>
              <w:bottom w:val="nil"/>
              <w:right w:val="nil"/>
            </w:tcBorders>
            <w:shd w:val="clear" w:color="auto" w:fill="auto"/>
            <w:vAlign w:val="center"/>
            <w:hideMark/>
          </w:tcPr>
          <w:p w14:paraId="390F596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1CE51C8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51</w:t>
            </w:r>
          </w:p>
        </w:tc>
        <w:tc>
          <w:tcPr>
            <w:tcW w:w="1108" w:type="dxa"/>
            <w:tcBorders>
              <w:top w:val="nil"/>
              <w:left w:val="nil"/>
              <w:bottom w:val="nil"/>
              <w:right w:val="nil"/>
            </w:tcBorders>
            <w:shd w:val="clear" w:color="auto" w:fill="auto"/>
            <w:vAlign w:val="center"/>
            <w:hideMark/>
          </w:tcPr>
          <w:p w14:paraId="1C855B8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-17.0</w:t>
            </w:r>
          </w:p>
        </w:tc>
        <w:tc>
          <w:tcPr>
            <w:tcW w:w="1028" w:type="dxa"/>
            <w:tcBorders>
              <w:top w:val="nil"/>
              <w:left w:val="nil"/>
              <w:bottom w:val="nil"/>
              <w:right w:val="nil"/>
            </w:tcBorders>
            <w:shd w:val="clear" w:color="auto" w:fill="auto"/>
            <w:vAlign w:val="center"/>
            <w:hideMark/>
          </w:tcPr>
          <w:p w14:paraId="431487F5"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hideMark/>
          </w:tcPr>
          <w:p w14:paraId="05B093E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P</w:t>
            </w:r>
          </w:p>
        </w:tc>
        <w:tc>
          <w:tcPr>
            <w:tcW w:w="1093" w:type="dxa"/>
            <w:tcBorders>
              <w:top w:val="nil"/>
              <w:left w:val="nil"/>
              <w:bottom w:val="nil"/>
              <w:right w:val="nil"/>
            </w:tcBorders>
            <w:shd w:val="clear" w:color="auto" w:fill="auto"/>
            <w:vAlign w:val="center"/>
            <w:hideMark/>
          </w:tcPr>
          <w:p w14:paraId="6226CCD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058D891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p>
        </w:tc>
      </w:tr>
      <w:tr w:rsidR="00375083" w:rsidRPr="00895791" w14:paraId="06955527"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3C9E44EE"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14</w:t>
            </w:r>
          </w:p>
        </w:tc>
        <w:tc>
          <w:tcPr>
            <w:tcW w:w="883" w:type="dxa"/>
            <w:tcBorders>
              <w:top w:val="nil"/>
              <w:left w:val="nil"/>
              <w:bottom w:val="nil"/>
              <w:right w:val="nil"/>
            </w:tcBorders>
            <w:shd w:val="clear" w:color="auto" w:fill="auto"/>
            <w:vAlign w:val="center"/>
            <w:hideMark/>
          </w:tcPr>
          <w:p w14:paraId="1EC727E5"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24</w:t>
            </w:r>
          </w:p>
        </w:tc>
        <w:tc>
          <w:tcPr>
            <w:tcW w:w="549" w:type="dxa"/>
            <w:tcBorders>
              <w:top w:val="nil"/>
              <w:left w:val="nil"/>
              <w:bottom w:val="nil"/>
              <w:right w:val="nil"/>
            </w:tcBorders>
            <w:shd w:val="clear" w:color="auto" w:fill="auto"/>
            <w:vAlign w:val="center"/>
            <w:hideMark/>
          </w:tcPr>
          <w:p w14:paraId="59522FF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hideMark/>
          </w:tcPr>
          <w:p w14:paraId="4107044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Breast</w:t>
            </w:r>
          </w:p>
        </w:tc>
        <w:tc>
          <w:tcPr>
            <w:tcW w:w="704" w:type="dxa"/>
            <w:tcBorders>
              <w:top w:val="nil"/>
              <w:left w:val="nil"/>
              <w:bottom w:val="nil"/>
              <w:right w:val="nil"/>
            </w:tcBorders>
            <w:shd w:val="clear" w:color="auto" w:fill="auto"/>
            <w:vAlign w:val="center"/>
            <w:hideMark/>
          </w:tcPr>
          <w:p w14:paraId="453BE0B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COP</w:t>
            </w:r>
          </w:p>
        </w:tc>
        <w:tc>
          <w:tcPr>
            <w:tcW w:w="568" w:type="dxa"/>
            <w:tcBorders>
              <w:top w:val="nil"/>
              <w:left w:val="nil"/>
              <w:bottom w:val="nil"/>
              <w:right w:val="nil"/>
            </w:tcBorders>
            <w:shd w:val="clear" w:color="auto" w:fill="auto"/>
            <w:vAlign w:val="center"/>
            <w:hideMark/>
          </w:tcPr>
          <w:p w14:paraId="252802C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57</w:t>
            </w:r>
          </w:p>
        </w:tc>
        <w:tc>
          <w:tcPr>
            <w:tcW w:w="1108" w:type="dxa"/>
            <w:tcBorders>
              <w:top w:val="nil"/>
              <w:left w:val="nil"/>
              <w:bottom w:val="nil"/>
              <w:right w:val="nil"/>
            </w:tcBorders>
            <w:shd w:val="clear" w:color="auto" w:fill="auto"/>
            <w:vAlign w:val="center"/>
            <w:hideMark/>
          </w:tcPr>
          <w:p w14:paraId="0AFE63C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-7.5</w:t>
            </w:r>
          </w:p>
        </w:tc>
        <w:tc>
          <w:tcPr>
            <w:tcW w:w="1028" w:type="dxa"/>
            <w:tcBorders>
              <w:top w:val="nil"/>
              <w:left w:val="nil"/>
              <w:bottom w:val="nil"/>
              <w:right w:val="nil"/>
            </w:tcBorders>
            <w:shd w:val="clear" w:color="auto" w:fill="auto"/>
            <w:vAlign w:val="center"/>
            <w:hideMark/>
          </w:tcPr>
          <w:p w14:paraId="5C46B5F0"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RTEL1</w:t>
            </w:r>
          </w:p>
        </w:tc>
        <w:tc>
          <w:tcPr>
            <w:tcW w:w="1638" w:type="dxa"/>
            <w:tcBorders>
              <w:top w:val="nil"/>
              <w:left w:val="nil"/>
              <w:bottom w:val="nil"/>
              <w:right w:val="nil"/>
            </w:tcBorders>
            <w:shd w:val="clear" w:color="auto" w:fill="auto"/>
            <w:vAlign w:val="center"/>
            <w:hideMark/>
          </w:tcPr>
          <w:p w14:paraId="1FBEA09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6F228F1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1BD99E2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&gt;10</w:t>
            </w:r>
            <w:r w:rsidRPr="00895791">
              <w:rPr>
                <w:rFonts w:ascii="Verdana" w:eastAsia="Times New Roman" w:hAnsi="Verdana" w:cs="Calibri"/>
                <w:color w:val="000000"/>
                <w:sz w:val="20"/>
                <w:szCs w:val="20"/>
                <w:vertAlign w:val="superscript"/>
                <w:lang w:eastAsia="nl-NL"/>
              </w:rPr>
              <w:t>th</w:t>
            </w:r>
          </w:p>
        </w:tc>
      </w:tr>
      <w:tr w:rsidR="00375083" w:rsidRPr="00895791" w14:paraId="431F7A5A"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29F06CDF"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15</w:t>
            </w:r>
          </w:p>
        </w:tc>
        <w:tc>
          <w:tcPr>
            <w:tcW w:w="883" w:type="dxa"/>
            <w:tcBorders>
              <w:top w:val="nil"/>
              <w:left w:val="nil"/>
              <w:bottom w:val="nil"/>
              <w:right w:val="nil"/>
            </w:tcBorders>
            <w:shd w:val="clear" w:color="auto" w:fill="auto"/>
            <w:vAlign w:val="center"/>
            <w:hideMark/>
          </w:tcPr>
          <w:p w14:paraId="078D673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19</w:t>
            </w:r>
          </w:p>
        </w:tc>
        <w:tc>
          <w:tcPr>
            <w:tcW w:w="549" w:type="dxa"/>
            <w:tcBorders>
              <w:top w:val="nil"/>
              <w:left w:val="nil"/>
              <w:bottom w:val="nil"/>
              <w:right w:val="nil"/>
            </w:tcBorders>
            <w:shd w:val="clear" w:color="auto" w:fill="auto"/>
            <w:vAlign w:val="center"/>
            <w:hideMark/>
          </w:tcPr>
          <w:p w14:paraId="56BDE91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4EA4336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MDS</w:t>
            </w:r>
          </w:p>
        </w:tc>
        <w:tc>
          <w:tcPr>
            <w:tcW w:w="704" w:type="dxa"/>
            <w:tcBorders>
              <w:top w:val="nil"/>
              <w:left w:val="nil"/>
              <w:bottom w:val="nil"/>
              <w:right w:val="nil"/>
            </w:tcBorders>
            <w:shd w:val="clear" w:color="auto" w:fill="auto"/>
            <w:vAlign w:val="center"/>
            <w:hideMark/>
          </w:tcPr>
          <w:p w14:paraId="0C55EA8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57127E7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62</w:t>
            </w:r>
          </w:p>
        </w:tc>
        <w:tc>
          <w:tcPr>
            <w:tcW w:w="1108" w:type="dxa"/>
            <w:tcBorders>
              <w:top w:val="nil"/>
              <w:left w:val="nil"/>
              <w:bottom w:val="nil"/>
              <w:right w:val="nil"/>
            </w:tcBorders>
            <w:shd w:val="clear" w:color="auto" w:fill="auto"/>
            <w:vAlign w:val="center"/>
            <w:hideMark/>
          </w:tcPr>
          <w:p w14:paraId="7B8AF4D2"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-6.3</w:t>
            </w:r>
          </w:p>
        </w:tc>
        <w:tc>
          <w:tcPr>
            <w:tcW w:w="1028" w:type="dxa"/>
            <w:tcBorders>
              <w:top w:val="nil"/>
              <w:left w:val="nil"/>
              <w:bottom w:val="nil"/>
              <w:right w:val="nil"/>
            </w:tcBorders>
            <w:shd w:val="clear" w:color="auto" w:fill="auto"/>
            <w:vAlign w:val="center"/>
            <w:hideMark/>
          </w:tcPr>
          <w:p w14:paraId="1CDF08B6"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ZCCHC8</w:t>
            </w:r>
            <w:r w:rsidRPr="00F00692">
              <w:rPr>
                <w:rFonts w:ascii="Arial" w:eastAsia="Times New Roman" w:hAnsi="Arial" w:cs="Arial"/>
                <w:i/>
                <w:iCs/>
                <w:color w:val="000000"/>
                <w:sz w:val="20"/>
                <w:szCs w:val="20"/>
                <w:vertAlign w:val="superscript"/>
                <w:lang w:eastAsia="nl-NL"/>
              </w:rPr>
              <w:t>ǁ</w:t>
            </w:r>
          </w:p>
        </w:tc>
        <w:tc>
          <w:tcPr>
            <w:tcW w:w="1638" w:type="dxa"/>
            <w:tcBorders>
              <w:top w:val="nil"/>
              <w:left w:val="nil"/>
              <w:bottom w:val="nil"/>
              <w:right w:val="nil"/>
            </w:tcBorders>
            <w:shd w:val="clear" w:color="auto" w:fill="auto"/>
            <w:vAlign w:val="center"/>
            <w:hideMark/>
          </w:tcPr>
          <w:p w14:paraId="335E01A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38729E8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2038EE6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r>
              <w:rPr>
                <w:rFonts w:ascii="Arial" w:eastAsia="Times New Roman" w:hAnsi="Arial" w:cs="Arial"/>
                <w:color w:val="000000"/>
                <w:sz w:val="20"/>
                <w:szCs w:val="20"/>
                <w:vertAlign w:val="superscript"/>
                <w:lang w:eastAsia="nl-NL"/>
              </w:rPr>
              <w:t>‡</w:t>
            </w:r>
          </w:p>
        </w:tc>
      </w:tr>
      <w:tr w:rsidR="00375083" w:rsidRPr="00895791" w14:paraId="12FBB1FE"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29A5B5B9"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16</w:t>
            </w:r>
          </w:p>
        </w:tc>
        <w:tc>
          <w:tcPr>
            <w:tcW w:w="883" w:type="dxa"/>
            <w:tcBorders>
              <w:top w:val="nil"/>
              <w:left w:val="nil"/>
              <w:bottom w:val="nil"/>
              <w:right w:val="nil"/>
            </w:tcBorders>
            <w:shd w:val="clear" w:color="auto" w:fill="auto"/>
            <w:vAlign w:val="center"/>
            <w:hideMark/>
          </w:tcPr>
          <w:p w14:paraId="55394AA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19</w:t>
            </w:r>
          </w:p>
        </w:tc>
        <w:tc>
          <w:tcPr>
            <w:tcW w:w="549" w:type="dxa"/>
            <w:tcBorders>
              <w:top w:val="nil"/>
              <w:left w:val="nil"/>
              <w:bottom w:val="nil"/>
              <w:right w:val="nil"/>
            </w:tcBorders>
            <w:shd w:val="clear" w:color="auto" w:fill="auto"/>
            <w:vAlign w:val="center"/>
            <w:hideMark/>
          </w:tcPr>
          <w:p w14:paraId="11F2D23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2B76B1F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MDS</w:t>
            </w:r>
          </w:p>
        </w:tc>
        <w:tc>
          <w:tcPr>
            <w:tcW w:w="704" w:type="dxa"/>
            <w:tcBorders>
              <w:top w:val="nil"/>
              <w:left w:val="nil"/>
              <w:bottom w:val="nil"/>
              <w:right w:val="nil"/>
            </w:tcBorders>
            <w:shd w:val="clear" w:color="auto" w:fill="auto"/>
            <w:vAlign w:val="center"/>
            <w:hideMark/>
          </w:tcPr>
          <w:p w14:paraId="0396167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2FE9975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63</w:t>
            </w:r>
          </w:p>
        </w:tc>
        <w:tc>
          <w:tcPr>
            <w:tcW w:w="1108" w:type="dxa"/>
            <w:tcBorders>
              <w:top w:val="nil"/>
              <w:left w:val="nil"/>
              <w:bottom w:val="nil"/>
              <w:right w:val="nil"/>
            </w:tcBorders>
            <w:shd w:val="clear" w:color="auto" w:fill="auto"/>
            <w:vAlign w:val="center"/>
            <w:hideMark/>
          </w:tcPr>
          <w:p w14:paraId="2F60E8C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0.0</w:t>
            </w:r>
          </w:p>
        </w:tc>
        <w:tc>
          <w:tcPr>
            <w:tcW w:w="1028" w:type="dxa"/>
            <w:tcBorders>
              <w:top w:val="nil"/>
              <w:left w:val="nil"/>
              <w:bottom w:val="nil"/>
              <w:right w:val="nil"/>
            </w:tcBorders>
            <w:shd w:val="clear" w:color="auto" w:fill="auto"/>
            <w:vAlign w:val="center"/>
            <w:hideMark/>
          </w:tcPr>
          <w:p w14:paraId="33D02A1D"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ZCCHC8</w:t>
            </w:r>
            <w:r w:rsidRPr="00753208">
              <w:rPr>
                <w:rFonts w:ascii="Arial" w:eastAsia="Times New Roman" w:hAnsi="Arial" w:cs="Arial"/>
                <w:i/>
                <w:iCs/>
                <w:color w:val="000000"/>
                <w:sz w:val="20"/>
                <w:szCs w:val="20"/>
                <w:vertAlign w:val="superscript"/>
                <w:lang w:eastAsia="nl-NL"/>
              </w:rPr>
              <w:t>ǁ</w:t>
            </w:r>
          </w:p>
        </w:tc>
        <w:tc>
          <w:tcPr>
            <w:tcW w:w="1638" w:type="dxa"/>
            <w:tcBorders>
              <w:top w:val="nil"/>
              <w:left w:val="nil"/>
              <w:bottom w:val="nil"/>
              <w:right w:val="nil"/>
            </w:tcBorders>
            <w:shd w:val="clear" w:color="auto" w:fill="auto"/>
            <w:vAlign w:val="center"/>
            <w:hideMark/>
          </w:tcPr>
          <w:p w14:paraId="53EC570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2CD28B3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2434A71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r>
              <w:rPr>
                <w:rFonts w:ascii="Arial" w:eastAsia="Times New Roman" w:hAnsi="Arial" w:cs="Arial"/>
                <w:color w:val="000000"/>
                <w:sz w:val="20"/>
                <w:szCs w:val="20"/>
                <w:vertAlign w:val="superscript"/>
                <w:lang w:eastAsia="nl-NL"/>
              </w:rPr>
              <w:t>‡</w:t>
            </w:r>
          </w:p>
        </w:tc>
      </w:tr>
      <w:tr w:rsidR="00375083" w:rsidRPr="00895791" w14:paraId="039C0594"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5CE8286D"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17</w:t>
            </w:r>
          </w:p>
        </w:tc>
        <w:tc>
          <w:tcPr>
            <w:tcW w:w="883" w:type="dxa"/>
            <w:tcBorders>
              <w:top w:val="nil"/>
              <w:left w:val="nil"/>
              <w:bottom w:val="nil"/>
              <w:right w:val="nil"/>
            </w:tcBorders>
            <w:shd w:val="clear" w:color="auto" w:fill="auto"/>
            <w:vAlign w:val="center"/>
            <w:hideMark/>
          </w:tcPr>
          <w:p w14:paraId="5163BE8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57</w:t>
            </w:r>
          </w:p>
        </w:tc>
        <w:tc>
          <w:tcPr>
            <w:tcW w:w="549" w:type="dxa"/>
            <w:tcBorders>
              <w:top w:val="nil"/>
              <w:left w:val="nil"/>
              <w:bottom w:val="nil"/>
              <w:right w:val="nil"/>
            </w:tcBorders>
            <w:shd w:val="clear" w:color="auto" w:fill="auto"/>
            <w:vAlign w:val="center"/>
            <w:hideMark/>
          </w:tcPr>
          <w:p w14:paraId="7A922912"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543E8F6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MDS</w:t>
            </w:r>
          </w:p>
        </w:tc>
        <w:tc>
          <w:tcPr>
            <w:tcW w:w="704" w:type="dxa"/>
            <w:tcBorders>
              <w:top w:val="nil"/>
              <w:left w:val="nil"/>
              <w:bottom w:val="nil"/>
              <w:right w:val="nil"/>
            </w:tcBorders>
            <w:shd w:val="clear" w:color="auto" w:fill="auto"/>
            <w:vAlign w:val="center"/>
            <w:hideMark/>
          </w:tcPr>
          <w:p w14:paraId="7F11140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4D3B0D3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69</w:t>
            </w:r>
          </w:p>
        </w:tc>
        <w:tc>
          <w:tcPr>
            <w:tcW w:w="1108" w:type="dxa"/>
            <w:tcBorders>
              <w:top w:val="nil"/>
              <w:left w:val="nil"/>
              <w:bottom w:val="nil"/>
              <w:right w:val="nil"/>
            </w:tcBorders>
            <w:shd w:val="clear" w:color="auto" w:fill="auto"/>
            <w:vAlign w:val="center"/>
            <w:hideMark/>
          </w:tcPr>
          <w:p w14:paraId="6D75DBF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-4.7</w:t>
            </w:r>
          </w:p>
        </w:tc>
        <w:tc>
          <w:tcPr>
            <w:tcW w:w="1028" w:type="dxa"/>
            <w:tcBorders>
              <w:top w:val="nil"/>
              <w:left w:val="nil"/>
              <w:bottom w:val="nil"/>
              <w:right w:val="nil"/>
            </w:tcBorders>
            <w:shd w:val="clear" w:color="auto" w:fill="auto"/>
            <w:vAlign w:val="center"/>
            <w:hideMark/>
          </w:tcPr>
          <w:p w14:paraId="5D840099"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proofErr w:type="spellStart"/>
            <w:r w:rsidRPr="00895791">
              <w:rPr>
                <w:rFonts w:ascii="Verdana" w:eastAsia="Times New Roman" w:hAnsi="Verdana" w:cs="Calibri"/>
                <w:i/>
                <w:iCs/>
                <w:color w:val="000000"/>
                <w:sz w:val="20"/>
                <w:szCs w:val="20"/>
                <w:lang w:eastAsia="nl-NL"/>
              </w:rPr>
              <w:t>PARN</w:t>
            </w:r>
            <w:r w:rsidRPr="00753208">
              <w:rPr>
                <w:rFonts w:ascii="Arial" w:eastAsia="Times New Roman" w:hAnsi="Arial" w:cs="Arial"/>
                <w:i/>
                <w:iCs/>
                <w:color w:val="000000"/>
                <w:sz w:val="20"/>
                <w:szCs w:val="20"/>
                <w:vertAlign w:val="superscript"/>
                <w:lang w:eastAsia="nl-NL"/>
              </w:rPr>
              <w:t>ǁ</w:t>
            </w:r>
            <w:proofErr w:type="spellEnd"/>
          </w:p>
        </w:tc>
        <w:tc>
          <w:tcPr>
            <w:tcW w:w="1638" w:type="dxa"/>
            <w:tcBorders>
              <w:top w:val="nil"/>
              <w:left w:val="nil"/>
              <w:bottom w:val="nil"/>
              <w:right w:val="nil"/>
            </w:tcBorders>
            <w:shd w:val="clear" w:color="auto" w:fill="auto"/>
            <w:vAlign w:val="center"/>
            <w:hideMark/>
          </w:tcPr>
          <w:p w14:paraId="2C17C939"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278F48C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3EE8CA0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&lt;10</w:t>
            </w:r>
            <w:r w:rsidRPr="00895791">
              <w:rPr>
                <w:rFonts w:ascii="Verdana" w:eastAsia="Times New Roman" w:hAnsi="Verdana" w:cs="Calibri"/>
                <w:color w:val="000000"/>
                <w:sz w:val="20"/>
                <w:szCs w:val="20"/>
                <w:vertAlign w:val="superscript"/>
                <w:lang w:eastAsia="nl-NL"/>
              </w:rPr>
              <w:t>th</w:t>
            </w:r>
            <w:r>
              <w:rPr>
                <w:rFonts w:ascii="Arial" w:eastAsia="Times New Roman" w:hAnsi="Arial" w:cs="Arial"/>
                <w:color w:val="000000"/>
                <w:sz w:val="20"/>
                <w:szCs w:val="20"/>
                <w:vertAlign w:val="superscript"/>
                <w:lang w:eastAsia="nl-NL"/>
              </w:rPr>
              <w:t>‡</w:t>
            </w:r>
          </w:p>
        </w:tc>
      </w:tr>
      <w:tr w:rsidR="00375083" w:rsidRPr="00895791" w14:paraId="001D20C0" w14:textId="77777777" w:rsidTr="00375083">
        <w:trPr>
          <w:trHeight w:val="300"/>
        </w:trPr>
        <w:tc>
          <w:tcPr>
            <w:tcW w:w="947" w:type="dxa"/>
            <w:tcBorders>
              <w:top w:val="nil"/>
              <w:left w:val="nil"/>
              <w:bottom w:val="nil"/>
              <w:right w:val="single" w:sz="4" w:space="0" w:color="auto"/>
            </w:tcBorders>
            <w:shd w:val="clear" w:color="auto" w:fill="auto"/>
            <w:vAlign w:val="center"/>
            <w:hideMark/>
          </w:tcPr>
          <w:p w14:paraId="138EC2BB"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18</w:t>
            </w:r>
          </w:p>
        </w:tc>
        <w:tc>
          <w:tcPr>
            <w:tcW w:w="883" w:type="dxa"/>
            <w:tcBorders>
              <w:top w:val="nil"/>
              <w:left w:val="nil"/>
              <w:bottom w:val="nil"/>
              <w:right w:val="nil"/>
            </w:tcBorders>
            <w:shd w:val="clear" w:color="auto" w:fill="auto"/>
            <w:vAlign w:val="center"/>
            <w:hideMark/>
          </w:tcPr>
          <w:p w14:paraId="66D129B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19</w:t>
            </w:r>
          </w:p>
        </w:tc>
        <w:tc>
          <w:tcPr>
            <w:tcW w:w="549" w:type="dxa"/>
            <w:tcBorders>
              <w:top w:val="nil"/>
              <w:left w:val="nil"/>
              <w:bottom w:val="nil"/>
              <w:right w:val="nil"/>
            </w:tcBorders>
            <w:shd w:val="clear" w:color="auto" w:fill="auto"/>
            <w:vAlign w:val="center"/>
            <w:hideMark/>
          </w:tcPr>
          <w:p w14:paraId="013B458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hideMark/>
          </w:tcPr>
          <w:p w14:paraId="59E6136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MDS</w:t>
            </w:r>
          </w:p>
        </w:tc>
        <w:tc>
          <w:tcPr>
            <w:tcW w:w="704" w:type="dxa"/>
            <w:tcBorders>
              <w:top w:val="nil"/>
              <w:left w:val="nil"/>
              <w:bottom w:val="nil"/>
              <w:right w:val="nil"/>
            </w:tcBorders>
            <w:shd w:val="clear" w:color="auto" w:fill="auto"/>
            <w:vAlign w:val="center"/>
            <w:hideMark/>
          </w:tcPr>
          <w:p w14:paraId="6A83DA7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hideMark/>
          </w:tcPr>
          <w:p w14:paraId="5F620B4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52</w:t>
            </w:r>
          </w:p>
        </w:tc>
        <w:tc>
          <w:tcPr>
            <w:tcW w:w="1108" w:type="dxa"/>
            <w:tcBorders>
              <w:top w:val="nil"/>
              <w:left w:val="nil"/>
              <w:bottom w:val="nil"/>
              <w:right w:val="nil"/>
            </w:tcBorders>
            <w:shd w:val="clear" w:color="auto" w:fill="auto"/>
            <w:vAlign w:val="center"/>
            <w:hideMark/>
          </w:tcPr>
          <w:p w14:paraId="4F57BE7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-0.4</w:t>
            </w:r>
          </w:p>
        </w:tc>
        <w:tc>
          <w:tcPr>
            <w:tcW w:w="1028" w:type="dxa"/>
            <w:tcBorders>
              <w:top w:val="nil"/>
              <w:left w:val="nil"/>
              <w:bottom w:val="nil"/>
              <w:right w:val="nil"/>
            </w:tcBorders>
            <w:shd w:val="clear" w:color="auto" w:fill="auto"/>
            <w:vAlign w:val="center"/>
            <w:hideMark/>
          </w:tcPr>
          <w:p w14:paraId="7433D2D8"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ZCCHC8</w:t>
            </w:r>
            <w:r w:rsidRPr="00753208">
              <w:rPr>
                <w:rFonts w:ascii="Arial" w:eastAsia="Times New Roman" w:hAnsi="Arial" w:cs="Arial"/>
                <w:i/>
                <w:iCs/>
                <w:color w:val="000000"/>
                <w:sz w:val="20"/>
                <w:szCs w:val="20"/>
                <w:vertAlign w:val="superscript"/>
                <w:lang w:eastAsia="nl-NL"/>
              </w:rPr>
              <w:t>ǁ</w:t>
            </w:r>
          </w:p>
        </w:tc>
        <w:tc>
          <w:tcPr>
            <w:tcW w:w="1638" w:type="dxa"/>
            <w:tcBorders>
              <w:top w:val="nil"/>
              <w:left w:val="nil"/>
              <w:bottom w:val="nil"/>
              <w:right w:val="nil"/>
            </w:tcBorders>
            <w:shd w:val="clear" w:color="auto" w:fill="auto"/>
            <w:vAlign w:val="center"/>
            <w:hideMark/>
          </w:tcPr>
          <w:p w14:paraId="032C97F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60CE9CF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7169BA4D" w14:textId="77777777" w:rsidR="00375083" w:rsidRPr="003F7829" w:rsidRDefault="00375083" w:rsidP="00375083">
            <w:pPr>
              <w:spacing w:after="0" w:line="240" w:lineRule="auto"/>
              <w:jc w:val="center"/>
              <w:rPr>
                <w:rFonts w:ascii="Verdana" w:eastAsia="Times New Roman" w:hAnsi="Verdana" w:cs="Calibri"/>
                <w:color w:val="000000"/>
                <w:sz w:val="20"/>
                <w:szCs w:val="20"/>
                <w:vertAlign w:val="superscript"/>
                <w:lang w:eastAsia="nl-NL"/>
              </w:rPr>
            </w:pPr>
            <w:r>
              <w:rPr>
                <w:rFonts w:ascii="Verdana" w:eastAsia="Times New Roman" w:hAnsi="Verdana" w:cs="Calibri"/>
                <w:color w:val="000000"/>
                <w:sz w:val="20"/>
                <w:szCs w:val="20"/>
                <w:lang w:eastAsia="nl-NL"/>
              </w:rPr>
              <w:t>NA</w:t>
            </w:r>
            <w:r>
              <w:rPr>
                <w:rFonts w:ascii="Arial" w:eastAsia="Times New Roman" w:hAnsi="Arial" w:cs="Arial"/>
                <w:color w:val="000000"/>
                <w:sz w:val="20"/>
                <w:szCs w:val="20"/>
                <w:vertAlign w:val="superscript"/>
                <w:lang w:eastAsia="nl-NL"/>
              </w:rPr>
              <w:t>§</w:t>
            </w:r>
          </w:p>
        </w:tc>
      </w:tr>
      <w:tr w:rsidR="00375083" w:rsidRPr="00895791" w14:paraId="4452E870" w14:textId="77777777" w:rsidTr="00375083">
        <w:trPr>
          <w:trHeight w:val="345"/>
        </w:trPr>
        <w:tc>
          <w:tcPr>
            <w:tcW w:w="947" w:type="dxa"/>
            <w:tcBorders>
              <w:top w:val="nil"/>
              <w:left w:val="nil"/>
              <w:bottom w:val="nil"/>
              <w:right w:val="single" w:sz="4" w:space="0" w:color="auto"/>
            </w:tcBorders>
            <w:shd w:val="clear" w:color="auto" w:fill="auto"/>
            <w:vAlign w:val="center"/>
          </w:tcPr>
          <w:p w14:paraId="787E1421"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19</w:t>
            </w:r>
          </w:p>
        </w:tc>
        <w:tc>
          <w:tcPr>
            <w:tcW w:w="883" w:type="dxa"/>
            <w:tcBorders>
              <w:top w:val="nil"/>
              <w:left w:val="nil"/>
              <w:bottom w:val="nil"/>
              <w:right w:val="nil"/>
            </w:tcBorders>
            <w:shd w:val="clear" w:color="auto" w:fill="auto"/>
            <w:vAlign w:val="center"/>
          </w:tcPr>
          <w:p w14:paraId="17D7208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101</w:t>
            </w:r>
          </w:p>
        </w:tc>
        <w:tc>
          <w:tcPr>
            <w:tcW w:w="549" w:type="dxa"/>
            <w:tcBorders>
              <w:top w:val="nil"/>
              <w:left w:val="nil"/>
              <w:bottom w:val="nil"/>
              <w:right w:val="nil"/>
            </w:tcBorders>
            <w:shd w:val="clear" w:color="auto" w:fill="auto"/>
            <w:vAlign w:val="center"/>
          </w:tcPr>
          <w:p w14:paraId="33081B3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tcPr>
          <w:p w14:paraId="5909A31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MDS</w:t>
            </w:r>
          </w:p>
        </w:tc>
        <w:tc>
          <w:tcPr>
            <w:tcW w:w="704" w:type="dxa"/>
            <w:tcBorders>
              <w:top w:val="nil"/>
              <w:left w:val="nil"/>
              <w:bottom w:val="nil"/>
              <w:right w:val="nil"/>
            </w:tcBorders>
            <w:shd w:val="clear" w:color="auto" w:fill="auto"/>
            <w:vAlign w:val="center"/>
          </w:tcPr>
          <w:p w14:paraId="61C372F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IPF</w:t>
            </w:r>
          </w:p>
        </w:tc>
        <w:tc>
          <w:tcPr>
            <w:tcW w:w="568" w:type="dxa"/>
            <w:tcBorders>
              <w:top w:val="nil"/>
              <w:left w:val="nil"/>
              <w:bottom w:val="nil"/>
              <w:right w:val="nil"/>
            </w:tcBorders>
            <w:shd w:val="clear" w:color="auto" w:fill="auto"/>
            <w:vAlign w:val="center"/>
          </w:tcPr>
          <w:p w14:paraId="221E48F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68</w:t>
            </w:r>
          </w:p>
        </w:tc>
        <w:tc>
          <w:tcPr>
            <w:tcW w:w="1108" w:type="dxa"/>
            <w:tcBorders>
              <w:top w:val="nil"/>
              <w:left w:val="nil"/>
              <w:bottom w:val="nil"/>
              <w:right w:val="nil"/>
            </w:tcBorders>
            <w:shd w:val="clear" w:color="auto" w:fill="auto"/>
            <w:vAlign w:val="center"/>
          </w:tcPr>
          <w:p w14:paraId="7EE31B4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-13.2</w:t>
            </w:r>
          </w:p>
        </w:tc>
        <w:tc>
          <w:tcPr>
            <w:tcW w:w="1028" w:type="dxa"/>
            <w:tcBorders>
              <w:top w:val="nil"/>
              <w:left w:val="nil"/>
              <w:bottom w:val="nil"/>
              <w:right w:val="nil"/>
            </w:tcBorders>
            <w:shd w:val="clear" w:color="auto" w:fill="auto"/>
            <w:vAlign w:val="center"/>
          </w:tcPr>
          <w:p w14:paraId="6999646D" w14:textId="77777777" w:rsidR="00375083" w:rsidRPr="00F00692" w:rsidRDefault="00375083" w:rsidP="00375083">
            <w:pPr>
              <w:spacing w:after="0" w:line="240" w:lineRule="auto"/>
              <w:jc w:val="center"/>
              <w:rPr>
                <w:rFonts w:ascii="Verdana" w:eastAsia="Times New Roman" w:hAnsi="Verdana" w:cs="Calibri"/>
                <w:iCs/>
                <w:color w:val="000000"/>
                <w:sz w:val="20"/>
                <w:szCs w:val="20"/>
                <w:vertAlign w:val="superscript"/>
                <w:lang w:eastAsia="nl-NL"/>
              </w:rPr>
            </w:pPr>
            <w:r w:rsidRPr="00895791">
              <w:rPr>
                <w:rFonts w:ascii="Verdana" w:eastAsia="Times New Roman" w:hAnsi="Verdana" w:cs="Calibri"/>
                <w:i/>
                <w:iCs/>
                <w:color w:val="000000"/>
                <w:sz w:val="20"/>
                <w:szCs w:val="20"/>
                <w:lang w:eastAsia="nl-NL"/>
              </w:rPr>
              <w:t>TERT</w:t>
            </w:r>
            <w:r>
              <w:rPr>
                <w:rFonts w:ascii="Verdana" w:eastAsia="Times New Roman" w:hAnsi="Verdana" w:cs="Calibri"/>
                <w:iCs/>
                <w:color w:val="000000"/>
                <w:sz w:val="20"/>
                <w:szCs w:val="20"/>
                <w:vertAlign w:val="superscript"/>
                <w:lang w:eastAsia="nl-NL"/>
              </w:rPr>
              <w:t>†</w:t>
            </w:r>
          </w:p>
        </w:tc>
        <w:tc>
          <w:tcPr>
            <w:tcW w:w="1638" w:type="dxa"/>
            <w:tcBorders>
              <w:top w:val="nil"/>
              <w:left w:val="nil"/>
              <w:bottom w:val="nil"/>
              <w:right w:val="nil"/>
            </w:tcBorders>
            <w:shd w:val="clear" w:color="auto" w:fill="auto"/>
            <w:vAlign w:val="center"/>
          </w:tcPr>
          <w:p w14:paraId="3CAEA54E"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VUS</w:t>
            </w:r>
          </w:p>
        </w:tc>
        <w:tc>
          <w:tcPr>
            <w:tcW w:w="1093" w:type="dxa"/>
            <w:tcBorders>
              <w:top w:val="nil"/>
              <w:left w:val="nil"/>
              <w:bottom w:val="nil"/>
              <w:right w:val="nil"/>
            </w:tcBorders>
            <w:shd w:val="clear" w:color="auto" w:fill="auto"/>
            <w:vAlign w:val="center"/>
          </w:tcPr>
          <w:p w14:paraId="130876E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tcPr>
          <w:p w14:paraId="46C6666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 xml:space="preserve"> &lt;1</w:t>
            </w:r>
            <w:r w:rsidRPr="00895791">
              <w:rPr>
                <w:rFonts w:ascii="Verdana" w:eastAsia="Times New Roman" w:hAnsi="Verdana" w:cs="Calibri"/>
                <w:color w:val="000000"/>
                <w:sz w:val="20"/>
                <w:szCs w:val="20"/>
                <w:vertAlign w:val="superscript"/>
                <w:lang w:eastAsia="nl-NL"/>
              </w:rPr>
              <w:t>st</w:t>
            </w:r>
            <w:r>
              <w:rPr>
                <w:rFonts w:ascii="Arial" w:eastAsia="Times New Roman" w:hAnsi="Arial" w:cs="Arial"/>
                <w:color w:val="000000"/>
                <w:sz w:val="20"/>
                <w:szCs w:val="20"/>
                <w:vertAlign w:val="superscript"/>
                <w:lang w:eastAsia="nl-NL"/>
              </w:rPr>
              <w:t>‡</w:t>
            </w:r>
          </w:p>
        </w:tc>
      </w:tr>
      <w:tr w:rsidR="00375083" w:rsidRPr="00895791" w14:paraId="1D422CB6" w14:textId="77777777" w:rsidTr="00375083">
        <w:trPr>
          <w:trHeight w:val="345"/>
        </w:trPr>
        <w:tc>
          <w:tcPr>
            <w:tcW w:w="947" w:type="dxa"/>
            <w:tcBorders>
              <w:top w:val="nil"/>
              <w:left w:val="nil"/>
              <w:bottom w:val="nil"/>
              <w:right w:val="single" w:sz="4" w:space="0" w:color="auto"/>
            </w:tcBorders>
            <w:shd w:val="clear" w:color="auto" w:fill="auto"/>
            <w:vAlign w:val="center"/>
            <w:hideMark/>
          </w:tcPr>
          <w:p w14:paraId="3BABEFEC"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20</w:t>
            </w:r>
          </w:p>
        </w:tc>
        <w:tc>
          <w:tcPr>
            <w:tcW w:w="883" w:type="dxa"/>
            <w:tcBorders>
              <w:top w:val="nil"/>
              <w:left w:val="nil"/>
              <w:bottom w:val="nil"/>
              <w:right w:val="nil"/>
            </w:tcBorders>
            <w:shd w:val="clear" w:color="auto" w:fill="auto"/>
            <w:vAlign w:val="center"/>
            <w:hideMark/>
          </w:tcPr>
          <w:p w14:paraId="4E200567"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34</w:t>
            </w:r>
          </w:p>
        </w:tc>
        <w:tc>
          <w:tcPr>
            <w:tcW w:w="549" w:type="dxa"/>
            <w:tcBorders>
              <w:top w:val="nil"/>
              <w:left w:val="nil"/>
              <w:bottom w:val="nil"/>
              <w:right w:val="nil"/>
            </w:tcBorders>
            <w:shd w:val="clear" w:color="auto" w:fill="auto"/>
            <w:vAlign w:val="center"/>
            <w:hideMark/>
          </w:tcPr>
          <w:p w14:paraId="3D7C2400"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w:t>
            </w:r>
          </w:p>
        </w:tc>
        <w:tc>
          <w:tcPr>
            <w:tcW w:w="969" w:type="dxa"/>
            <w:tcBorders>
              <w:top w:val="nil"/>
              <w:left w:val="nil"/>
              <w:bottom w:val="nil"/>
              <w:right w:val="nil"/>
            </w:tcBorders>
            <w:shd w:val="clear" w:color="auto" w:fill="auto"/>
            <w:vAlign w:val="center"/>
            <w:hideMark/>
          </w:tcPr>
          <w:p w14:paraId="5E7DD6D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MDS</w:t>
            </w:r>
          </w:p>
        </w:tc>
        <w:tc>
          <w:tcPr>
            <w:tcW w:w="704" w:type="dxa"/>
            <w:tcBorders>
              <w:top w:val="nil"/>
              <w:left w:val="nil"/>
              <w:bottom w:val="nil"/>
              <w:right w:val="nil"/>
            </w:tcBorders>
            <w:shd w:val="clear" w:color="auto" w:fill="auto"/>
            <w:vAlign w:val="center"/>
            <w:hideMark/>
          </w:tcPr>
          <w:p w14:paraId="1CA7AA7C"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NCIP</w:t>
            </w:r>
          </w:p>
        </w:tc>
        <w:tc>
          <w:tcPr>
            <w:tcW w:w="568" w:type="dxa"/>
            <w:tcBorders>
              <w:top w:val="nil"/>
              <w:left w:val="nil"/>
              <w:bottom w:val="nil"/>
              <w:right w:val="nil"/>
            </w:tcBorders>
            <w:shd w:val="clear" w:color="auto" w:fill="auto"/>
            <w:vAlign w:val="center"/>
            <w:hideMark/>
          </w:tcPr>
          <w:p w14:paraId="6744093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58</w:t>
            </w:r>
          </w:p>
        </w:tc>
        <w:tc>
          <w:tcPr>
            <w:tcW w:w="1108" w:type="dxa"/>
            <w:tcBorders>
              <w:top w:val="nil"/>
              <w:left w:val="nil"/>
              <w:bottom w:val="nil"/>
              <w:right w:val="nil"/>
            </w:tcBorders>
            <w:shd w:val="clear" w:color="auto" w:fill="auto"/>
            <w:vAlign w:val="center"/>
            <w:hideMark/>
          </w:tcPr>
          <w:p w14:paraId="3823AA8D"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2.1</w:t>
            </w:r>
          </w:p>
        </w:tc>
        <w:tc>
          <w:tcPr>
            <w:tcW w:w="1028" w:type="dxa"/>
            <w:tcBorders>
              <w:top w:val="nil"/>
              <w:left w:val="nil"/>
              <w:bottom w:val="nil"/>
              <w:right w:val="nil"/>
            </w:tcBorders>
            <w:shd w:val="clear" w:color="auto" w:fill="auto"/>
            <w:vAlign w:val="center"/>
            <w:hideMark/>
          </w:tcPr>
          <w:p w14:paraId="4B52B5F1"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r w:rsidRPr="00895791">
              <w:rPr>
                <w:rFonts w:ascii="Verdana" w:eastAsia="Times New Roman" w:hAnsi="Verdana" w:cs="Calibri"/>
                <w:i/>
                <w:iCs/>
                <w:color w:val="000000"/>
                <w:sz w:val="20"/>
                <w:szCs w:val="20"/>
                <w:lang w:eastAsia="nl-NL"/>
              </w:rPr>
              <w:t>TERT</w:t>
            </w:r>
          </w:p>
        </w:tc>
        <w:tc>
          <w:tcPr>
            <w:tcW w:w="1638" w:type="dxa"/>
            <w:tcBorders>
              <w:top w:val="nil"/>
              <w:left w:val="nil"/>
              <w:bottom w:val="nil"/>
              <w:right w:val="nil"/>
            </w:tcBorders>
            <w:shd w:val="clear" w:color="auto" w:fill="auto"/>
            <w:vAlign w:val="center"/>
            <w:hideMark/>
          </w:tcPr>
          <w:p w14:paraId="3F1ACCC5"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P</w:t>
            </w:r>
          </w:p>
        </w:tc>
        <w:tc>
          <w:tcPr>
            <w:tcW w:w="1093" w:type="dxa"/>
            <w:tcBorders>
              <w:top w:val="nil"/>
              <w:left w:val="nil"/>
              <w:bottom w:val="nil"/>
              <w:right w:val="nil"/>
            </w:tcBorders>
            <w:shd w:val="clear" w:color="auto" w:fill="auto"/>
            <w:vAlign w:val="center"/>
            <w:hideMark/>
          </w:tcPr>
          <w:p w14:paraId="022E82D4"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never</w:t>
            </w:r>
          </w:p>
        </w:tc>
        <w:tc>
          <w:tcPr>
            <w:tcW w:w="1192" w:type="dxa"/>
            <w:tcBorders>
              <w:top w:val="nil"/>
              <w:left w:val="nil"/>
              <w:bottom w:val="nil"/>
              <w:right w:val="nil"/>
            </w:tcBorders>
            <w:shd w:val="clear" w:color="auto" w:fill="auto"/>
            <w:vAlign w:val="center"/>
            <w:hideMark/>
          </w:tcPr>
          <w:p w14:paraId="4D5DA9A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 xml:space="preserve"> &lt;1</w:t>
            </w:r>
            <w:r w:rsidRPr="00895791">
              <w:rPr>
                <w:rFonts w:ascii="Verdana" w:eastAsia="Times New Roman" w:hAnsi="Verdana" w:cs="Calibri"/>
                <w:color w:val="000000"/>
                <w:sz w:val="20"/>
                <w:szCs w:val="20"/>
                <w:vertAlign w:val="superscript"/>
                <w:lang w:eastAsia="nl-NL"/>
              </w:rPr>
              <w:t>st</w:t>
            </w:r>
          </w:p>
        </w:tc>
      </w:tr>
      <w:tr w:rsidR="00375083" w:rsidRPr="00895791" w14:paraId="1AC3BC27" w14:textId="77777777" w:rsidTr="00375083">
        <w:trPr>
          <w:trHeight w:val="345"/>
        </w:trPr>
        <w:tc>
          <w:tcPr>
            <w:tcW w:w="947" w:type="dxa"/>
            <w:tcBorders>
              <w:top w:val="nil"/>
              <w:left w:val="nil"/>
              <w:bottom w:val="nil"/>
              <w:right w:val="single" w:sz="4" w:space="0" w:color="auto"/>
            </w:tcBorders>
            <w:shd w:val="clear" w:color="auto" w:fill="auto"/>
            <w:vAlign w:val="center"/>
            <w:hideMark/>
          </w:tcPr>
          <w:p w14:paraId="0EB9FFB6" w14:textId="77777777" w:rsidR="00375083" w:rsidRPr="00895791" w:rsidRDefault="00375083" w:rsidP="00375083">
            <w:pPr>
              <w:spacing w:after="0" w:line="240" w:lineRule="auto"/>
              <w:jc w:val="center"/>
              <w:rPr>
                <w:rFonts w:ascii="Verdana" w:eastAsia="Times New Roman" w:hAnsi="Verdana" w:cs="Calibri"/>
                <w:sz w:val="20"/>
                <w:szCs w:val="20"/>
                <w:lang w:eastAsia="nl-NL"/>
              </w:rPr>
            </w:pPr>
            <w:r w:rsidRPr="00895791">
              <w:rPr>
                <w:rFonts w:ascii="Verdana" w:eastAsia="Times New Roman" w:hAnsi="Verdana" w:cs="Calibri"/>
                <w:sz w:val="20"/>
                <w:szCs w:val="20"/>
                <w:lang w:eastAsia="nl-NL"/>
              </w:rPr>
              <w:t>21</w:t>
            </w:r>
            <w:r w:rsidRPr="00895791">
              <w:rPr>
                <w:rFonts w:ascii="Verdana" w:eastAsia="Times New Roman" w:hAnsi="Verdana" w:cs="Calibri"/>
                <w:sz w:val="20"/>
                <w:szCs w:val="20"/>
                <w:vertAlign w:val="superscript"/>
                <w:lang w:eastAsia="nl-NL"/>
              </w:rPr>
              <w:t>*</w:t>
            </w:r>
          </w:p>
        </w:tc>
        <w:tc>
          <w:tcPr>
            <w:tcW w:w="883" w:type="dxa"/>
            <w:tcBorders>
              <w:top w:val="nil"/>
              <w:left w:val="nil"/>
              <w:bottom w:val="nil"/>
              <w:right w:val="nil"/>
            </w:tcBorders>
            <w:shd w:val="clear" w:color="auto" w:fill="auto"/>
            <w:vAlign w:val="center"/>
            <w:hideMark/>
          </w:tcPr>
          <w:p w14:paraId="1093A86F"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58</w:t>
            </w:r>
          </w:p>
        </w:tc>
        <w:tc>
          <w:tcPr>
            <w:tcW w:w="549" w:type="dxa"/>
            <w:tcBorders>
              <w:top w:val="nil"/>
              <w:left w:val="nil"/>
              <w:bottom w:val="nil"/>
              <w:right w:val="nil"/>
            </w:tcBorders>
            <w:shd w:val="clear" w:color="auto" w:fill="auto"/>
            <w:vAlign w:val="center"/>
            <w:hideMark/>
          </w:tcPr>
          <w:p w14:paraId="0BB17076"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F</w:t>
            </w:r>
          </w:p>
        </w:tc>
        <w:tc>
          <w:tcPr>
            <w:tcW w:w="969" w:type="dxa"/>
            <w:tcBorders>
              <w:top w:val="nil"/>
              <w:left w:val="nil"/>
              <w:bottom w:val="nil"/>
              <w:right w:val="nil"/>
            </w:tcBorders>
            <w:shd w:val="clear" w:color="auto" w:fill="auto"/>
            <w:vAlign w:val="center"/>
            <w:hideMark/>
          </w:tcPr>
          <w:p w14:paraId="313412F2"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MDS</w:t>
            </w:r>
          </w:p>
        </w:tc>
        <w:tc>
          <w:tcPr>
            <w:tcW w:w="704" w:type="dxa"/>
            <w:tcBorders>
              <w:top w:val="nil"/>
              <w:left w:val="nil"/>
              <w:bottom w:val="nil"/>
              <w:right w:val="nil"/>
            </w:tcBorders>
            <w:shd w:val="clear" w:color="auto" w:fill="auto"/>
            <w:vAlign w:val="center"/>
            <w:hideMark/>
          </w:tcPr>
          <w:p w14:paraId="35C78A9B"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HP</w:t>
            </w:r>
          </w:p>
        </w:tc>
        <w:tc>
          <w:tcPr>
            <w:tcW w:w="568" w:type="dxa"/>
            <w:tcBorders>
              <w:top w:val="nil"/>
              <w:left w:val="nil"/>
              <w:bottom w:val="nil"/>
              <w:right w:val="nil"/>
            </w:tcBorders>
            <w:shd w:val="clear" w:color="auto" w:fill="auto"/>
            <w:vAlign w:val="center"/>
            <w:hideMark/>
          </w:tcPr>
          <w:p w14:paraId="431D3B18"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55</w:t>
            </w:r>
          </w:p>
        </w:tc>
        <w:tc>
          <w:tcPr>
            <w:tcW w:w="1108" w:type="dxa"/>
            <w:tcBorders>
              <w:top w:val="nil"/>
              <w:left w:val="nil"/>
              <w:bottom w:val="nil"/>
              <w:right w:val="nil"/>
            </w:tcBorders>
            <w:shd w:val="clear" w:color="auto" w:fill="auto"/>
            <w:vAlign w:val="center"/>
            <w:hideMark/>
          </w:tcPr>
          <w:p w14:paraId="5370D8F1"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-1.3</w:t>
            </w:r>
          </w:p>
        </w:tc>
        <w:tc>
          <w:tcPr>
            <w:tcW w:w="1028" w:type="dxa"/>
            <w:tcBorders>
              <w:top w:val="nil"/>
              <w:left w:val="nil"/>
              <w:bottom w:val="nil"/>
              <w:right w:val="nil"/>
            </w:tcBorders>
            <w:shd w:val="clear" w:color="auto" w:fill="auto"/>
            <w:vAlign w:val="center"/>
            <w:hideMark/>
          </w:tcPr>
          <w:p w14:paraId="2B3F6B7F" w14:textId="77777777" w:rsidR="00375083" w:rsidRPr="00895791" w:rsidRDefault="00375083" w:rsidP="00375083">
            <w:pPr>
              <w:spacing w:after="0" w:line="240" w:lineRule="auto"/>
              <w:jc w:val="center"/>
              <w:rPr>
                <w:rFonts w:ascii="Verdana" w:eastAsia="Times New Roman" w:hAnsi="Verdana" w:cs="Calibri"/>
                <w:i/>
                <w:iCs/>
                <w:color w:val="000000"/>
                <w:sz w:val="20"/>
                <w:szCs w:val="20"/>
                <w:lang w:eastAsia="nl-NL"/>
              </w:rPr>
            </w:pPr>
            <w:proofErr w:type="spellStart"/>
            <w:r w:rsidRPr="00895791">
              <w:rPr>
                <w:rFonts w:ascii="Verdana" w:eastAsia="Times New Roman" w:hAnsi="Verdana" w:cs="Calibri"/>
                <w:i/>
                <w:iCs/>
                <w:color w:val="000000"/>
                <w:sz w:val="20"/>
                <w:szCs w:val="20"/>
                <w:lang w:eastAsia="nl-NL"/>
              </w:rPr>
              <w:t>TERT</w:t>
            </w:r>
            <w:r w:rsidRPr="00753208">
              <w:rPr>
                <w:rFonts w:ascii="Arial" w:eastAsia="Times New Roman" w:hAnsi="Arial" w:cs="Arial"/>
                <w:i/>
                <w:iCs/>
                <w:color w:val="000000"/>
                <w:sz w:val="20"/>
                <w:szCs w:val="20"/>
                <w:vertAlign w:val="superscript"/>
                <w:lang w:eastAsia="nl-NL"/>
              </w:rPr>
              <w:t>ǁ</w:t>
            </w:r>
            <w:proofErr w:type="spellEnd"/>
          </w:p>
        </w:tc>
        <w:tc>
          <w:tcPr>
            <w:tcW w:w="1638" w:type="dxa"/>
            <w:tcBorders>
              <w:top w:val="nil"/>
              <w:left w:val="nil"/>
              <w:bottom w:val="nil"/>
              <w:right w:val="nil"/>
            </w:tcBorders>
            <w:shd w:val="clear" w:color="auto" w:fill="auto"/>
            <w:vAlign w:val="center"/>
            <w:hideMark/>
          </w:tcPr>
          <w:p w14:paraId="3B0BA7BA"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LP</w:t>
            </w:r>
          </w:p>
        </w:tc>
        <w:tc>
          <w:tcPr>
            <w:tcW w:w="1093" w:type="dxa"/>
            <w:tcBorders>
              <w:top w:val="nil"/>
              <w:left w:val="nil"/>
              <w:bottom w:val="nil"/>
              <w:right w:val="nil"/>
            </w:tcBorders>
            <w:shd w:val="clear" w:color="auto" w:fill="auto"/>
            <w:vAlign w:val="center"/>
            <w:hideMark/>
          </w:tcPr>
          <w:p w14:paraId="492E541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ever</w:t>
            </w:r>
          </w:p>
        </w:tc>
        <w:tc>
          <w:tcPr>
            <w:tcW w:w="1192" w:type="dxa"/>
            <w:tcBorders>
              <w:top w:val="nil"/>
              <w:left w:val="nil"/>
              <w:bottom w:val="nil"/>
              <w:right w:val="nil"/>
            </w:tcBorders>
            <w:shd w:val="clear" w:color="auto" w:fill="auto"/>
            <w:vAlign w:val="center"/>
            <w:hideMark/>
          </w:tcPr>
          <w:p w14:paraId="115C3E03" w14:textId="77777777" w:rsidR="00375083" w:rsidRPr="00895791" w:rsidRDefault="00375083" w:rsidP="00375083">
            <w:pPr>
              <w:spacing w:after="0" w:line="240" w:lineRule="auto"/>
              <w:jc w:val="center"/>
              <w:rPr>
                <w:rFonts w:ascii="Verdana" w:eastAsia="Times New Roman" w:hAnsi="Verdana" w:cs="Calibri"/>
                <w:color w:val="000000"/>
                <w:sz w:val="20"/>
                <w:szCs w:val="20"/>
                <w:lang w:eastAsia="nl-NL"/>
              </w:rPr>
            </w:pPr>
            <w:r w:rsidRPr="00895791">
              <w:rPr>
                <w:rFonts w:ascii="Verdana" w:eastAsia="Times New Roman" w:hAnsi="Verdana" w:cs="Calibri"/>
                <w:color w:val="000000"/>
                <w:sz w:val="20"/>
                <w:szCs w:val="20"/>
                <w:lang w:eastAsia="nl-NL"/>
              </w:rPr>
              <w:t xml:space="preserve"> &lt;1</w:t>
            </w:r>
            <w:r w:rsidRPr="00895791">
              <w:rPr>
                <w:rFonts w:ascii="Verdana" w:eastAsia="Times New Roman" w:hAnsi="Verdana" w:cs="Calibri"/>
                <w:color w:val="000000"/>
                <w:sz w:val="20"/>
                <w:szCs w:val="20"/>
                <w:vertAlign w:val="superscript"/>
                <w:lang w:eastAsia="nl-NL"/>
              </w:rPr>
              <w:t>st</w:t>
            </w:r>
            <w:r>
              <w:rPr>
                <w:rFonts w:ascii="Arial" w:eastAsia="Times New Roman" w:hAnsi="Arial" w:cs="Arial"/>
                <w:color w:val="000000"/>
                <w:sz w:val="20"/>
                <w:szCs w:val="20"/>
                <w:vertAlign w:val="superscript"/>
                <w:lang w:eastAsia="nl-NL"/>
              </w:rPr>
              <w:t>‡</w:t>
            </w:r>
          </w:p>
        </w:tc>
      </w:tr>
    </w:tbl>
    <w:p w14:paraId="46F4A0ED" w14:textId="77777777" w:rsidR="00D42724" w:rsidRDefault="00D42724" w:rsidP="00776018">
      <w:pPr>
        <w:spacing w:line="360" w:lineRule="auto"/>
        <w:jc w:val="both"/>
        <w:rPr>
          <w:rFonts w:ascii="Verdana" w:hAnsi="Verdana"/>
          <w:b/>
          <w:sz w:val="20"/>
          <w:szCs w:val="20"/>
        </w:rPr>
      </w:pPr>
    </w:p>
    <w:p w14:paraId="029074C9" w14:textId="77777777" w:rsidR="00F56D06" w:rsidRDefault="008C1D0D" w:rsidP="00444383">
      <w:pPr>
        <w:rPr>
          <w:rFonts w:ascii="Verdana" w:hAnsi="Verdana" w:cstheme="minorHAnsi"/>
          <w:sz w:val="20"/>
          <w:szCs w:val="20"/>
          <w:lang w:val="en-US"/>
        </w:rPr>
      </w:pPr>
      <w:r w:rsidRPr="00895791">
        <w:rPr>
          <w:rFonts w:ascii="Verdana" w:hAnsi="Verdana"/>
          <w:sz w:val="20"/>
          <w:szCs w:val="20"/>
        </w:rPr>
        <w:t>*</w:t>
      </w:r>
      <w:r w:rsidRPr="00895791">
        <w:rPr>
          <w:rFonts w:ascii="Verdana" w:hAnsi="Verdana"/>
          <w:sz w:val="20"/>
          <w:szCs w:val="20"/>
          <w:vertAlign w:val="superscript"/>
        </w:rPr>
        <w:t xml:space="preserve"> </w:t>
      </w:r>
      <w:r w:rsidRPr="00895791">
        <w:rPr>
          <w:rFonts w:ascii="Verdana" w:hAnsi="Verdana"/>
          <w:sz w:val="20"/>
          <w:szCs w:val="20"/>
        </w:rPr>
        <w:t xml:space="preserve">genetically </w:t>
      </w:r>
      <w:proofErr w:type="spellStart"/>
      <w:r w:rsidRPr="00895791">
        <w:rPr>
          <w:rFonts w:ascii="Verdana" w:hAnsi="Verdana"/>
          <w:sz w:val="20"/>
          <w:szCs w:val="20"/>
        </w:rPr>
        <w:t>analyzed</w:t>
      </w:r>
      <w:proofErr w:type="spellEnd"/>
      <w:r w:rsidRPr="00895791">
        <w:rPr>
          <w:rFonts w:ascii="Verdana" w:hAnsi="Verdana"/>
          <w:sz w:val="20"/>
          <w:szCs w:val="20"/>
        </w:rPr>
        <w:t xml:space="preserve"> because of clinical signs of a telomere biology disorder (TBD),  Ca: cancer, dx: diagnosis, PF: pulmonary fibrosis, TRG: telomere related gene, y: years, Cancer types: </w:t>
      </w:r>
      <w:proofErr w:type="spellStart"/>
      <w:r w:rsidRPr="00895791">
        <w:rPr>
          <w:rFonts w:ascii="Verdana" w:hAnsi="Verdana"/>
          <w:sz w:val="20"/>
          <w:szCs w:val="20"/>
        </w:rPr>
        <w:t>Unk</w:t>
      </w:r>
      <w:proofErr w:type="spellEnd"/>
      <w:r w:rsidRPr="00895791">
        <w:rPr>
          <w:rFonts w:ascii="Verdana" w:hAnsi="Verdana"/>
          <w:sz w:val="20"/>
          <w:szCs w:val="20"/>
        </w:rPr>
        <w:t xml:space="preserve">: primary </w:t>
      </w:r>
      <w:proofErr w:type="spellStart"/>
      <w:r>
        <w:rPr>
          <w:rFonts w:ascii="Verdana" w:hAnsi="Verdana"/>
          <w:sz w:val="20"/>
          <w:szCs w:val="20"/>
        </w:rPr>
        <w:t>tumo</w:t>
      </w:r>
      <w:r w:rsidRPr="00895791">
        <w:rPr>
          <w:rFonts w:ascii="Verdana" w:hAnsi="Verdana"/>
          <w:sz w:val="20"/>
          <w:szCs w:val="20"/>
        </w:rPr>
        <w:t>r</w:t>
      </w:r>
      <w:proofErr w:type="spellEnd"/>
      <w:r w:rsidRPr="00895791">
        <w:rPr>
          <w:rFonts w:ascii="Verdana" w:hAnsi="Verdana"/>
          <w:sz w:val="20"/>
          <w:szCs w:val="20"/>
        </w:rPr>
        <w:t xml:space="preserve"> unknown,</w:t>
      </w:r>
      <w:r w:rsidR="00776018">
        <w:rPr>
          <w:rFonts w:ascii="Verdana" w:hAnsi="Verdana"/>
          <w:sz w:val="20"/>
          <w:szCs w:val="20"/>
        </w:rPr>
        <w:t xml:space="preserve"> </w:t>
      </w:r>
      <w:proofErr w:type="spellStart"/>
      <w:r w:rsidR="00776018">
        <w:rPr>
          <w:rFonts w:ascii="Verdana" w:hAnsi="Verdana"/>
          <w:sz w:val="20"/>
          <w:szCs w:val="20"/>
        </w:rPr>
        <w:t>Lymp</w:t>
      </w:r>
      <w:proofErr w:type="spellEnd"/>
      <w:r w:rsidR="00776018">
        <w:rPr>
          <w:rFonts w:ascii="Verdana" w:hAnsi="Verdana"/>
          <w:sz w:val="20"/>
          <w:szCs w:val="20"/>
        </w:rPr>
        <w:t xml:space="preserve">: lymphoma, </w:t>
      </w:r>
      <w:proofErr w:type="spellStart"/>
      <w:r w:rsidR="00776018">
        <w:rPr>
          <w:rFonts w:ascii="Verdana" w:hAnsi="Verdana"/>
          <w:sz w:val="20"/>
          <w:szCs w:val="20"/>
        </w:rPr>
        <w:t>Eso</w:t>
      </w:r>
      <w:proofErr w:type="spellEnd"/>
      <w:r w:rsidR="00776018">
        <w:rPr>
          <w:rFonts w:ascii="Verdana" w:hAnsi="Verdana"/>
          <w:sz w:val="20"/>
          <w:szCs w:val="20"/>
        </w:rPr>
        <w:t xml:space="preserve">: </w:t>
      </w:r>
      <w:proofErr w:type="spellStart"/>
      <w:r w:rsidR="00776018">
        <w:rPr>
          <w:rFonts w:ascii="Verdana" w:hAnsi="Verdana"/>
          <w:sz w:val="20"/>
          <w:szCs w:val="20"/>
        </w:rPr>
        <w:t>Esophagus</w:t>
      </w:r>
      <w:proofErr w:type="spellEnd"/>
      <w:r w:rsidR="00776018">
        <w:rPr>
          <w:rFonts w:ascii="Verdana" w:hAnsi="Verdana"/>
          <w:sz w:val="20"/>
          <w:szCs w:val="20"/>
        </w:rPr>
        <w:t>,</w:t>
      </w:r>
      <w:r w:rsidRPr="00895791">
        <w:rPr>
          <w:rFonts w:ascii="Verdana" w:hAnsi="Verdana"/>
          <w:sz w:val="20"/>
          <w:szCs w:val="20"/>
        </w:rPr>
        <w:t xml:space="preserve">  MDS: myelodysplastic syndrome, IPF: idiopathic pulmonary fibrosis; </w:t>
      </w:r>
      <w:r w:rsidR="00776018">
        <w:rPr>
          <w:rFonts w:ascii="Verdana" w:hAnsi="Verdana"/>
          <w:sz w:val="20"/>
          <w:szCs w:val="20"/>
        </w:rPr>
        <w:t xml:space="preserve">UCTD: undefined connective tissue disease; </w:t>
      </w:r>
      <w:proofErr w:type="spellStart"/>
      <w:r w:rsidRPr="00895791">
        <w:rPr>
          <w:rFonts w:ascii="Verdana" w:hAnsi="Verdana"/>
          <w:sz w:val="20"/>
          <w:szCs w:val="20"/>
        </w:rPr>
        <w:t>Pn</w:t>
      </w:r>
      <w:proofErr w:type="spellEnd"/>
      <w:r w:rsidRPr="00895791">
        <w:rPr>
          <w:rFonts w:ascii="Verdana" w:hAnsi="Verdana"/>
          <w:sz w:val="20"/>
          <w:szCs w:val="20"/>
        </w:rPr>
        <w:t>: pneumoconiosis; COP, cryptogenic organizing pneumonia; NCIP, non-classifiable interstitial pneumonia;</w:t>
      </w:r>
      <w:r>
        <w:rPr>
          <w:rFonts w:ascii="Verdana" w:hAnsi="Verdana"/>
          <w:sz w:val="20"/>
          <w:szCs w:val="20"/>
        </w:rPr>
        <w:t xml:space="preserve"> HP, hypersensitivity pneumonitis;</w:t>
      </w:r>
      <w:r w:rsidRPr="00895791">
        <w:rPr>
          <w:rFonts w:ascii="Verdana" w:hAnsi="Verdana"/>
          <w:sz w:val="20"/>
          <w:szCs w:val="20"/>
        </w:rPr>
        <w:t xml:space="preserve"> </w:t>
      </w:r>
      <w:r>
        <w:rPr>
          <w:rFonts w:ascii="Verdana" w:hAnsi="Verdana"/>
          <w:sz w:val="20"/>
          <w:szCs w:val="20"/>
        </w:rPr>
        <w:t>VUS,</w:t>
      </w:r>
      <w:r w:rsidRPr="00895791">
        <w:rPr>
          <w:rFonts w:ascii="Verdana" w:hAnsi="Verdana"/>
          <w:sz w:val="20"/>
          <w:szCs w:val="20"/>
        </w:rPr>
        <w:t xml:space="preserve"> vari</w:t>
      </w:r>
      <w:r>
        <w:rPr>
          <w:rFonts w:ascii="Verdana" w:hAnsi="Verdana"/>
          <w:sz w:val="20"/>
          <w:szCs w:val="20"/>
        </w:rPr>
        <w:t>ant of unknown significance, LP, likely pathogenic, P,</w:t>
      </w:r>
      <w:r w:rsidRPr="00895791">
        <w:rPr>
          <w:rFonts w:ascii="Verdana" w:hAnsi="Verdana"/>
          <w:sz w:val="20"/>
          <w:szCs w:val="20"/>
        </w:rPr>
        <w:t xml:space="preserve"> pathogenic, Telomere Length (TL): &lt;1</w:t>
      </w:r>
      <w:r w:rsidRPr="00895791">
        <w:rPr>
          <w:rFonts w:ascii="Verdana" w:hAnsi="Verdana"/>
          <w:sz w:val="20"/>
          <w:szCs w:val="20"/>
          <w:vertAlign w:val="superscript"/>
        </w:rPr>
        <w:t>st</w:t>
      </w:r>
      <w:r w:rsidRPr="00895791">
        <w:rPr>
          <w:rFonts w:ascii="Verdana" w:hAnsi="Verdana"/>
          <w:sz w:val="20"/>
          <w:szCs w:val="20"/>
        </w:rPr>
        <w:t>, TL below first percentile of controls; &lt;10</w:t>
      </w:r>
      <w:r w:rsidRPr="00895791">
        <w:rPr>
          <w:rFonts w:ascii="Verdana" w:hAnsi="Verdana"/>
          <w:sz w:val="20"/>
          <w:szCs w:val="20"/>
          <w:vertAlign w:val="superscript"/>
        </w:rPr>
        <w:t>th</w:t>
      </w:r>
      <w:r w:rsidRPr="00895791">
        <w:rPr>
          <w:rFonts w:ascii="Verdana" w:hAnsi="Verdana"/>
          <w:sz w:val="20"/>
          <w:szCs w:val="20"/>
        </w:rPr>
        <w:t xml:space="preserve">, TL below tenth percentile of controls; </w:t>
      </w:r>
      <w:r w:rsidRPr="00895791">
        <w:rPr>
          <w:rFonts w:ascii="Verdana" w:hAnsi="Verdana"/>
          <w:sz w:val="20"/>
          <w:szCs w:val="20"/>
          <w:vertAlign w:val="superscript"/>
        </w:rPr>
        <w:t xml:space="preserve"> </w:t>
      </w:r>
      <w:r w:rsidRPr="00895791">
        <w:rPr>
          <w:rFonts w:ascii="Verdana" w:eastAsia="Times New Roman" w:hAnsi="Verdana" w:cs="Calibri"/>
          <w:color w:val="000000"/>
          <w:sz w:val="20"/>
          <w:szCs w:val="20"/>
          <w:lang w:eastAsia="nl-NL"/>
        </w:rPr>
        <w:t>&gt;10</w:t>
      </w:r>
      <w:r w:rsidRPr="00895791">
        <w:rPr>
          <w:rFonts w:ascii="Verdana" w:eastAsia="Times New Roman" w:hAnsi="Verdana" w:cs="Calibri"/>
          <w:color w:val="000000"/>
          <w:sz w:val="20"/>
          <w:szCs w:val="20"/>
          <w:vertAlign w:val="superscript"/>
          <w:lang w:eastAsia="nl-NL"/>
        </w:rPr>
        <w:t>th</w:t>
      </w:r>
      <w:r w:rsidRPr="00895791">
        <w:rPr>
          <w:rFonts w:ascii="Verdana" w:hAnsi="Verdana"/>
          <w:sz w:val="20"/>
          <w:szCs w:val="20"/>
        </w:rPr>
        <w:t xml:space="preserve">, TL above tenth percentile of controls. </w:t>
      </w:r>
      <w:r w:rsidRPr="00895791">
        <w:rPr>
          <w:rFonts w:ascii="Verdana" w:hAnsi="Verdana" w:cstheme="minorHAnsi"/>
          <w:sz w:val="20"/>
          <w:szCs w:val="20"/>
        </w:rPr>
        <w:t>The family connection between the patients within families #4, #19 and #41 is sibling.</w:t>
      </w:r>
      <w:r w:rsidRPr="00895791">
        <w:rPr>
          <w:rFonts w:ascii="Verdana" w:hAnsi="Verdana"/>
          <w:sz w:val="20"/>
          <w:szCs w:val="20"/>
        </w:rPr>
        <w:t xml:space="preserve"> </w:t>
      </w:r>
      <w:r w:rsidRPr="007D38F5">
        <w:rPr>
          <w:rFonts w:ascii="Verdana" w:hAnsi="Verdana"/>
          <w:sz w:val="20"/>
          <w:szCs w:val="20"/>
          <w:vertAlign w:val="superscript"/>
        </w:rPr>
        <w:t>$</w:t>
      </w:r>
      <w:r>
        <w:rPr>
          <w:rFonts w:ascii="Verdana" w:hAnsi="Verdana"/>
          <w:sz w:val="20"/>
          <w:szCs w:val="20"/>
        </w:rPr>
        <w:t>no sample</w:t>
      </w:r>
      <w:r w:rsidR="00337297">
        <w:rPr>
          <w:rFonts w:ascii="Verdana" w:hAnsi="Verdana"/>
          <w:sz w:val="20"/>
          <w:szCs w:val="20"/>
        </w:rPr>
        <w:t xml:space="preserve"> for TL measurement</w:t>
      </w:r>
      <w:r>
        <w:rPr>
          <w:rFonts w:ascii="Verdana" w:hAnsi="Verdana"/>
          <w:sz w:val="20"/>
          <w:szCs w:val="20"/>
        </w:rPr>
        <w:t xml:space="preserve"> prior to stem</w:t>
      </w:r>
      <w:r w:rsidR="00EC3522">
        <w:rPr>
          <w:rFonts w:ascii="Verdana" w:hAnsi="Verdana"/>
          <w:sz w:val="20"/>
          <w:szCs w:val="20"/>
        </w:rPr>
        <w:t xml:space="preserve"> cell transplantation available; </w:t>
      </w:r>
      <w:r w:rsidR="00EC3522">
        <w:rPr>
          <w:rFonts w:ascii="Verdana" w:hAnsi="Verdana" w:cs="Arial"/>
          <w:sz w:val="20"/>
          <w:szCs w:val="20"/>
          <w:vertAlign w:val="superscript"/>
        </w:rPr>
        <w:t>‡</w:t>
      </w:r>
      <w:r w:rsidR="00EC3522">
        <w:rPr>
          <w:rFonts w:ascii="Verdana" w:hAnsi="Verdana" w:cs="Arial"/>
          <w:sz w:val="20"/>
          <w:szCs w:val="20"/>
        </w:rPr>
        <w:t>measured during MDS</w:t>
      </w:r>
      <w:r w:rsidR="00EC3522" w:rsidRPr="00E13FF4">
        <w:rPr>
          <w:rFonts w:ascii="Verdana" w:hAnsi="Verdana" w:cs="Arial"/>
          <w:sz w:val="20"/>
          <w:szCs w:val="20"/>
        </w:rPr>
        <w:t>.</w:t>
      </w:r>
      <w:r w:rsidR="00E13FF4" w:rsidRPr="00E13FF4">
        <w:rPr>
          <w:rFonts w:ascii="Verdana" w:hAnsi="Verdana" w:cs="Arial"/>
          <w:sz w:val="20"/>
          <w:szCs w:val="20"/>
        </w:rPr>
        <w:t xml:space="preserve"> </w:t>
      </w:r>
      <w:proofErr w:type="spellStart"/>
      <w:r w:rsidR="00E13FF4" w:rsidRPr="00E13FF4">
        <w:rPr>
          <w:rFonts w:ascii="Calibri" w:eastAsia="Times New Roman" w:hAnsi="Calibri" w:cs="Calibri"/>
          <w:iCs/>
          <w:color w:val="000000"/>
          <w:sz w:val="20"/>
          <w:szCs w:val="20"/>
          <w:vertAlign w:val="superscript"/>
          <w:lang w:eastAsia="nl-NL"/>
        </w:rPr>
        <w:t>ǁ</w:t>
      </w:r>
      <w:r w:rsidR="00E13FF4" w:rsidRPr="00E13FF4">
        <w:rPr>
          <w:rFonts w:ascii="Verdana" w:eastAsia="Times New Roman" w:hAnsi="Verdana" w:cs="Arial"/>
          <w:iCs/>
          <w:color w:val="000000"/>
          <w:sz w:val="20"/>
          <w:szCs w:val="20"/>
          <w:lang w:eastAsia="nl-NL"/>
        </w:rPr>
        <w:t>measured</w:t>
      </w:r>
      <w:proofErr w:type="spellEnd"/>
      <w:r w:rsidR="00E13FF4" w:rsidRPr="00E13FF4">
        <w:rPr>
          <w:rFonts w:ascii="Verdana" w:eastAsia="Times New Roman" w:hAnsi="Verdana" w:cs="Arial"/>
          <w:iCs/>
          <w:color w:val="000000"/>
          <w:sz w:val="20"/>
          <w:szCs w:val="20"/>
          <w:lang w:eastAsia="nl-NL"/>
        </w:rPr>
        <w:t xml:space="preserve"> during MDS, TRG variant segregated with pulmonary fibrosis in relat</w:t>
      </w:r>
      <w:r w:rsidR="00E13FF4">
        <w:rPr>
          <w:rFonts w:ascii="Verdana" w:eastAsia="Times New Roman" w:hAnsi="Verdana" w:cs="Arial"/>
          <w:iCs/>
          <w:color w:val="000000"/>
          <w:sz w:val="20"/>
          <w:szCs w:val="20"/>
          <w:lang w:eastAsia="nl-NL"/>
        </w:rPr>
        <w:t>i</w:t>
      </w:r>
      <w:r w:rsidR="00E13FF4" w:rsidRPr="00E13FF4">
        <w:rPr>
          <w:rFonts w:ascii="Verdana" w:eastAsia="Times New Roman" w:hAnsi="Verdana" w:cs="Arial"/>
          <w:iCs/>
          <w:color w:val="000000"/>
          <w:sz w:val="20"/>
          <w:szCs w:val="20"/>
          <w:lang w:eastAsia="nl-NL"/>
        </w:rPr>
        <w:t>ves who did not have a hematologic malignancy.</w:t>
      </w:r>
      <w:r w:rsidR="00E13FF4" w:rsidRPr="00E13FF4">
        <w:rPr>
          <w:rFonts w:ascii="Verdana" w:eastAsia="Times New Roman" w:hAnsi="Verdana" w:cs="Calibri"/>
          <w:iCs/>
          <w:color w:val="000000"/>
          <w:sz w:val="20"/>
          <w:szCs w:val="20"/>
          <w:vertAlign w:val="superscript"/>
          <w:lang w:eastAsia="nl-NL"/>
        </w:rPr>
        <w:t xml:space="preserve"> </w:t>
      </w:r>
      <w:r w:rsidR="00E13FF4">
        <w:rPr>
          <w:rFonts w:ascii="Verdana" w:eastAsia="Times New Roman" w:hAnsi="Verdana" w:cs="Calibri"/>
          <w:iCs/>
          <w:color w:val="000000"/>
          <w:sz w:val="20"/>
          <w:szCs w:val="20"/>
          <w:vertAlign w:val="superscript"/>
          <w:lang w:eastAsia="nl-NL"/>
        </w:rPr>
        <w:t>†</w:t>
      </w:r>
      <w:r w:rsidR="00E13FF4" w:rsidRPr="00E13FF4">
        <w:rPr>
          <w:rFonts w:ascii="Verdana" w:eastAsia="Times New Roman" w:hAnsi="Verdana" w:cs="Calibri"/>
          <w:iCs/>
          <w:color w:val="000000"/>
          <w:sz w:val="20"/>
          <w:szCs w:val="20"/>
          <w:lang w:eastAsia="nl-NL"/>
        </w:rPr>
        <w:t xml:space="preserve">measured during MDS, no segregation analysis </w:t>
      </w:r>
      <w:r w:rsidR="00E13FF4">
        <w:rPr>
          <w:rFonts w:ascii="Verdana" w:eastAsia="Times New Roman" w:hAnsi="Verdana" w:cs="Calibri"/>
          <w:iCs/>
          <w:color w:val="000000"/>
          <w:sz w:val="20"/>
          <w:szCs w:val="20"/>
          <w:lang w:eastAsia="nl-NL"/>
        </w:rPr>
        <w:t xml:space="preserve">possible </w:t>
      </w:r>
      <w:r w:rsidR="00E13FF4" w:rsidRPr="00E13FF4">
        <w:rPr>
          <w:rFonts w:ascii="Verdana" w:eastAsia="Times New Roman" w:hAnsi="Verdana" w:cs="Calibri"/>
          <w:iCs/>
          <w:color w:val="000000"/>
          <w:sz w:val="20"/>
          <w:szCs w:val="20"/>
          <w:lang w:eastAsia="nl-NL"/>
        </w:rPr>
        <w:t xml:space="preserve">due to unavailability </w:t>
      </w:r>
      <w:r w:rsidR="00E13FF4" w:rsidRPr="00E13FF4">
        <w:rPr>
          <w:rFonts w:ascii="Verdana" w:hAnsi="Verdana" w:cstheme="minorHAnsi"/>
          <w:sz w:val="20"/>
          <w:szCs w:val="20"/>
          <w:lang w:val="en-US"/>
        </w:rPr>
        <w:t>of DNA from affected relatives.</w:t>
      </w:r>
    </w:p>
    <w:p w14:paraId="10082A63" w14:textId="77777777" w:rsidR="00F56D06" w:rsidRDefault="00F56D06">
      <w:pPr>
        <w:rPr>
          <w:rFonts w:ascii="Verdana" w:eastAsia="Times New Roman" w:hAnsi="Verdana" w:cs="Helvetica"/>
          <w:b/>
          <w:color w:val="002060"/>
          <w:spacing w:val="2"/>
          <w:sz w:val="20"/>
          <w:szCs w:val="20"/>
          <w:lang w:val="en-US" w:eastAsia="nl-NL"/>
        </w:rPr>
      </w:pPr>
      <w:r>
        <w:rPr>
          <w:rFonts w:ascii="Verdana" w:hAnsi="Verdana" w:cs="Helvetica"/>
          <w:b/>
          <w:color w:val="002060"/>
          <w:spacing w:val="2"/>
          <w:sz w:val="20"/>
          <w:szCs w:val="20"/>
          <w:lang w:val="en-US"/>
        </w:rPr>
        <w:br w:type="page"/>
      </w:r>
    </w:p>
    <w:p w14:paraId="7ADCE6C2" w14:textId="1B856F10" w:rsidR="00F56D06" w:rsidRPr="00F56D06" w:rsidRDefault="00F56D06" w:rsidP="00F56D06">
      <w:pPr>
        <w:pStyle w:val="u-mb-24"/>
        <w:spacing w:before="0" w:beforeAutospacing="0" w:after="0" w:afterAutospacing="0"/>
        <w:rPr>
          <w:rFonts w:ascii="Verdana" w:hAnsi="Verdana" w:cs="Helvetica"/>
          <w:b/>
          <w:color w:val="FF0000"/>
          <w:spacing w:val="2"/>
          <w:sz w:val="20"/>
          <w:szCs w:val="20"/>
          <w:lang w:val="en-US"/>
        </w:rPr>
      </w:pPr>
      <w:r>
        <w:rPr>
          <w:rFonts w:ascii="Verdana" w:hAnsi="Verdana" w:cs="Helvetica"/>
          <w:b/>
          <w:color w:val="002060"/>
          <w:spacing w:val="2"/>
          <w:sz w:val="20"/>
          <w:szCs w:val="20"/>
          <w:lang w:val="en-US"/>
        </w:rPr>
        <w:lastRenderedPageBreak/>
        <w:t>Table E5</w:t>
      </w:r>
      <w:r w:rsidRPr="00F56D06">
        <w:rPr>
          <w:rFonts w:ascii="Verdana" w:hAnsi="Verdana" w:cs="Helvetica"/>
          <w:b/>
          <w:color w:val="002060"/>
          <w:spacing w:val="2"/>
          <w:sz w:val="20"/>
          <w:szCs w:val="20"/>
          <w:lang w:val="en-US"/>
        </w:rPr>
        <w:t xml:space="preserve">. Observed cancers in </w:t>
      </w:r>
      <w:r w:rsidR="00C14EA4">
        <w:rPr>
          <w:rFonts w:ascii="Verdana" w:hAnsi="Verdana" w:cs="Helvetica"/>
          <w:b/>
          <w:color w:val="002060"/>
          <w:spacing w:val="2"/>
          <w:sz w:val="20"/>
          <w:szCs w:val="20"/>
          <w:lang w:val="en-US"/>
        </w:rPr>
        <w:t xml:space="preserve">63 </w:t>
      </w:r>
      <w:r w:rsidRPr="00F56D06">
        <w:rPr>
          <w:rFonts w:ascii="Verdana" w:hAnsi="Verdana" w:cs="Helvetica"/>
          <w:b/>
          <w:color w:val="002060"/>
          <w:spacing w:val="2"/>
          <w:sz w:val="20"/>
          <w:szCs w:val="20"/>
          <w:lang w:val="en-US"/>
        </w:rPr>
        <w:t xml:space="preserve">patients with pulmonary fibrosis and a P/LP </w:t>
      </w:r>
      <w:r w:rsidRPr="00F56D06">
        <w:rPr>
          <w:rFonts w:ascii="Verdana" w:hAnsi="Verdana" w:cs="Helvetica"/>
          <w:b/>
          <w:i/>
          <w:color w:val="002060"/>
          <w:spacing w:val="2"/>
          <w:sz w:val="20"/>
          <w:szCs w:val="20"/>
          <w:lang w:val="en-US"/>
        </w:rPr>
        <w:t>TERT</w:t>
      </w:r>
      <w:r w:rsidRPr="00F56D06">
        <w:rPr>
          <w:rFonts w:ascii="Verdana" w:hAnsi="Verdana" w:cs="Helvetica"/>
          <w:b/>
          <w:color w:val="002060"/>
          <w:spacing w:val="2"/>
          <w:sz w:val="20"/>
          <w:szCs w:val="20"/>
          <w:lang w:val="en-US"/>
        </w:rPr>
        <w:t xml:space="preserve"> variant</w:t>
      </w:r>
    </w:p>
    <w:p w14:paraId="078D92F9" w14:textId="77777777" w:rsidR="00F56D06" w:rsidRDefault="00F56D06" w:rsidP="00F56D06">
      <w:pPr>
        <w:spacing w:line="360" w:lineRule="auto"/>
        <w:jc w:val="both"/>
        <w:rPr>
          <w:rFonts w:ascii="Verdana" w:hAnsi="Verdana"/>
          <w:b/>
          <w:sz w:val="20"/>
          <w:szCs w:val="20"/>
        </w:rPr>
      </w:pPr>
    </w:p>
    <w:tbl>
      <w:tblPr>
        <w:tblW w:w="8929" w:type="dxa"/>
        <w:tblCellMar>
          <w:left w:w="70" w:type="dxa"/>
          <w:right w:w="70" w:type="dxa"/>
        </w:tblCellMar>
        <w:tblLook w:val="04A0" w:firstRow="1" w:lastRow="0" w:firstColumn="1" w:lastColumn="0" w:noHBand="0" w:noVBand="1"/>
      </w:tblPr>
      <w:tblGrid>
        <w:gridCol w:w="1701"/>
        <w:gridCol w:w="1276"/>
        <w:gridCol w:w="1842"/>
        <w:gridCol w:w="1842"/>
        <w:gridCol w:w="2268"/>
      </w:tblGrid>
      <w:tr w:rsidR="00F56D06" w:rsidRPr="00BD4FFB" w14:paraId="3CCE3C28" w14:textId="77777777" w:rsidTr="00AA3ABE">
        <w:trPr>
          <w:trHeight w:val="600"/>
        </w:trPr>
        <w:tc>
          <w:tcPr>
            <w:tcW w:w="1701" w:type="dxa"/>
            <w:tcBorders>
              <w:top w:val="nil"/>
              <w:left w:val="nil"/>
              <w:bottom w:val="single" w:sz="4" w:space="0" w:color="auto"/>
              <w:right w:val="single" w:sz="4" w:space="0" w:color="auto"/>
            </w:tcBorders>
            <w:shd w:val="clear" w:color="auto" w:fill="auto"/>
            <w:vAlign w:val="center"/>
            <w:hideMark/>
          </w:tcPr>
          <w:p w14:paraId="5D4C13A0" w14:textId="77777777" w:rsidR="00F56D06" w:rsidRPr="00BD4FFB" w:rsidRDefault="00F56D06" w:rsidP="00AA3ABE">
            <w:pPr>
              <w:spacing w:after="0" w:line="240" w:lineRule="auto"/>
              <w:jc w:val="right"/>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 </w:t>
            </w:r>
          </w:p>
        </w:tc>
        <w:tc>
          <w:tcPr>
            <w:tcW w:w="1276" w:type="dxa"/>
            <w:tcBorders>
              <w:top w:val="nil"/>
              <w:left w:val="nil"/>
              <w:bottom w:val="single" w:sz="4" w:space="0" w:color="auto"/>
              <w:right w:val="nil"/>
            </w:tcBorders>
            <w:shd w:val="clear" w:color="auto" w:fill="auto"/>
            <w:vAlign w:val="center"/>
            <w:hideMark/>
          </w:tcPr>
          <w:p w14:paraId="4A99D1AB"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Observed (n)</w:t>
            </w:r>
          </w:p>
        </w:tc>
        <w:tc>
          <w:tcPr>
            <w:tcW w:w="1842" w:type="dxa"/>
            <w:tcBorders>
              <w:top w:val="nil"/>
              <w:left w:val="nil"/>
              <w:bottom w:val="single" w:sz="4" w:space="0" w:color="auto"/>
              <w:right w:val="nil"/>
            </w:tcBorders>
            <w:shd w:val="clear" w:color="auto" w:fill="auto"/>
            <w:vAlign w:val="center"/>
            <w:hideMark/>
          </w:tcPr>
          <w:p w14:paraId="0A0D6038"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Observed cancer incidence (%)</w:t>
            </w:r>
          </w:p>
        </w:tc>
        <w:tc>
          <w:tcPr>
            <w:tcW w:w="1842" w:type="dxa"/>
            <w:tcBorders>
              <w:top w:val="nil"/>
              <w:left w:val="nil"/>
              <w:bottom w:val="single" w:sz="4" w:space="0" w:color="auto"/>
              <w:right w:val="nil"/>
            </w:tcBorders>
            <w:shd w:val="clear" w:color="auto" w:fill="auto"/>
            <w:vAlign w:val="center"/>
            <w:hideMark/>
          </w:tcPr>
          <w:p w14:paraId="3E3108AE"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Expected cancer incidence (%)</w:t>
            </w:r>
          </w:p>
        </w:tc>
        <w:tc>
          <w:tcPr>
            <w:tcW w:w="2268" w:type="dxa"/>
            <w:tcBorders>
              <w:top w:val="nil"/>
              <w:left w:val="nil"/>
              <w:bottom w:val="single" w:sz="4" w:space="0" w:color="auto"/>
              <w:right w:val="nil"/>
            </w:tcBorders>
            <w:shd w:val="clear" w:color="auto" w:fill="auto"/>
            <w:vAlign w:val="center"/>
            <w:hideMark/>
          </w:tcPr>
          <w:p w14:paraId="7A26C7DC"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Observed/Expected (95% CI)</w:t>
            </w:r>
          </w:p>
        </w:tc>
      </w:tr>
      <w:tr w:rsidR="00F56D06" w:rsidRPr="00BD4FFB" w14:paraId="6E1D8A01" w14:textId="77777777" w:rsidTr="00AA3ABE">
        <w:trPr>
          <w:trHeight w:val="300"/>
        </w:trPr>
        <w:tc>
          <w:tcPr>
            <w:tcW w:w="1701" w:type="dxa"/>
            <w:tcBorders>
              <w:top w:val="nil"/>
              <w:left w:val="nil"/>
              <w:bottom w:val="nil"/>
              <w:right w:val="single" w:sz="4" w:space="0" w:color="auto"/>
            </w:tcBorders>
            <w:shd w:val="clear" w:color="auto" w:fill="auto"/>
            <w:noWrap/>
            <w:vAlign w:val="bottom"/>
            <w:hideMark/>
          </w:tcPr>
          <w:p w14:paraId="4EE6A079" w14:textId="77777777" w:rsidR="00F56D06" w:rsidRPr="00BD4FFB" w:rsidRDefault="00F56D06" w:rsidP="00AA3ABE">
            <w:pPr>
              <w:spacing w:after="0" w:line="240" w:lineRule="auto"/>
              <w:jc w:val="right"/>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xml:space="preserve">All cancers* </w:t>
            </w:r>
            <w:r w:rsidRPr="00BD4FFB">
              <w:rPr>
                <w:rFonts w:ascii="Verdana" w:eastAsia="Times New Roman" w:hAnsi="Verdana" w:cs="Calibri"/>
                <w:color w:val="000000"/>
                <w:sz w:val="20"/>
                <w:szCs w:val="20"/>
                <w:lang w:eastAsia="nl-NL"/>
              </w:rPr>
              <w:t xml:space="preserve"> </w:t>
            </w:r>
          </w:p>
        </w:tc>
        <w:tc>
          <w:tcPr>
            <w:tcW w:w="1276" w:type="dxa"/>
            <w:tcBorders>
              <w:top w:val="nil"/>
              <w:left w:val="nil"/>
              <w:bottom w:val="nil"/>
              <w:right w:val="nil"/>
            </w:tcBorders>
            <w:shd w:val="clear" w:color="auto" w:fill="auto"/>
            <w:vAlign w:val="center"/>
            <w:hideMark/>
          </w:tcPr>
          <w:p w14:paraId="00A728EA"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7</w:t>
            </w:r>
          </w:p>
        </w:tc>
        <w:tc>
          <w:tcPr>
            <w:tcW w:w="1842" w:type="dxa"/>
            <w:tcBorders>
              <w:top w:val="nil"/>
              <w:left w:val="nil"/>
              <w:bottom w:val="nil"/>
              <w:right w:val="nil"/>
            </w:tcBorders>
            <w:shd w:val="clear" w:color="auto" w:fill="auto"/>
            <w:vAlign w:val="center"/>
            <w:hideMark/>
          </w:tcPr>
          <w:p w14:paraId="27D93C27"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11.1</w:t>
            </w:r>
          </w:p>
        </w:tc>
        <w:tc>
          <w:tcPr>
            <w:tcW w:w="1842" w:type="dxa"/>
            <w:tcBorders>
              <w:top w:val="nil"/>
              <w:left w:val="nil"/>
              <w:bottom w:val="nil"/>
              <w:right w:val="nil"/>
            </w:tcBorders>
            <w:shd w:val="clear" w:color="auto" w:fill="auto"/>
            <w:noWrap/>
            <w:vAlign w:val="bottom"/>
            <w:hideMark/>
          </w:tcPr>
          <w:p w14:paraId="53E55EE9"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7.0</w:t>
            </w:r>
          </w:p>
        </w:tc>
        <w:tc>
          <w:tcPr>
            <w:tcW w:w="2268" w:type="dxa"/>
            <w:tcBorders>
              <w:top w:val="nil"/>
              <w:left w:val="nil"/>
              <w:bottom w:val="nil"/>
              <w:right w:val="nil"/>
            </w:tcBorders>
            <w:shd w:val="clear" w:color="auto" w:fill="auto"/>
            <w:noWrap/>
            <w:vAlign w:val="bottom"/>
            <w:hideMark/>
          </w:tcPr>
          <w:p w14:paraId="21770593"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11 (0.7-3.1)</w:t>
            </w:r>
          </w:p>
        </w:tc>
      </w:tr>
      <w:tr w:rsidR="00F56D06" w:rsidRPr="00BD4FFB" w14:paraId="6B27E4ED" w14:textId="77777777" w:rsidTr="00AA3ABE">
        <w:trPr>
          <w:trHeight w:val="300"/>
        </w:trPr>
        <w:tc>
          <w:tcPr>
            <w:tcW w:w="1701" w:type="dxa"/>
            <w:tcBorders>
              <w:top w:val="nil"/>
              <w:left w:val="nil"/>
              <w:bottom w:val="nil"/>
              <w:right w:val="single" w:sz="4" w:space="0" w:color="auto"/>
            </w:tcBorders>
            <w:shd w:val="clear" w:color="auto" w:fill="auto"/>
            <w:noWrap/>
            <w:vAlign w:val="bottom"/>
            <w:hideMark/>
          </w:tcPr>
          <w:p w14:paraId="7E442BA4" w14:textId="77777777" w:rsidR="00F56D06" w:rsidRPr="00BD4FFB" w:rsidRDefault="00F56D06" w:rsidP="00AA3ABE">
            <w:pPr>
              <w:spacing w:after="0" w:line="240" w:lineRule="auto"/>
              <w:jc w:val="right"/>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MDS</w:t>
            </w:r>
          </w:p>
        </w:tc>
        <w:tc>
          <w:tcPr>
            <w:tcW w:w="1276" w:type="dxa"/>
            <w:tcBorders>
              <w:top w:val="nil"/>
              <w:left w:val="nil"/>
              <w:bottom w:val="nil"/>
              <w:right w:val="nil"/>
            </w:tcBorders>
            <w:shd w:val="clear" w:color="auto" w:fill="auto"/>
            <w:vAlign w:val="center"/>
            <w:hideMark/>
          </w:tcPr>
          <w:p w14:paraId="184B2658"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2</w:t>
            </w:r>
          </w:p>
        </w:tc>
        <w:tc>
          <w:tcPr>
            <w:tcW w:w="1842" w:type="dxa"/>
            <w:tcBorders>
              <w:top w:val="nil"/>
              <w:left w:val="nil"/>
              <w:bottom w:val="nil"/>
              <w:right w:val="nil"/>
            </w:tcBorders>
            <w:shd w:val="clear" w:color="auto" w:fill="auto"/>
            <w:vAlign w:val="center"/>
            <w:hideMark/>
          </w:tcPr>
          <w:p w14:paraId="160AC9E0"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3.2</w:t>
            </w:r>
          </w:p>
        </w:tc>
        <w:tc>
          <w:tcPr>
            <w:tcW w:w="1842" w:type="dxa"/>
            <w:tcBorders>
              <w:top w:val="nil"/>
              <w:left w:val="nil"/>
              <w:bottom w:val="nil"/>
              <w:right w:val="nil"/>
            </w:tcBorders>
            <w:shd w:val="clear" w:color="auto" w:fill="auto"/>
            <w:noWrap/>
            <w:vAlign w:val="bottom"/>
            <w:hideMark/>
          </w:tcPr>
          <w:p w14:paraId="36EF49ED"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0.03</w:t>
            </w:r>
          </w:p>
        </w:tc>
        <w:tc>
          <w:tcPr>
            <w:tcW w:w="2268" w:type="dxa"/>
            <w:tcBorders>
              <w:top w:val="nil"/>
              <w:left w:val="nil"/>
              <w:bottom w:val="nil"/>
              <w:right w:val="nil"/>
            </w:tcBorders>
            <w:shd w:val="clear" w:color="auto" w:fill="auto"/>
            <w:noWrap/>
            <w:vAlign w:val="bottom"/>
            <w:hideMark/>
          </w:tcPr>
          <w:p w14:paraId="14F3E1BE" w14:textId="77777777" w:rsidR="00F56D06" w:rsidRPr="00BD4FFB" w:rsidRDefault="00F56D06" w:rsidP="00AA3ABE">
            <w:pPr>
              <w:spacing w:after="0" w:line="240" w:lineRule="auto"/>
              <w:jc w:val="center"/>
              <w:rPr>
                <w:rFonts w:ascii="Verdana" w:eastAsia="Times New Roman" w:hAnsi="Verdana" w:cs="Calibri"/>
                <w:b/>
                <w:bCs/>
                <w:color w:val="000000"/>
                <w:sz w:val="20"/>
                <w:szCs w:val="20"/>
                <w:lang w:eastAsia="nl-NL"/>
              </w:rPr>
            </w:pPr>
            <w:r w:rsidRPr="00BD4FFB">
              <w:rPr>
                <w:rFonts w:ascii="Verdana" w:eastAsia="Times New Roman" w:hAnsi="Verdana" w:cs="Calibri"/>
                <w:b/>
                <w:bCs/>
                <w:color w:val="000000"/>
                <w:sz w:val="20"/>
                <w:szCs w:val="20"/>
                <w:lang w:eastAsia="nl-NL"/>
              </w:rPr>
              <w:t>106 (13-367)</w:t>
            </w:r>
          </w:p>
        </w:tc>
      </w:tr>
      <w:tr w:rsidR="00F56D06" w:rsidRPr="00BD4FFB" w14:paraId="15EC33F9" w14:textId="77777777" w:rsidTr="00AA3ABE">
        <w:trPr>
          <w:trHeight w:val="300"/>
        </w:trPr>
        <w:tc>
          <w:tcPr>
            <w:tcW w:w="1701" w:type="dxa"/>
            <w:tcBorders>
              <w:top w:val="nil"/>
              <w:left w:val="nil"/>
              <w:bottom w:val="nil"/>
              <w:right w:val="single" w:sz="4" w:space="0" w:color="auto"/>
            </w:tcBorders>
            <w:shd w:val="clear" w:color="auto" w:fill="auto"/>
            <w:noWrap/>
            <w:vAlign w:val="bottom"/>
            <w:hideMark/>
          </w:tcPr>
          <w:p w14:paraId="74864D0F" w14:textId="77777777" w:rsidR="00F56D06" w:rsidRPr="00BD4FFB" w:rsidRDefault="00F56D06" w:rsidP="00AA3ABE">
            <w:pPr>
              <w:spacing w:after="0" w:line="240" w:lineRule="auto"/>
              <w:jc w:val="right"/>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 xml:space="preserve">Lung </w:t>
            </w:r>
          </w:p>
        </w:tc>
        <w:tc>
          <w:tcPr>
            <w:tcW w:w="1276" w:type="dxa"/>
            <w:tcBorders>
              <w:top w:val="nil"/>
              <w:left w:val="nil"/>
              <w:bottom w:val="nil"/>
              <w:right w:val="nil"/>
            </w:tcBorders>
            <w:shd w:val="clear" w:color="auto" w:fill="auto"/>
            <w:vAlign w:val="center"/>
            <w:hideMark/>
          </w:tcPr>
          <w:p w14:paraId="5F47271E"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2</w:t>
            </w:r>
          </w:p>
        </w:tc>
        <w:tc>
          <w:tcPr>
            <w:tcW w:w="1842" w:type="dxa"/>
            <w:tcBorders>
              <w:top w:val="nil"/>
              <w:left w:val="nil"/>
              <w:bottom w:val="nil"/>
              <w:right w:val="nil"/>
            </w:tcBorders>
            <w:shd w:val="clear" w:color="auto" w:fill="auto"/>
            <w:vAlign w:val="center"/>
            <w:hideMark/>
          </w:tcPr>
          <w:p w14:paraId="47B48EAD"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3.2</w:t>
            </w:r>
          </w:p>
        </w:tc>
        <w:tc>
          <w:tcPr>
            <w:tcW w:w="1842" w:type="dxa"/>
            <w:tcBorders>
              <w:top w:val="nil"/>
              <w:left w:val="nil"/>
              <w:bottom w:val="nil"/>
              <w:right w:val="nil"/>
            </w:tcBorders>
            <w:shd w:val="clear" w:color="auto" w:fill="auto"/>
            <w:noWrap/>
            <w:vAlign w:val="bottom"/>
            <w:hideMark/>
          </w:tcPr>
          <w:p w14:paraId="74D26873"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0.9</w:t>
            </w:r>
          </w:p>
        </w:tc>
        <w:tc>
          <w:tcPr>
            <w:tcW w:w="2268" w:type="dxa"/>
            <w:tcBorders>
              <w:top w:val="nil"/>
              <w:left w:val="nil"/>
              <w:bottom w:val="nil"/>
              <w:right w:val="nil"/>
            </w:tcBorders>
            <w:shd w:val="clear" w:color="auto" w:fill="auto"/>
            <w:noWrap/>
            <w:vAlign w:val="bottom"/>
            <w:hideMark/>
          </w:tcPr>
          <w:p w14:paraId="46FDE94E"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3.6 (0.4-12.4)</w:t>
            </w:r>
          </w:p>
        </w:tc>
      </w:tr>
      <w:tr w:rsidR="00F56D06" w:rsidRPr="00BD4FFB" w14:paraId="59C93D86" w14:textId="77777777" w:rsidTr="00AA3ABE">
        <w:trPr>
          <w:trHeight w:val="300"/>
        </w:trPr>
        <w:tc>
          <w:tcPr>
            <w:tcW w:w="1701" w:type="dxa"/>
            <w:tcBorders>
              <w:top w:val="nil"/>
              <w:left w:val="nil"/>
              <w:bottom w:val="nil"/>
              <w:right w:val="single" w:sz="4" w:space="0" w:color="auto"/>
            </w:tcBorders>
            <w:shd w:val="clear" w:color="auto" w:fill="auto"/>
            <w:noWrap/>
            <w:vAlign w:val="bottom"/>
            <w:hideMark/>
          </w:tcPr>
          <w:p w14:paraId="21929ABF" w14:textId="77777777" w:rsidR="00F56D06" w:rsidRPr="00BD4FFB" w:rsidRDefault="00F56D06" w:rsidP="00AA3ABE">
            <w:pPr>
              <w:spacing w:after="0" w:line="240" w:lineRule="auto"/>
              <w:jc w:val="right"/>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 xml:space="preserve">Colon </w:t>
            </w:r>
          </w:p>
        </w:tc>
        <w:tc>
          <w:tcPr>
            <w:tcW w:w="1276" w:type="dxa"/>
            <w:tcBorders>
              <w:top w:val="nil"/>
              <w:left w:val="nil"/>
              <w:bottom w:val="nil"/>
              <w:right w:val="nil"/>
            </w:tcBorders>
            <w:shd w:val="clear" w:color="auto" w:fill="auto"/>
            <w:vAlign w:val="center"/>
            <w:hideMark/>
          </w:tcPr>
          <w:p w14:paraId="10474936"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1</w:t>
            </w:r>
          </w:p>
        </w:tc>
        <w:tc>
          <w:tcPr>
            <w:tcW w:w="1842" w:type="dxa"/>
            <w:tcBorders>
              <w:top w:val="nil"/>
              <w:left w:val="nil"/>
              <w:bottom w:val="nil"/>
              <w:right w:val="nil"/>
            </w:tcBorders>
            <w:shd w:val="clear" w:color="auto" w:fill="auto"/>
            <w:vAlign w:val="center"/>
            <w:hideMark/>
          </w:tcPr>
          <w:p w14:paraId="19D05C75"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1.6</w:t>
            </w:r>
          </w:p>
        </w:tc>
        <w:tc>
          <w:tcPr>
            <w:tcW w:w="1842" w:type="dxa"/>
            <w:tcBorders>
              <w:top w:val="nil"/>
              <w:left w:val="nil"/>
              <w:bottom w:val="nil"/>
              <w:right w:val="nil"/>
            </w:tcBorders>
            <w:shd w:val="clear" w:color="auto" w:fill="auto"/>
            <w:noWrap/>
            <w:vAlign w:val="bottom"/>
            <w:hideMark/>
          </w:tcPr>
          <w:p w14:paraId="6977C50D"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0.5</w:t>
            </w:r>
          </w:p>
        </w:tc>
        <w:tc>
          <w:tcPr>
            <w:tcW w:w="2268" w:type="dxa"/>
            <w:tcBorders>
              <w:top w:val="nil"/>
              <w:left w:val="nil"/>
              <w:bottom w:val="nil"/>
              <w:right w:val="nil"/>
            </w:tcBorders>
            <w:shd w:val="clear" w:color="auto" w:fill="auto"/>
            <w:noWrap/>
            <w:vAlign w:val="bottom"/>
            <w:hideMark/>
          </w:tcPr>
          <w:p w14:paraId="32CF67AE"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3.1 (0.1-16.4)</w:t>
            </w:r>
          </w:p>
        </w:tc>
      </w:tr>
      <w:tr w:rsidR="00F56D06" w:rsidRPr="00BD4FFB" w14:paraId="4CA3659D" w14:textId="77777777" w:rsidTr="00AA3ABE">
        <w:trPr>
          <w:trHeight w:val="300"/>
        </w:trPr>
        <w:tc>
          <w:tcPr>
            <w:tcW w:w="1701" w:type="dxa"/>
            <w:tcBorders>
              <w:top w:val="nil"/>
              <w:left w:val="nil"/>
              <w:bottom w:val="nil"/>
              <w:right w:val="single" w:sz="4" w:space="0" w:color="auto"/>
            </w:tcBorders>
            <w:shd w:val="clear" w:color="auto" w:fill="auto"/>
            <w:noWrap/>
            <w:vAlign w:val="bottom"/>
            <w:hideMark/>
          </w:tcPr>
          <w:p w14:paraId="184A2A2E" w14:textId="77777777" w:rsidR="00F56D06" w:rsidRPr="00BD4FFB" w:rsidRDefault="00F56D06" w:rsidP="00AA3ABE">
            <w:pPr>
              <w:spacing w:after="0" w:line="240" w:lineRule="auto"/>
              <w:jc w:val="right"/>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Breast</w:t>
            </w:r>
            <w:r w:rsidRPr="00895791">
              <w:rPr>
                <w:rFonts w:ascii="Verdana" w:hAnsi="Verdana"/>
                <w:sz w:val="20"/>
                <w:szCs w:val="20"/>
                <w:vertAlign w:val="superscript"/>
              </w:rPr>
              <w:t>#</w:t>
            </w:r>
          </w:p>
        </w:tc>
        <w:tc>
          <w:tcPr>
            <w:tcW w:w="1276" w:type="dxa"/>
            <w:tcBorders>
              <w:top w:val="nil"/>
              <w:left w:val="nil"/>
              <w:bottom w:val="nil"/>
              <w:right w:val="nil"/>
            </w:tcBorders>
            <w:shd w:val="clear" w:color="auto" w:fill="auto"/>
            <w:vAlign w:val="center"/>
            <w:hideMark/>
          </w:tcPr>
          <w:p w14:paraId="7040DAC9"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2</w:t>
            </w:r>
          </w:p>
        </w:tc>
        <w:tc>
          <w:tcPr>
            <w:tcW w:w="1842" w:type="dxa"/>
            <w:tcBorders>
              <w:top w:val="nil"/>
              <w:left w:val="nil"/>
              <w:bottom w:val="nil"/>
              <w:right w:val="nil"/>
            </w:tcBorders>
            <w:shd w:val="clear" w:color="auto" w:fill="auto"/>
            <w:vAlign w:val="center"/>
            <w:hideMark/>
          </w:tcPr>
          <w:p w14:paraId="03163414"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3.2</w:t>
            </w:r>
          </w:p>
        </w:tc>
        <w:tc>
          <w:tcPr>
            <w:tcW w:w="1842" w:type="dxa"/>
            <w:tcBorders>
              <w:top w:val="nil"/>
              <w:left w:val="nil"/>
              <w:bottom w:val="nil"/>
              <w:right w:val="nil"/>
            </w:tcBorders>
            <w:shd w:val="clear" w:color="auto" w:fill="auto"/>
            <w:noWrap/>
            <w:vAlign w:val="bottom"/>
            <w:hideMark/>
          </w:tcPr>
          <w:p w14:paraId="05D89BD7"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3.7</w:t>
            </w:r>
          </w:p>
        </w:tc>
        <w:tc>
          <w:tcPr>
            <w:tcW w:w="2268" w:type="dxa"/>
            <w:tcBorders>
              <w:top w:val="nil"/>
              <w:left w:val="nil"/>
              <w:bottom w:val="nil"/>
              <w:right w:val="nil"/>
            </w:tcBorders>
            <w:shd w:val="clear" w:color="auto" w:fill="auto"/>
            <w:noWrap/>
            <w:vAlign w:val="bottom"/>
            <w:hideMark/>
          </w:tcPr>
          <w:p w14:paraId="61DF3FE7"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r w:rsidRPr="00BD4FFB">
              <w:rPr>
                <w:rFonts w:ascii="Verdana" w:eastAsia="Times New Roman" w:hAnsi="Verdana" w:cs="Calibri"/>
                <w:color w:val="000000"/>
                <w:sz w:val="20"/>
                <w:szCs w:val="20"/>
                <w:lang w:eastAsia="nl-NL"/>
              </w:rPr>
              <w:t>0.9 (0.2-6.1)</w:t>
            </w:r>
          </w:p>
        </w:tc>
      </w:tr>
      <w:tr w:rsidR="00F56D06" w:rsidRPr="00BD4FFB" w14:paraId="0C866A7B" w14:textId="77777777" w:rsidTr="00AA3ABE">
        <w:trPr>
          <w:trHeight w:val="300"/>
        </w:trPr>
        <w:tc>
          <w:tcPr>
            <w:tcW w:w="1701" w:type="dxa"/>
            <w:tcBorders>
              <w:top w:val="nil"/>
              <w:left w:val="nil"/>
              <w:bottom w:val="nil"/>
              <w:right w:val="single" w:sz="4" w:space="0" w:color="auto"/>
            </w:tcBorders>
            <w:shd w:val="clear" w:color="auto" w:fill="auto"/>
            <w:noWrap/>
            <w:vAlign w:val="bottom"/>
          </w:tcPr>
          <w:p w14:paraId="337E0763" w14:textId="77777777" w:rsidR="00F56D06" w:rsidRDefault="00F56D06" w:rsidP="00AA3ABE">
            <w:pPr>
              <w:spacing w:after="0" w:line="240" w:lineRule="auto"/>
              <w:jc w:val="right"/>
              <w:rPr>
                <w:rFonts w:ascii="Verdana" w:eastAsia="Times New Roman" w:hAnsi="Verdana" w:cs="Calibri"/>
                <w:color w:val="000000"/>
                <w:sz w:val="20"/>
                <w:szCs w:val="20"/>
                <w:lang w:eastAsia="nl-NL"/>
              </w:rPr>
            </w:pPr>
          </w:p>
        </w:tc>
        <w:tc>
          <w:tcPr>
            <w:tcW w:w="1276" w:type="dxa"/>
            <w:tcBorders>
              <w:top w:val="nil"/>
              <w:left w:val="nil"/>
              <w:bottom w:val="nil"/>
              <w:right w:val="nil"/>
            </w:tcBorders>
            <w:shd w:val="clear" w:color="auto" w:fill="auto"/>
            <w:vAlign w:val="center"/>
          </w:tcPr>
          <w:p w14:paraId="04EE2228"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p>
        </w:tc>
        <w:tc>
          <w:tcPr>
            <w:tcW w:w="1842" w:type="dxa"/>
            <w:tcBorders>
              <w:top w:val="nil"/>
              <w:left w:val="nil"/>
              <w:bottom w:val="nil"/>
              <w:right w:val="nil"/>
            </w:tcBorders>
            <w:shd w:val="clear" w:color="auto" w:fill="auto"/>
            <w:vAlign w:val="center"/>
          </w:tcPr>
          <w:p w14:paraId="3EA10D0E"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p>
        </w:tc>
        <w:tc>
          <w:tcPr>
            <w:tcW w:w="1842" w:type="dxa"/>
            <w:tcBorders>
              <w:top w:val="nil"/>
              <w:left w:val="nil"/>
              <w:bottom w:val="nil"/>
              <w:right w:val="nil"/>
            </w:tcBorders>
            <w:shd w:val="clear" w:color="auto" w:fill="auto"/>
            <w:noWrap/>
            <w:vAlign w:val="bottom"/>
          </w:tcPr>
          <w:p w14:paraId="437EB897"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p>
        </w:tc>
        <w:tc>
          <w:tcPr>
            <w:tcW w:w="2268" w:type="dxa"/>
            <w:tcBorders>
              <w:top w:val="nil"/>
              <w:left w:val="nil"/>
              <w:bottom w:val="nil"/>
              <w:right w:val="nil"/>
            </w:tcBorders>
            <w:shd w:val="clear" w:color="auto" w:fill="auto"/>
            <w:noWrap/>
            <w:vAlign w:val="bottom"/>
          </w:tcPr>
          <w:p w14:paraId="6F7C3EE9" w14:textId="77777777" w:rsidR="00F56D06" w:rsidRPr="00BD4FFB" w:rsidRDefault="00F56D06" w:rsidP="00AA3ABE">
            <w:pPr>
              <w:spacing w:after="0" w:line="240" w:lineRule="auto"/>
              <w:jc w:val="center"/>
              <w:rPr>
                <w:rFonts w:ascii="Verdana" w:eastAsia="Times New Roman" w:hAnsi="Verdana" w:cs="Calibri"/>
                <w:color w:val="000000"/>
                <w:sz w:val="20"/>
                <w:szCs w:val="20"/>
                <w:lang w:eastAsia="nl-NL"/>
              </w:rPr>
            </w:pPr>
          </w:p>
        </w:tc>
      </w:tr>
    </w:tbl>
    <w:p w14:paraId="1BAFB1A6" w14:textId="77777777" w:rsidR="00F56D06" w:rsidRPr="00895791" w:rsidRDefault="00F56D06" w:rsidP="00F56D06">
      <w:pPr>
        <w:spacing w:line="240" w:lineRule="auto"/>
        <w:rPr>
          <w:rFonts w:ascii="Verdana" w:hAnsi="Verdana"/>
          <w:sz w:val="20"/>
          <w:szCs w:val="20"/>
        </w:rPr>
      </w:pPr>
      <w:r w:rsidRPr="00895791">
        <w:rPr>
          <w:rFonts w:ascii="Verdana" w:hAnsi="Verdana"/>
          <w:sz w:val="20"/>
          <w:szCs w:val="20"/>
        </w:rPr>
        <w:t xml:space="preserve">*based on the Netherlands Cancer Registry, adjusted for age and sex; </w:t>
      </w:r>
      <w:r w:rsidRPr="00895791">
        <w:rPr>
          <w:rFonts w:ascii="Verdana" w:hAnsi="Verdana"/>
          <w:sz w:val="20"/>
          <w:szCs w:val="20"/>
          <w:vertAlign w:val="superscript"/>
        </w:rPr>
        <w:t xml:space="preserve"># </w:t>
      </w:r>
      <w:r w:rsidRPr="00895791">
        <w:rPr>
          <w:rFonts w:ascii="Verdana" w:hAnsi="Verdana"/>
          <w:sz w:val="20"/>
          <w:szCs w:val="20"/>
        </w:rPr>
        <w:t xml:space="preserve">percentage as part of the female population CI, confidence interval; MDS, myelodysplastic syndrome; </w:t>
      </w:r>
      <w:r w:rsidRPr="00895791">
        <w:rPr>
          <w:rFonts w:ascii="Verdana" w:hAnsi="Verdana"/>
          <w:b/>
          <w:sz w:val="20"/>
          <w:szCs w:val="20"/>
        </w:rPr>
        <w:t>bold</w:t>
      </w:r>
      <w:r w:rsidRPr="00895791">
        <w:rPr>
          <w:rFonts w:ascii="Verdana" w:hAnsi="Verdana"/>
          <w:sz w:val="20"/>
          <w:szCs w:val="20"/>
        </w:rPr>
        <w:t>=significant at p&lt;0.05</w:t>
      </w:r>
    </w:p>
    <w:p w14:paraId="5AFAB78D" w14:textId="1EFA475D" w:rsidR="008C1D0D" w:rsidRPr="00E13FF4" w:rsidRDefault="008C1D0D" w:rsidP="00444383">
      <w:pPr>
        <w:rPr>
          <w:rFonts w:ascii="Verdana" w:hAnsi="Verdana" w:cstheme="minorHAnsi"/>
          <w:sz w:val="20"/>
          <w:szCs w:val="20"/>
          <w:lang w:val="en-US"/>
        </w:rPr>
        <w:sectPr w:rsidR="008C1D0D" w:rsidRPr="00E13FF4" w:rsidSect="004611E3">
          <w:pgSz w:w="11906" w:h="16838"/>
          <w:pgMar w:top="1440" w:right="1440" w:bottom="1440" w:left="1440" w:header="709" w:footer="709" w:gutter="0"/>
          <w:cols w:space="708"/>
          <w:docGrid w:linePitch="360"/>
        </w:sectPr>
      </w:pPr>
      <w:r w:rsidRPr="00E13FF4">
        <w:rPr>
          <w:rFonts w:ascii="Verdana" w:hAnsi="Verdana" w:cstheme="minorHAnsi"/>
          <w:sz w:val="20"/>
          <w:szCs w:val="20"/>
          <w:lang w:val="en-US"/>
        </w:rPr>
        <w:br/>
      </w:r>
    </w:p>
    <w:p w14:paraId="77262909" w14:textId="611C4656" w:rsidR="00BD19B1" w:rsidRPr="00DA341F" w:rsidRDefault="00156FBA" w:rsidP="00BD19B1">
      <w:pPr>
        <w:rPr>
          <w:rFonts w:ascii="Verdana" w:hAnsi="Verdana" w:cstheme="minorHAnsi"/>
          <w:sz w:val="20"/>
          <w:szCs w:val="20"/>
          <w:lang w:val="en-US"/>
        </w:rPr>
      </w:pPr>
      <w:r w:rsidRPr="00DA341F">
        <w:rPr>
          <w:rFonts w:ascii="Verdana" w:hAnsi="Verdana" w:cstheme="minorHAnsi"/>
          <w:b/>
          <w:sz w:val="20"/>
          <w:szCs w:val="20"/>
          <w:lang w:val="en-US"/>
        </w:rPr>
        <w:lastRenderedPageBreak/>
        <w:t>Table E</w:t>
      </w:r>
      <w:r w:rsidR="00F56D06">
        <w:rPr>
          <w:rFonts w:ascii="Verdana" w:hAnsi="Verdana" w:cstheme="minorHAnsi"/>
          <w:b/>
          <w:sz w:val="20"/>
          <w:szCs w:val="20"/>
          <w:lang w:val="en-US"/>
        </w:rPr>
        <w:t>6</w:t>
      </w:r>
      <w:r w:rsidR="00BD19B1" w:rsidRPr="00DA341F">
        <w:rPr>
          <w:rFonts w:ascii="Verdana" w:hAnsi="Verdana" w:cstheme="minorHAnsi"/>
          <w:b/>
          <w:sz w:val="20"/>
          <w:szCs w:val="20"/>
          <w:lang w:val="en-US"/>
        </w:rPr>
        <w:t>.</w:t>
      </w:r>
      <w:r w:rsidR="00BD19B1" w:rsidRPr="00DA341F">
        <w:rPr>
          <w:rFonts w:ascii="Verdana" w:hAnsi="Verdana" w:cstheme="minorHAnsi"/>
          <w:sz w:val="20"/>
          <w:szCs w:val="20"/>
          <w:lang w:val="en-US"/>
        </w:rPr>
        <w:t xml:space="preserve"> Details regarding myelodysplastic syndrome diagnoses and treatment</w:t>
      </w:r>
    </w:p>
    <w:tbl>
      <w:tblPr>
        <w:tblW w:w="14786" w:type="dxa"/>
        <w:tblLayout w:type="fixed"/>
        <w:tblCellMar>
          <w:left w:w="70" w:type="dxa"/>
          <w:right w:w="70" w:type="dxa"/>
        </w:tblCellMar>
        <w:tblLook w:val="04A0" w:firstRow="1" w:lastRow="0" w:firstColumn="1" w:lastColumn="0" w:noHBand="0" w:noVBand="1"/>
      </w:tblPr>
      <w:tblGrid>
        <w:gridCol w:w="843"/>
        <w:gridCol w:w="1076"/>
        <w:gridCol w:w="1076"/>
        <w:gridCol w:w="3096"/>
        <w:gridCol w:w="562"/>
        <w:gridCol w:w="2126"/>
        <w:gridCol w:w="6007"/>
      </w:tblGrid>
      <w:tr w:rsidR="00913374" w:rsidRPr="006140CB" w14:paraId="2605EB94" w14:textId="77777777" w:rsidTr="00375083">
        <w:trPr>
          <w:trHeight w:val="765"/>
        </w:trPr>
        <w:tc>
          <w:tcPr>
            <w:tcW w:w="84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hideMark/>
          </w:tcPr>
          <w:p w14:paraId="5495FD86" w14:textId="0A3749C6"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 xml:space="preserve">patient </w:t>
            </w:r>
            <w:proofErr w:type="spellStart"/>
            <w:r w:rsidRPr="006140CB">
              <w:rPr>
                <w:rFonts w:eastAsia="Times New Roman" w:cstheme="minorHAnsi"/>
                <w:color w:val="000000"/>
                <w:lang w:val="en-US" w:eastAsia="nl-NL"/>
              </w:rPr>
              <w:t>nr</w:t>
            </w:r>
            <w:proofErr w:type="spellEnd"/>
            <w:r w:rsidRPr="006140CB">
              <w:rPr>
                <w:rFonts w:eastAsia="Times New Roman" w:cstheme="minorHAnsi"/>
                <w:color w:val="000000"/>
                <w:lang w:val="en-US" w:eastAsia="nl-NL"/>
              </w:rPr>
              <w:t xml:space="preserve"> </w:t>
            </w:r>
            <w:r w:rsidRPr="006140CB">
              <w:rPr>
                <w:rFonts w:eastAsia="Times New Roman" w:cstheme="minorHAnsi"/>
                <w:color w:val="000000"/>
                <w:vertAlign w:val="superscript"/>
                <w:lang w:val="en-US" w:eastAsia="nl-NL"/>
              </w:rPr>
              <w:t>*)</w:t>
            </w:r>
          </w:p>
        </w:tc>
        <w:tc>
          <w:tcPr>
            <w:tcW w:w="1076" w:type="dxa"/>
            <w:tcBorders>
              <w:top w:val="single" w:sz="4" w:space="0" w:color="auto"/>
              <w:left w:val="nil"/>
              <w:bottom w:val="single" w:sz="4" w:space="0" w:color="auto"/>
              <w:right w:val="nil"/>
            </w:tcBorders>
            <w:shd w:val="clear" w:color="auto" w:fill="DEEAF6" w:themeFill="accent1" w:themeFillTint="33"/>
            <w:vAlign w:val="bottom"/>
            <w:hideMark/>
          </w:tcPr>
          <w:p w14:paraId="192BDCB1" w14:textId="0615D80C"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age at PF diagnosis</w:t>
            </w:r>
          </w:p>
        </w:tc>
        <w:tc>
          <w:tcPr>
            <w:tcW w:w="1076" w:type="dxa"/>
            <w:tcBorders>
              <w:top w:val="single" w:sz="4" w:space="0" w:color="auto"/>
              <w:left w:val="nil"/>
              <w:bottom w:val="single" w:sz="4" w:space="0" w:color="auto"/>
              <w:right w:val="nil"/>
            </w:tcBorders>
            <w:shd w:val="clear" w:color="auto" w:fill="DEEAF6" w:themeFill="accent1" w:themeFillTint="33"/>
            <w:vAlign w:val="bottom"/>
            <w:hideMark/>
          </w:tcPr>
          <w:p w14:paraId="42BE3D87"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age at MDS diagnosis (year)</w:t>
            </w:r>
          </w:p>
        </w:tc>
        <w:tc>
          <w:tcPr>
            <w:tcW w:w="3096" w:type="dxa"/>
            <w:tcBorders>
              <w:top w:val="single" w:sz="4" w:space="0" w:color="auto"/>
              <w:left w:val="nil"/>
              <w:bottom w:val="single" w:sz="4" w:space="0" w:color="auto"/>
              <w:right w:val="nil"/>
            </w:tcBorders>
            <w:shd w:val="clear" w:color="auto" w:fill="DEEAF6" w:themeFill="accent1" w:themeFillTint="33"/>
            <w:vAlign w:val="bottom"/>
            <w:hideMark/>
          </w:tcPr>
          <w:p w14:paraId="174B4BF9"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MDS characteristics</w:t>
            </w:r>
          </w:p>
        </w:tc>
        <w:tc>
          <w:tcPr>
            <w:tcW w:w="562" w:type="dxa"/>
            <w:tcBorders>
              <w:top w:val="single" w:sz="4" w:space="0" w:color="auto"/>
              <w:left w:val="nil"/>
              <w:bottom w:val="single" w:sz="4" w:space="0" w:color="auto"/>
              <w:right w:val="nil"/>
            </w:tcBorders>
            <w:shd w:val="clear" w:color="auto" w:fill="DEEAF6" w:themeFill="accent1" w:themeFillTint="33"/>
            <w:vAlign w:val="bottom"/>
            <w:hideMark/>
          </w:tcPr>
          <w:p w14:paraId="3EAE4076" w14:textId="0D771459" w:rsidR="00913374" w:rsidRPr="006140CB" w:rsidRDefault="00040633"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IPSS</w:t>
            </w:r>
            <w:r w:rsidR="006140CB">
              <w:rPr>
                <w:rFonts w:eastAsia="Times New Roman" w:cstheme="minorHAnsi"/>
                <w:color w:val="000000"/>
                <w:lang w:val="en-US" w:eastAsia="nl-NL"/>
              </w:rPr>
              <w:t xml:space="preserve"> </w:t>
            </w:r>
            <w:r w:rsidR="00913374" w:rsidRPr="006140CB">
              <w:rPr>
                <w:rFonts w:eastAsia="Times New Roman" w:cstheme="minorHAnsi"/>
                <w:color w:val="000000"/>
                <w:lang w:val="en-US" w:eastAsia="nl-NL"/>
              </w:rPr>
              <w:t>score</w:t>
            </w:r>
          </w:p>
        </w:tc>
        <w:tc>
          <w:tcPr>
            <w:tcW w:w="2126" w:type="dxa"/>
            <w:tcBorders>
              <w:top w:val="single" w:sz="4" w:space="0" w:color="auto"/>
              <w:left w:val="nil"/>
              <w:bottom w:val="single" w:sz="4" w:space="0" w:color="auto"/>
              <w:right w:val="nil"/>
            </w:tcBorders>
            <w:shd w:val="clear" w:color="auto" w:fill="DEEAF6" w:themeFill="accent1" w:themeFillTint="33"/>
            <w:vAlign w:val="bottom"/>
            <w:hideMark/>
          </w:tcPr>
          <w:p w14:paraId="3DEBC0C4"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treatment</w:t>
            </w:r>
          </w:p>
        </w:tc>
        <w:tc>
          <w:tcPr>
            <w:tcW w:w="6007" w:type="dxa"/>
            <w:tcBorders>
              <w:top w:val="single" w:sz="4" w:space="0" w:color="auto"/>
              <w:left w:val="nil"/>
              <w:bottom w:val="single" w:sz="4" w:space="0" w:color="auto"/>
              <w:right w:val="single" w:sz="4" w:space="0" w:color="auto"/>
            </w:tcBorders>
            <w:shd w:val="clear" w:color="auto" w:fill="DEEAF6" w:themeFill="accent1" w:themeFillTint="33"/>
            <w:vAlign w:val="bottom"/>
            <w:hideMark/>
          </w:tcPr>
          <w:p w14:paraId="184EE723"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cytological, cytogenetic, molecular classification</w:t>
            </w:r>
          </w:p>
        </w:tc>
      </w:tr>
      <w:tr w:rsidR="00913374" w:rsidRPr="006140CB" w14:paraId="6514715E" w14:textId="77777777" w:rsidTr="00375083">
        <w:trPr>
          <w:trHeight w:val="1258"/>
        </w:trPr>
        <w:tc>
          <w:tcPr>
            <w:tcW w:w="843" w:type="dxa"/>
            <w:tcBorders>
              <w:top w:val="nil"/>
              <w:left w:val="single" w:sz="4" w:space="0" w:color="auto"/>
              <w:bottom w:val="nil"/>
              <w:right w:val="single" w:sz="4" w:space="0" w:color="auto"/>
            </w:tcBorders>
            <w:shd w:val="clear" w:color="auto" w:fill="auto"/>
            <w:noWrap/>
            <w:vAlign w:val="center"/>
            <w:hideMark/>
          </w:tcPr>
          <w:p w14:paraId="4C2B59A4"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15</w:t>
            </w:r>
          </w:p>
        </w:tc>
        <w:tc>
          <w:tcPr>
            <w:tcW w:w="1076" w:type="dxa"/>
            <w:tcBorders>
              <w:top w:val="nil"/>
              <w:left w:val="nil"/>
              <w:bottom w:val="nil"/>
              <w:right w:val="nil"/>
            </w:tcBorders>
            <w:shd w:val="clear" w:color="auto" w:fill="auto"/>
            <w:vAlign w:val="center"/>
            <w:hideMark/>
          </w:tcPr>
          <w:p w14:paraId="361AD05B"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62</w:t>
            </w:r>
          </w:p>
        </w:tc>
        <w:tc>
          <w:tcPr>
            <w:tcW w:w="1076" w:type="dxa"/>
            <w:tcBorders>
              <w:top w:val="nil"/>
              <w:left w:val="nil"/>
              <w:bottom w:val="nil"/>
              <w:right w:val="nil"/>
            </w:tcBorders>
            <w:shd w:val="clear" w:color="auto" w:fill="auto"/>
            <w:noWrap/>
            <w:vAlign w:val="center"/>
            <w:hideMark/>
          </w:tcPr>
          <w:p w14:paraId="3DB7FC7D"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55 (2009)</w:t>
            </w:r>
          </w:p>
        </w:tc>
        <w:tc>
          <w:tcPr>
            <w:tcW w:w="3096" w:type="dxa"/>
            <w:tcBorders>
              <w:top w:val="nil"/>
              <w:left w:val="nil"/>
              <w:bottom w:val="nil"/>
              <w:right w:val="nil"/>
            </w:tcBorders>
            <w:shd w:val="clear" w:color="auto" w:fill="auto"/>
            <w:vAlign w:val="center"/>
            <w:hideMark/>
          </w:tcPr>
          <w:p w14:paraId="565E218C" w14:textId="77777777" w:rsidR="00913374" w:rsidRPr="006140CB" w:rsidRDefault="00913374" w:rsidP="00913374">
            <w:pPr>
              <w:spacing w:after="0" w:line="240" w:lineRule="auto"/>
              <w:jc w:val="center"/>
              <w:rPr>
                <w:rFonts w:eastAsia="Times New Roman" w:cstheme="minorHAnsi"/>
                <w:color w:val="000000"/>
                <w:lang w:val="en-US" w:eastAsia="nl-NL"/>
              </w:rPr>
            </w:pPr>
            <w:proofErr w:type="spellStart"/>
            <w:r w:rsidRPr="006140CB">
              <w:rPr>
                <w:rFonts w:eastAsia="Times New Roman" w:cstheme="minorHAnsi"/>
                <w:color w:val="000000"/>
                <w:lang w:val="en-US" w:eastAsia="nl-NL"/>
              </w:rPr>
              <w:t>hypoplastic</w:t>
            </w:r>
            <w:proofErr w:type="spellEnd"/>
            <w:r w:rsidRPr="006140CB">
              <w:rPr>
                <w:rFonts w:eastAsia="Times New Roman" w:cstheme="minorHAnsi"/>
                <w:color w:val="000000"/>
                <w:lang w:val="en-US" w:eastAsia="nl-NL"/>
              </w:rPr>
              <w:t xml:space="preserve"> bone marrow with minor dysplastic changes of </w:t>
            </w:r>
            <w:proofErr w:type="spellStart"/>
            <w:r w:rsidRPr="006140CB">
              <w:rPr>
                <w:rFonts w:eastAsia="Times New Roman" w:cstheme="minorHAnsi"/>
                <w:color w:val="000000"/>
                <w:lang w:val="en-US" w:eastAsia="nl-NL"/>
              </w:rPr>
              <w:t>megakaryopoiesis</w:t>
            </w:r>
            <w:proofErr w:type="spellEnd"/>
            <w:r w:rsidRPr="006140CB">
              <w:rPr>
                <w:rFonts w:eastAsia="Times New Roman" w:cstheme="minorHAnsi"/>
                <w:color w:val="000000"/>
                <w:lang w:val="en-US" w:eastAsia="nl-NL"/>
              </w:rPr>
              <w:t xml:space="preserve">; pancytopenia and red blood cell </w:t>
            </w:r>
            <w:proofErr w:type="spellStart"/>
            <w:r w:rsidRPr="006140CB">
              <w:rPr>
                <w:rFonts w:eastAsia="Times New Roman" w:cstheme="minorHAnsi"/>
                <w:color w:val="000000"/>
                <w:lang w:val="en-US" w:eastAsia="nl-NL"/>
              </w:rPr>
              <w:t>macrocytosis</w:t>
            </w:r>
            <w:proofErr w:type="spellEnd"/>
          </w:p>
        </w:tc>
        <w:tc>
          <w:tcPr>
            <w:tcW w:w="562" w:type="dxa"/>
            <w:tcBorders>
              <w:top w:val="nil"/>
              <w:left w:val="nil"/>
              <w:bottom w:val="nil"/>
              <w:right w:val="nil"/>
            </w:tcBorders>
            <w:shd w:val="clear" w:color="auto" w:fill="auto"/>
            <w:noWrap/>
            <w:vAlign w:val="center"/>
            <w:hideMark/>
          </w:tcPr>
          <w:p w14:paraId="7439E567"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0</w:t>
            </w:r>
          </w:p>
        </w:tc>
        <w:tc>
          <w:tcPr>
            <w:tcW w:w="2126" w:type="dxa"/>
            <w:tcBorders>
              <w:top w:val="nil"/>
              <w:left w:val="nil"/>
              <w:bottom w:val="nil"/>
              <w:right w:val="nil"/>
            </w:tcBorders>
            <w:shd w:val="clear" w:color="auto" w:fill="auto"/>
            <w:vAlign w:val="center"/>
            <w:hideMark/>
          </w:tcPr>
          <w:p w14:paraId="6C228FAF"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watchful waiting</w:t>
            </w:r>
          </w:p>
        </w:tc>
        <w:tc>
          <w:tcPr>
            <w:tcW w:w="6007" w:type="dxa"/>
            <w:tcBorders>
              <w:top w:val="nil"/>
              <w:left w:val="nil"/>
              <w:bottom w:val="nil"/>
              <w:right w:val="single" w:sz="4" w:space="0" w:color="auto"/>
            </w:tcBorders>
            <w:shd w:val="clear" w:color="auto" w:fill="auto"/>
            <w:vAlign w:val="center"/>
            <w:hideMark/>
          </w:tcPr>
          <w:p w14:paraId="04EF22BD"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no cytogenetic abnormalities</w:t>
            </w:r>
          </w:p>
        </w:tc>
      </w:tr>
      <w:tr w:rsidR="00913374" w:rsidRPr="006140CB" w14:paraId="3D9A37F0" w14:textId="77777777" w:rsidTr="00375083">
        <w:trPr>
          <w:trHeight w:val="1359"/>
        </w:trPr>
        <w:tc>
          <w:tcPr>
            <w:tcW w:w="843" w:type="dxa"/>
            <w:tcBorders>
              <w:top w:val="nil"/>
              <w:left w:val="single" w:sz="4" w:space="0" w:color="auto"/>
              <w:bottom w:val="nil"/>
              <w:right w:val="single" w:sz="4" w:space="0" w:color="auto"/>
            </w:tcBorders>
            <w:shd w:val="clear" w:color="auto" w:fill="DEEAF6" w:themeFill="accent1" w:themeFillTint="33"/>
            <w:noWrap/>
            <w:vAlign w:val="center"/>
            <w:hideMark/>
          </w:tcPr>
          <w:p w14:paraId="5C4E12A4"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16</w:t>
            </w:r>
          </w:p>
        </w:tc>
        <w:tc>
          <w:tcPr>
            <w:tcW w:w="1076" w:type="dxa"/>
            <w:tcBorders>
              <w:top w:val="nil"/>
              <w:left w:val="nil"/>
              <w:bottom w:val="nil"/>
              <w:right w:val="nil"/>
            </w:tcBorders>
            <w:shd w:val="clear" w:color="auto" w:fill="DEEAF6" w:themeFill="accent1" w:themeFillTint="33"/>
            <w:vAlign w:val="center"/>
            <w:hideMark/>
          </w:tcPr>
          <w:p w14:paraId="3A2E0235"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63</w:t>
            </w:r>
          </w:p>
        </w:tc>
        <w:tc>
          <w:tcPr>
            <w:tcW w:w="1076" w:type="dxa"/>
            <w:tcBorders>
              <w:top w:val="nil"/>
              <w:left w:val="nil"/>
              <w:bottom w:val="nil"/>
              <w:right w:val="nil"/>
            </w:tcBorders>
            <w:shd w:val="clear" w:color="auto" w:fill="DEEAF6" w:themeFill="accent1" w:themeFillTint="33"/>
            <w:noWrap/>
            <w:vAlign w:val="center"/>
            <w:hideMark/>
          </w:tcPr>
          <w:p w14:paraId="121782EC"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63 (2015)</w:t>
            </w:r>
          </w:p>
        </w:tc>
        <w:tc>
          <w:tcPr>
            <w:tcW w:w="3096" w:type="dxa"/>
            <w:tcBorders>
              <w:top w:val="nil"/>
              <w:left w:val="nil"/>
              <w:bottom w:val="nil"/>
              <w:right w:val="nil"/>
            </w:tcBorders>
            <w:shd w:val="clear" w:color="auto" w:fill="DEEAF6" w:themeFill="accent1" w:themeFillTint="33"/>
            <w:vAlign w:val="center"/>
            <w:hideMark/>
          </w:tcPr>
          <w:p w14:paraId="2B065F25"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 xml:space="preserve">refractory </w:t>
            </w:r>
            <w:proofErr w:type="spellStart"/>
            <w:r w:rsidRPr="006140CB">
              <w:rPr>
                <w:rFonts w:eastAsia="Times New Roman" w:cstheme="minorHAnsi"/>
                <w:color w:val="000000"/>
                <w:lang w:val="en-US" w:eastAsia="nl-NL"/>
              </w:rPr>
              <w:t>cytopenia</w:t>
            </w:r>
            <w:proofErr w:type="spellEnd"/>
            <w:r w:rsidRPr="006140CB">
              <w:rPr>
                <w:rFonts w:eastAsia="Times New Roman" w:cstheme="minorHAnsi"/>
                <w:color w:val="000000"/>
                <w:lang w:val="en-US" w:eastAsia="nl-NL"/>
              </w:rPr>
              <w:t xml:space="preserve"> with </w:t>
            </w:r>
            <w:proofErr w:type="spellStart"/>
            <w:r w:rsidRPr="006140CB">
              <w:rPr>
                <w:rFonts w:eastAsia="Times New Roman" w:cstheme="minorHAnsi"/>
                <w:color w:val="000000"/>
                <w:lang w:val="en-US" w:eastAsia="nl-NL"/>
              </w:rPr>
              <w:t>multilineage</w:t>
            </w:r>
            <w:proofErr w:type="spellEnd"/>
            <w:r w:rsidRPr="006140CB">
              <w:rPr>
                <w:rFonts w:eastAsia="Times New Roman" w:cstheme="minorHAnsi"/>
                <w:color w:val="000000"/>
                <w:lang w:val="en-US" w:eastAsia="nl-NL"/>
              </w:rPr>
              <w:t xml:space="preserve"> dysplasia</w:t>
            </w:r>
          </w:p>
        </w:tc>
        <w:tc>
          <w:tcPr>
            <w:tcW w:w="562" w:type="dxa"/>
            <w:tcBorders>
              <w:top w:val="nil"/>
              <w:left w:val="nil"/>
              <w:bottom w:val="nil"/>
              <w:right w:val="nil"/>
            </w:tcBorders>
            <w:shd w:val="clear" w:color="auto" w:fill="DEEAF6" w:themeFill="accent1" w:themeFillTint="33"/>
            <w:noWrap/>
            <w:vAlign w:val="center"/>
            <w:hideMark/>
          </w:tcPr>
          <w:p w14:paraId="2E7CC5E4"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3</w:t>
            </w:r>
            <w:r w:rsidRPr="006140CB">
              <w:rPr>
                <w:rFonts w:eastAsia="Times New Roman" w:cstheme="minorHAnsi"/>
                <w:color w:val="000000"/>
                <w:vertAlign w:val="superscript"/>
                <w:lang w:val="en-US" w:eastAsia="nl-NL"/>
              </w:rPr>
              <w:t>#)</w:t>
            </w:r>
          </w:p>
        </w:tc>
        <w:tc>
          <w:tcPr>
            <w:tcW w:w="2126" w:type="dxa"/>
            <w:tcBorders>
              <w:top w:val="nil"/>
              <w:left w:val="nil"/>
              <w:bottom w:val="nil"/>
              <w:right w:val="nil"/>
            </w:tcBorders>
            <w:shd w:val="clear" w:color="auto" w:fill="DEEAF6" w:themeFill="accent1" w:themeFillTint="33"/>
            <w:vAlign w:val="center"/>
            <w:hideMark/>
          </w:tcPr>
          <w:p w14:paraId="03C07F31"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no treatment options due to severe pulmonary fibrosis</w:t>
            </w:r>
          </w:p>
        </w:tc>
        <w:tc>
          <w:tcPr>
            <w:tcW w:w="6007" w:type="dxa"/>
            <w:tcBorders>
              <w:top w:val="nil"/>
              <w:left w:val="nil"/>
              <w:bottom w:val="nil"/>
              <w:right w:val="single" w:sz="4" w:space="0" w:color="auto"/>
            </w:tcBorders>
            <w:shd w:val="clear" w:color="auto" w:fill="DEEAF6" w:themeFill="accent1" w:themeFillTint="33"/>
            <w:vAlign w:val="center"/>
            <w:hideMark/>
          </w:tcPr>
          <w:p w14:paraId="0ADC3998"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bone marrow: 46,XY[21].</w:t>
            </w:r>
            <w:proofErr w:type="spellStart"/>
            <w:r w:rsidRPr="006140CB">
              <w:rPr>
                <w:rFonts w:eastAsia="Times New Roman" w:cstheme="minorHAnsi"/>
                <w:color w:val="000000"/>
                <w:lang w:val="en-US" w:eastAsia="nl-NL"/>
              </w:rPr>
              <w:t>ish</w:t>
            </w:r>
            <w:proofErr w:type="spellEnd"/>
            <w:r w:rsidRPr="006140CB">
              <w:rPr>
                <w:rFonts w:eastAsia="Times New Roman" w:cstheme="minorHAnsi"/>
                <w:color w:val="000000"/>
                <w:lang w:val="en-US" w:eastAsia="nl-NL"/>
              </w:rPr>
              <w:t xml:space="preserve"> dup(11)(p15.4p15.4)(5'NUP98++).arr[hg19]11p15.4(3,737,639-4,020,840)x3, 11q23.3(118,337,573-118,355,642)x3, in skin biopsy not present</w:t>
            </w:r>
          </w:p>
        </w:tc>
      </w:tr>
      <w:tr w:rsidR="00913374" w:rsidRPr="006140CB" w14:paraId="6C4F5FDE" w14:textId="77777777" w:rsidTr="00375083">
        <w:trPr>
          <w:trHeight w:val="570"/>
        </w:trPr>
        <w:tc>
          <w:tcPr>
            <w:tcW w:w="843" w:type="dxa"/>
            <w:tcBorders>
              <w:top w:val="nil"/>
              <w:left w:val="single" w:sz="4" w:space="0" w:color="auto"/>
              <w:bottom w:val="nil"/>
              <w:right w:val="single" w:sz="4" w:space="0" w:color="auto"/>
            </w:tcBorders>
            <w:shd w:val="clear" w:color="auto" w:fill="auto"/>
            <w:noWrap/>
            <w:vAlign w:val="center"/>
            <w:hideMark/>
          </w:tcPr>
          <w:p w14:paraId="6060C31C"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17</w:t>
            </w:r>
          </w:p>
        </w:tc>
        <w:tc>
          <w:tcPr>
            <w:tcW w:w="1076" w:type="dxa"/>
            <w:tcBorders>
              <w:top w:val="nil"/>
              <w:left w:val="nil"/>
              <w:bottom w:val="nil"/>
              <w:right w:val="nil"/>
            </w:tcBorders>
            <w:shd w:val="clear" w:color="auto" w:fill="auto"/>
            <w:vAlign w:val="center"/>
            <w:hideMark/>
          </w:tcPr>
          <w:p w14:paraId="7B29E99A"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69</w:t>
            </w:r>
          </w:p>
        </w:tc>
        <w:tc>
          <w:tcPr>
            <w:tcW w:w="1076" w:type="dxa"/>
            <w:tcBorders>
              <w:top w:val="nil"/>
              <w:left w:val="nil"/>
              <w:bottom w:val="nil"/>
              <w:right w:val="nil"/>
            </w:tcBorders>
            <w:shd w:val="clear" w:color="auto" w:fill="auto"/>
            <w:noWrap/>
            <w:vAlign w:val="center"/>
            <w:hideMark/>
          </w:tcPr>
          <w:p w14:paraId="11F3B062"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64 (2013)</w:t>
            </w:r>
          </w:p>
        </w:tc>
        <w:tc>
          <w:tcPr>
            <w:tcW w:w="3096" w:type="dxa"/>
            <w:tcBorders>
              <w:top w:val="nil"/>
              <w:left w:val="nil"/>
              <w:bottom w:val="nil"/>
              <w:right w:val="nil"/>
            </w:tcBorders>
            <w:shd w:val="clear" w:color="auto" w:fill="auto"/>
            <w:vAlign w:val="center"/>
            <w:hideMark/>
          </w:tcPr>
          <w:p w14:paraId="4CC267C2"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 xml:space="preserve">thrombocytopenia, anemia and red blood cell </w:t>
            </w:r>
            <w:proofErr w:type="spellStart"/>
            <w:r w:rsidRPr="006140CB">
              <w:rPr>
                <w:rFonts w:eastAsia="Times New Roman" w:cstheme="minorHAnsi"/>
                <w:color w:val="000000"/>
                <w:lang w:val="en-US" w:eastAsia="nl-NL"/>
              </w:rPr>
              <w:t>macrocytosis</w:t>
            </w:r>
            <w:proofErr w:type="spellEnd"/>
          </w:p>
        </w:tc>
        <w:tc>
          <w:tcPr>
            <w:tcW w:w="562" w:type="dxa"/>
            <w:tcBorders>
              <w:top w:val="nil"/>
              <w:left w:val="nil"/>
              <w:bottom w:val="nil"/>
              <w:right w:val="nil"/>
            </w:tcBorders>
            <w:shd w:val="clear" w:color="auto" w:fill="auto"/>
            <w:noWrap/>
            <w:vAlign w:val="center"/>
            <w:hideMark/>
          </w:tcPr>
          <w:p w14:paraId="5913543E"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NA</w:t>
            </w:r>
          </w:p>
        </w:tc>
        <w:tc>
          <w:tcPr>
            <w:tcW w:w="2126" w:type="dxa"/>
            <w:tcBorders>
              <w:top w:val="nil"/>
              <w:left w:val="nil"/>
              <w:bottom w:val="nil"/>
              <w:right w:val="nil"/>
            </w:tcBorders>
            <w:shd w:val="clear" w:color="auto" w:fill="auto"/>
            <w:vAlign w:val="center"/>
            <w:hideMark/>
          </w:tcPr>
          <w:p w14:paraId="5593B566"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watchful waiting</w:t>
            </w:r>
          </w:p>
        </w:tc>
        <w:tc>
          <w:tcPr>
            <w:tcW w:w="6007" w:type="dxa"/>
            <w:tcBorders>
              <w:top w:val="nil"/>
              <w:left w:val="nil"/>
              <w:bottom w:val="nil"/>
              <w:right w:val="single" w:sz="4" w:space="0" w:color="auto"/>
            </w:tcBorders>
            <w:shd w:val="clear" w:color="auto" w:fill="auto"/>
            <w:vAlign w:val="center"/>
            <w:hideMark/>
          </w:tcPr>
          <w:p w14:paraId="1EA2F2F5"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NA</w:t>
            </w:r>
          </w:p>
        </w:tc>
      </w:tr>
      <w:tr w:rsidR="00913374" w:rsidRPr="006140CB" w14:paraId="2C4B9F5C" w14:textId="77777777" w:rsidTr="00375083">
        <w:trPr>
          <w:trHeight w:val="694"/>
        </w:trPr>
        <w:tc>
          <w:tcPr>
            <w:tcW w:w="843" w:type="dxa"/>
            <w:tcBorders>
              <w:top w:val="nil"/>
              <w:left w:val="single" w:sz="4" w:space="0" w:color="auto"/>
              <w:bottom w:val="nil"/>
              <w:right w:val="single" w:sz="4" w:space="0" w:color="auto"/>
            </w:tcBorders>
            <w:shd w:val="clear" w:color="auto" w:fill="DEEAF6" w:themeFill="accent1" w:themeFillTint="33"/>
            <w:noWrap/>
            <w:vAlign w:val="center"/>
            <w:hideMark/>
          </w:tcPr>
          <w:p w14:paraId="3C1DB0B3"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18</w:t>
            </w:r>
          </w:p>
        </w:tc>
        <w:tc>
          <w:tcPr>
            <w:tcW w:w="1076" w:type="dxa"/>
            <w:tcBorders>
              <w:top w:val="nil"/>
              <w:left w:val="nil"/>
              <w:bottom w:val="nil"/>
              <w:right w:val="nil"/>
            </w:tcBorders>
            <w:shd w:val="clear" w:color="auto" w:fill="DEEAF6" w:themeFill="accent1" w:themeFillTint="33"/>
            <w:vAlign w:val="center"/>
            <w:hideMark/>
          </w:tcPr>
          <w:p w14:paraId="5A108FFA"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52</w:t>
            </w:r>
          </w:p>
        </w:tc>
        <w:tc>
          <w:tcPr>
            <w:tcW w:w="1076" w:type="dxa"/>
            <w:tcBorders>
              <w:top w:val="nil"/>
              <w:left w:val="nil"/>
              <w:bottom w:val="nil"/>
              <w:right w:val="nil"/>
            </w:tcBorders>
            <w:shd w:val="clear" w:color="auto" w:fill="DEEAF6" w:themeFill="accent1" w:themeFillTint="33"/>
            <w:noWrap/>
            <w:vAlign w:val="center"/>
            <w:hideMark/>
          </w:tcPr>
          <w:p w14:paraId="48705890"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52 (2015)</w:t>
            </w:r>
          </w:p>
        </w:tc>
        <w:tc>
          <w:tcPr>
            <w:tcW w:w="3096" w:type="dxa"/>
            <w:tcBorders>
              <w:top w:val="nil"/>
              <w:left w:val="nil"/>
              <w:bottom w:val="nil"/>
              <w:right w:val="nil"/>
            </w:tcBorders>
            <w:shd w:val="clear" w:color="auto" w:fill="DEEAF6" w:themeFill="accent1" w:themeFillTint="33"/>
            <w:vAlign w:val="center"/>
            <w:hideMark/>
          </w:tcPr>
          <w:p w14:paraId="190277FD"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refractory anemia with excess blasts-2</w:t>
            </w:r>
          </w:p>
        </w:tc>
        <w:tc>
          <w:tcPr>
            <w:tcW w:w="562" w:type="dxa"/>
            <w:tcBorders>
              <w:top w:val="nil"/>
              <w:left w:val="nil"/>
              <w:bottom w:val="nil"/>
              <w:right w:val="nil"/>
            </w:tcBorders>
            <w:shd w:val="clear" w:color="auto" w:fill="DEEAF6" w:themeFill="accent1" w:themeFillTint="33"/>
            <w:noWrap/>
            <w:vAlign w:val="center"/>
            <w:hideMark/>
          </w:tcPr>
          <w:p w14:paraId="0EC1D910"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&gt;4.5</w:t>
            </w:r>
          </w:p>
        </w:tc>
        <w:tc>
          <w:tcPr>
            <w:tcW w:w="2126" w:type="dxa"/>
            <w:tcBorders>
              <w:top w:val="nil"/>
              <w:left w:val="nil"/>
              <w:bottom w:val="nil"/>
              <w:right w:val="nil"/>
            </w:tcBorders>
            <w:shd w:val="clear" w:color="auto" w:fill="DEEAF6" w:themeFill="accent1" w:themeFillTint="33"/>
            <w:vAlign w:val="center"/>
            <w:hideMark/>
          </w:tcPr>
          <w:p w14:paraId="3DB0FE79" w14:textId="10316040" w:rsidR="00913374" w:rsidRPr="006140CB" w:rsidRDefault="00913374" w:rsidP="00913374">
            <w:pPr>
              <w:spacing w:after="0" w:line="240" w:lineRule="auto"/>
              <w:jc w:val="center"/>
              <w:rPr>
                <w:rFonts w:eastAsia="Times New Roman" w:cstheme="minorHAnsi"/>
                <w:color w:val="000000"/>
                <w:lang w:val="en-US" w:eastAsia="nl-NL"/>
              </w:rPr>
            </w:pPr>
            <w:proofErr w:type="spellStart"/>
            <w:r w:rsidRPr="006140CB">
              <w:rPr>
                <w:rFonts w:eastAsia="Times New Roman" w:cstheme="minorHAnsi"/>
                <w:color w:val="000000"/>
                <w:lang w:val="en-US" w:eastAsia="nl-NL"/>
              </w:rPr>
              <w:t>Idarubicine</w:t>
            </w:r>
            <w:proofErr w:type="spellEnd"/>
            <w:r w:rsidRPr="006140CB">
              <w:rPr>
                <w:rFonts w:eastAsia="Times New Roman" w:cstheme="minorHAnsi"/>
                <w:color w:val="000000"/>
                <w:lang w:val="en-US" w:eastAsia="nl-NL"/>
              </w:rPr>
              <w:t>/</w:t>
            </w:r>
            <w:proofErr w:type="spellStart"/>
            <w:r w:rsidRPr="006140CB">
              <w:rPr>
                <w:rFonts w:eastAsia="Times New Roman" w:cstheme="minorHAnsi"/>
                <w:color w:val="000000"/>
                <w:lang w:val="en-US" w:eastAsia="nl-NL"/>
              </w:rPr>
              <w:t>Ara</w:t>
            </w:r>
            <w:proofErr w:type="spellEnd"/>
            <w:r w:rsidRPr="006140CB">
              <w:rPr>
                <w:rFonts w:eastAsia="Times New Roman" w:cstheme="minorHAnsi"/>
                <w:color w:val="000000"/>
                <w:lang w:val="en-US" w:eastAsia="nl-NL"/>
              </w:rPr>
              <w:t xml:space="preserve">-C; allogenic </w:t>
            </w:r>
            <w:r w:rsidR="00F008F1" w:rsidRPr="006140CB">
              <w:rPr>
                <w:rFonts w:eastAsia="Times New Roman" w:cstheme="minorHAnsi"/>
                <w:color w:val="000000"/>
                <w:lang w:val="en-US" w:eastAsia="nl-NL"/>
              </w:rPr>
              <w:t>stem cell</w:t>
            </w:r>
            <w:r w:rsidRPr="006140CB">
              <w:rPr>
                <w:rFonts w:eastAsia="Times New Roman" w:cstheme="minorHAnsi"/>
                <w:color w:val="000000"/>
                <w:lang w:val="en-US" w:eastAsia="nl-NL"/>
              </w:rPr>
              <w:t xml:space="preserve"> transplant</w:t>
            </w:r>
          </w:p>
        </w:tc>
        <w:tc>
          <w:tcPr>
            <w:tcW w:w="6007" w:type="dxa"/>
            <w:tcBorders>
              <w:top w:val="nil"/>
              <w:left w:val="nil"/>
              <w:bottom w:val="nil"/>
              <w:right w:val="single" w:sz="4" w:space="0" w:color="auto"/>
            </w:tcBorders>
            <w:shd w:val="clear" w:color="auto" w:fill="DEEAF6" w:themeFill="accent1" w:themeFillTint="33"/>
            <w:vAlign w:val="center"/>
            <w:hideMark/>
          </w:tcPr>
          <w:p w14:paraId="4A1F429F"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Karyotype bone marrow: 46,XX[20].</w:t>
            </w:r>
            <w:proofErr w:type="spellStart"/>
            <w:r w:rsidRPr="006140CB">
              <w:rPr>
                <w:rFonts w:eastAsia="Times New Roman" w:cstheme="minorHAnsi"/>
                <w:color w:val="000000"/>
                <w:lang w:val="en-US" w:eastAsia="nl-NL"/>
              </w:rPr>
              <w:t>arr</w:t>
            </w:r>
            <w:proofErr w:type="spellEnd"/>
            <w:r w:rsidRPr="006140CB">
              <w:rPr>
                <w:rFonts w:eastAsia="Times New Roman" w:cstheme="minorHAnsi"/>
                <w:color w:val="000000"/>
                <w:lang w:val="en-US" w:eastAsia="nl-NL"/>
              </w:rPr>
              <w:t>[hg19] 11q23.3(118328003-118353482)x3, in skin biopsy not present</w:t>
            </w:r>
          </w:p>
        </w:tc>
      </w:tr>
      <w:tr w:rsidR="00913374" w:rsidRPr="006140CB" w14:paraId="5A0EA16B" w14:textId="77777777" w:rsidTr="00375083">
        <w:trPr>
          <w:trHeight w:val="283"/>
        </w:trPr>
        <w:tc>
          <w:tcPr>
            <w:tcW w:w="843" w:type="dxa"/>
            <w:tcBorders>
              <w:top w:val="nil"/>
              <w:left w:val="single" w:sz="4" w:space="0" w:color="auto"/>
              <w:bottom w:val="nil"/>
              <w:right w:val="single" w:sz="4" w:space="0" w:color="auto"/>
            </w:tcBorders>
            <w:shd w:val="clear" w:color="auto" w:fill="auto"/>
            <w:noWrap/>
            <w:vAlign w:val="center"/>
            <w:hideMark/>
          </w:tcPr>
          <w:p w14:paraId="6C2D5ED7"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19</w:t>
            </w:r>
          </w:p>
        </w:tc>
        <w:tc>
          <w:tcPr>
            <w:tcW w:w="1076" w:type="dxa"/>
            <w:tcBorders>
              <w:top w:val="nil"/>
              <w:left w:val="nil"/>
              <w:bottom w:val="nil"/>
              <w:right w:val="nil"/>
            </w:tcBorders>
            <w:shd w:val="clear" w:color="auto" w:fill="auto"/>
            <w:vAlign w:val="center"/>
            <w:hideMark/>
          </w:tcPr>
          <w:p w14:paraId="239C56D1"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68</w:t>
            </w:r>
          </w:p>
        </w:tc>
        <w:tc>
          <w:tcPr>
            <w:tcW w:w="1076" w:type="dxa"/>
            <w:tcBorders>
              <w:top w:val="nil"/>
              <w:left w:val="nil"/>
              <w:bottom w:val="nil"/>
              <w:right w:val="nil"/>
            </w:tcBorders>
            <w:shd w:val="clear" w:color="auto" w:fill="auto"/>
            <w:noWrap/>
            <w:vAlign w:val="center"/>
            <w:hideMark/>
          </w:tcPr>
          <w:p w14:paraId="3FBB5B61"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55 (2008)</w:t>
            </w:r>
          </w:p>
        </w:tc>
        <w:tc>
          <w:tcPr>
            <w:tcW w:w="3096" w:type="dxa"/>
            <w:tcBorders>
              <w:top w:val="nil"/>
              <w:left w:val="nil"/>
              <w:bottom w:val="nil"/>
              <w:right w:val="nil"/>
            </w:tcBorders>
            <w:shd w:val="clear" w:color="auto" w:fill="auto"/>
            <w:vAlign w:val="center"/>
            <w:hideMark/>
          </w:tcPr>
          <w:p w14:paraId="11AD6EB5"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 xml:space="preserve">red blood cell </w:t>
            </w:r>
            <w:proofErr w:type="spellStart"/>
            <w:r w:rsidRPr="006140CB">
              <w:rPr>
                <w:rFonts w:eastAsia="Times New Roman" w:cstheme="minorHAnsi"/>
                <w:color w:val="000000"/>
                <w:lang w:val="en-US" w:eastAsia="nl-NL"/>
              </w:rPr>
              <w:t>macrocytosis</w:t>
            </w:r>
            <w:proofErr w:type="spellEnd"/>
            <w:r w:rsidRPr="006140CB">
              <w:rPr>
                <w:rFonts w:eastAsia="Times New Roman" w:cstheme="minorHAnsi"/>
                <w:color w:val="000000"/>
                <w:lang w:val="en-US" w:eastAsia="nl-NL"/>
              </w:rPr>
              <w:t xml:space="preserve"> and anemia</w:t>
            </w:r>
          </w:p>
        </w:tc>
        <w:tc>
          <w:tcPr>
            <w:tcW w:w="562" w:type="dxa"/>
            <w:tcBorders>
              <w:top w:val="nil"/>
              <w:left w:val="nil"/>
              <w:bottom w:val="nil"/>
              <w:right w:val="nil"/>
            </w:tcBorders>
            <w:shd w:val="clear" w:color="auto" w:fill="auto"/>
            <w:noWrap/>
            <w:vAlign w:val="center"/>
            <w:hideMark/>
          </w:tcPr>
          <w:p w14:paraId="457CE0C2"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NA</w:t>
            </w:r>
          </w:p>
        </w:tc>
        <w:tc>
          <w:tcPr>
            <w:tcW w:w="2126" w:type="dxa"/>
            <w:tcBorders>
              <w:top w:val="nil"/>
              <w:left w:val="nil"/>
              <w:bottom w:val="nil"/>
              <w:right w:val="nil"/>
            </w:tcBorders>
            <w:shd w:val="clear" w:color="auto" w:fill="auto"/>
            <w:vAlign w:val="center"/>
            <w:hideMark/>
          </w:tcPr>
          <w:p w14:paraId="62C7457F"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watchful waiting</w:t>
            </w:r>
          </w:p>
        </w:tc>
        <w:tc>
          <w:tcPr>
            <w:tcW w:w="6007" w:type="dxa"/>
            <w:tcBorders>
              <w:top w:val="nil"/>
              <w:left w:val="nil"/>
              <w:bottom w:val="nil"/>
              <w:right w:val="single" w:sz="4" w:space="0" w:color="auto"/>
            </w:tcBorders>
            <w:shd w:val="clear" w:color="auto" w:fill="auto"/>
            <w:vAlign w:val="center"/>
            <w:hideMark/>
          </w:tcPr>
          <w:p w14:paraId="11C1FCDF"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NA</w:t>
            </w:r>
          </w:p>
        </w:tc>
      </w:tr>
      <w:tr w:rsidR="00913374" w:rsidRPr="006140CB" w14:paraId="55A9D780" w14:textId="77777777" w:rsidTr="00375083">
        <w:trPr>
          <w:trHeight w:val="765"/>
        </w:trPr>
        <w:tc>
          <w:tcPr>
            <w:tcW w:w="843" w:type="dxa"/>
            <w:tcBorders>
              <w:top w:val="nil"/>
              <w:left w:val="single" w:sz="4" w:space="0" w:color="auto"/>
              <w:bottom w:val="nil"/>
              <w:right w:val="single" w:sz="4" w:space="0" w:color="auto"/>
            </w:tcBorders>
            <w:shd w:val="clear" w:color="auto" w:fill="DEEAF6" w:themeFill="accent1" w:themeFillTint="33"/>
            <w:noWrap/>
            <w:vAlign w:val="center"/>
            <w:hideMark/>
          </w:tcPr>
          <w:p w14:paraId="7E537EBA"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20</w:t>
            </w:r>
          </w:p>
        </w:tc>
        <w:tc>
          <w:tcPr>
            <w:tcW w:w="1076" w:type="dxa"/>
            <w:tcBorders>
              <w:top w:val="nil"/>
              <w:left w:val="nil"/>
              <w:bottom w:val="nil"/>
              <w:right w:val="nil"/>
            </w:tcBorders>
            <w:shd w:val="clear" w:color="auto" w:fill="DEEAF6" w:themeFill="accent1" w:themeFillTint="33"/>
            <w:vAlign w:val="center"/>
            <w:hideMark/>
          </w:tcPr>
          <w:p w14:paraId="6431A53F"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58</w:t>
            </w:r>
          </w:p>
        </w:tc>
        <w:tc>
          <w:tcPr>
            <w:tcW w:w="1076" w:type="dxa"/>
            <w:tcBorders>
              <w:top w:val="nil"/>
              <w:left w:val="nil"/>
              <w:bottom w:val="nil"/>
              <w:right w:val="nil"/>
            </w:tcBorders>
            <w:shd w:val="clear" w:color="auto" w:fill="DEEAF6" w:themeFill="accent1" w:themeFillTint="33"/>
            <w:noWrap/>
            <w:vAlign w:val="center"/>
            <w:hideMark/>
          </w:tcPr>
          <w:p w14:paraId="5F9D4F81"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60 (2018)</w:t>
            </w:r>
          </w:p>
        </w:tc>
        <w:tc>
          <w:tcPr>
            <w:tcW w:w="3096" w:type="dxa"/>
            <w:tcBorders>
              <w:top w:val="nil"/>
              <w:left w:val="nil"/>
              <w:bottom w:val="nil"/>
              <w:right w:val="nil"/>
            </w:tcBorders>
            <w:shd w:val="clear" w:color="auto" w:fill="DEEAF6" w:themeFill="accent1" w:themeFillTint="33"/>
            <w:vAlign w:val="center"/>
            <w:hideMark/>
          </w:tcPr>
          <w:p w14:paraId="30FFFE1A" w14:textId="77777777" w:rsidR="00913374" w:rsidRPr="006140CB" w:rsidRDefault="00913374" w:rsidP="00913374">
            <w:pPr>
              <w:spacing w:after="0" w:line="240" w:lineRule="auto"/>
              <w:jc w:val="center"/>
              <w:rPr>
                <w:rFonts w:eastAsia="Times New Roman" w:cstheme="minorHAnsi"/>
                <w:color w:val="000000"/>
                <w:lang w:val="en-US" w:eastAsia="nl-NL"/>
              </w:rPr>
            </w:pPr>
            <w:proofErr w:type="spellStart"/>
            <w:r w:rsidRPr="006140CB">
              <w:rPr>
                <w:rFonts w:eastAsia="Times New Roman" w:cstheme="minorHAnsi"/>
                <w:color w:val="000000"/>
                <w:lang w:val="en-US" w:eastAsia="nl-NL"/>
              </w:rPr>
              <w:t>multilineage</w:t>
            </w:r>
            <w:proofErr w:type="spellEnd"/>
            <w:r w:rsidRPr="006140CB">
              <w:rPr>
                <w:rFonts w:eastAsia="Times New Roman" w:cstheme="minorHAnsi"/>
                <w:color w:val="000000"/>
                <w:lang w:val="en-US" w:eastAsia="nl-NL"/>
              </w:rPr>
              <w:t xml:space="preserve"> dysplasia</w:t>
            </w:r>
          </w:p>
        </w:tc>
        <w:tc>
          <w:tcPr>
            <w:tcW w:w="562" w:type="dxa"/>
            <w:tcBorders>
              <w:top w:val="nil"/>
              <w:left w:val="nil"/>
              <w:bottom w:val="nil"/>
              <w:right w:val="nil"/>
            </w:tcBorders>
            <w:shd w:val="clear" w:color="auto" w:fill="DEEAF6" w:themeFill="accent1" w:themeFillTint="33"/>
            <w:noWrap/>
            <w:vAlign w:val="center"/>
            <w:hideMark/>
          </w:tcPr>
          <w:p w14:paraId="67C3F70C"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1.5</w:t>
            </w:r>
            <w:r w:rsidRPr="006140CB">
              <w:rPr>
                <w:rFonts w:eastAsia="Times New Roman" w:cstheme="minorHAnsi"/>
                <w:color w:val="000000"/>
                <w:vertAlign w:val="superscript"/>
                <w:lang w:val="en-US" w:eastAsia="nl-NL"/>
              </w:rPr>
              <w:t>$)</w:t>
            </w:r>
          </w:p>
        </w:tc>
        <w:tc>
          <w:tcPr>
            <w:tcW w:w="2126" w:type="dxa"/>
            <w:tcBorders>
              <w:top w:val="nil"/>
              <w:left w:val="nil"/>
              <w:bottom w:val="nil"/>
              <w:right w:val="nil"/>
            </w:tcBorders>
            <w:shd w:val="clear" w:color="auto" w:fill="DEEAF6" w:themeFill="accent1" w:themeFillTint="33"/>
            <w:vAlign w:val="center"/>
            <w:hideMark/>
          </w:tcPr>
          <w:p w14:paraId="63E96BC3"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allogenic stem cell transplantation</w:t>
            </w:r>
          </w:p>
        </w:tc>
        <w:tc>
          <w:tcPr>
            <w:tcW w:w="6007" w:type="dxa"/>
            <w:tcBorders>
              <w:top w:val="nil"/>
              <w:left w:val="nil"/>
              <w:bottom w:val="nil"/>
              <w:right w:val="single" w:sz="4" w:space="0" w:color="auto"/>
            </w:tcBorders>
            <w:shd w:val="clear" w:color="auto" w:fill="DEEAF6" w:themeFill="accent1" w:themeFillTint="33"/>
            <w:vAlign w:val="center"/>
            <w:hideMark/>
          </w:tcPr>
          <w:p w14:paraId="0CD800F8"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 xml:space="preserve">del 2q, del 5q, del 7p, del 13q + 16 and </w:t>
            </w:r>
            <w:proofErr w:type="spellStart"/>
            <w:r w:rsidRPr="006140CB">
              <w:rPr>
                <w:rFonts w:eastAsia="Times New Roman" w:cstheme="minorHAnsi"/>
                <w:color w:val="000000"/>
                <w:lang w:val="en-US" w:eastAsia="nl-NL"/>
              </w:rPr>
              <w:t>aUPD</w:t>
            </w:r>
            <w:proofErr w:type="spellEnd"/>
            <w:r w:rsidRPr="006140CB">
              <w:rPr>
                <w:rFonts w:eastAsia="Times New Roman" w:cstheme="minorHAnsi"/>
                <w:color w:val="000000"/>
                <w:lang w:val="en-US" w:eastAsia="nl-NL"/>
              </w:rPr>
              <w:t xml:space="preserve"> 17p13 (pm p53 gene)</w:t>
            </w:r>
          </w:p>
        </w:tc>
      </w:tr>
      <w:tr w:rsidR="00913374" w:rsidRPr="006140CB" w14:paraId="0F760184" w14:textId="77777777" w:rsidTr="00375083">
        <w:trPr>
          <w:trHeight w:val="426"/>
        </w:trPr>
        <w:tc>
          <w:tcPr>
            <w:tcW w:w="843" w:type="dxa"/>
            <w:tcBorders>
              <w:top w:val="nil"/>
              <w:left w:val="single" w:sz="4" w:space="0" w:color="auto"/>
              <w:bottom w:val="single" w:sz="4" w:space="0" w:color="auto"/>
              <w:right w:val="single" w:sz="4" w:space="0" w:color="auto"/>
            </w:tcBorders>
            <w:shd w:val="clear" w:color="auto" w:fill="auto"/>
            <w:noWrap/>
            <w:vAlign w:val="center"/>
            <w:hideMark/>
          </w:tcPr>
          <w:p w14:paraId="6FBD262F"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21</w:t>
            </w:r>
          </w:p>
        </w:tc>
        <w:tc>
          <w:tcPr>
            <w:tcW w:w="1076" w:type="dxa"/>
            <w:tcBorders>
              <w:top w:val="nil"/>
              <w:left w:val="nil"/>
              <w:bottom w:val="single" w:sz="4" w:space="0" w:color="auto"/>
              <w:right w:val="nil"/>
            </w:tcBorders>
            <w:shd w:val="clear" w:color="auto" w:fill="auto"/>
            <w:vAlign w:val="center"/>
            <w:hideMark/>
          </w:tcPr>
          <w:p w14:paraId="466ECD5D"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55</w:t>
            </w:r>
          </w:p>
        </w:tc>
        <w:tc>
          <w:tcPr>
            <w:tcW w:w="1076" w:type="dxa"/>
            <w:tcBorders>
              <w:top w:val="nil"/>
              <w:left w:val="nil"/>
              <w:bottom w:val="single" w:sz="4" w:space="0" w:color="auto"/>
              <w:right w:val="nil"/>
            </w:tcBorders>
            <w:shd w:val="clear" w:color="auto" w:fill="auto"/>
            <w:noWrap/>
            <w:vAlign w:val="center"/>
            <w:hideMark/>
          </w:tcPr>
          <w:p w14:paraId="23C93F08"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53 (2015)</w:t>
            </w:r>
          </w:p>
        </w:tc>
        <w:tc>
          <w:tcPr>
            <w:tcW w:w="3096" w:type="dxa"/>
            <w:tcBorders>
              <w:top w:val="nil"/>
              <w:left w:val="nil"/>
              <w:bottom w:val="single" w:sz="4" w:space="0" w:color="auto"/>
              <w:right w:val="nil"/>
            </w:tcBorders>
            <w:shd w:val="clear" w:color="auto" w:fill="auto"/>
            <w:vAlign w:val="center"/>
            <w:hideMark/>
          </w:tcPr>
          <w:p w14:paraId="7A83CC00" w14:textId="77777777" w:rsidR="00913374" w:rsidRPr="006140CB" w:rsidRDefault="00913374" w:rsidP="00913374">
            <w:pPr>
              <w:spacing w:after="0" w:line="240" w:lineRule="auto"/>
              <w:jc w:val="center"/>
              <w:rPr>
                <w:rFonts w:eastAsia="Times New Roman" w:cstheme="minorHAnsi"/>
                <w:color w:val="000000"/>
                <w:lang w:val="en-US" w:eastAsia="nl-NL"/>
              </w:rPr>
            </w:pPr>
            <w:proofErr w:type="spellStart"/>
            <w:r w:rsidRPr="006140CB">
              <w:rPr>
                <w:rFonts w:eastAsia="Times New Roman" w:cstheme="minorHAnsi"/>
                <w:color w:val="000000"/>
                <w:lang w:val="en-US" w:eastAsia="nl-NL"/>
              </w:rPr>
              <w:t>hypoplastic</w:t>
            </w:r>
            <w:proofErr w:type="spellEnd"/>
            <w:r w:rsidRPr="006140CB">
              <w:rPr>
                <w:rFonts w:eastAsia="Times New Roman" w:cstheme="minorHAnsi"/>
                <w:color w:val="000000"/>
                <w:lang w:val="en-US" w:eastAsia="nl-NL"/>
              </w:rPr>
              <w:t xml:space="preserve"> bone marrow; thrombocytopenia, anemia and red blood cell </w:t>
            </w:r>
            <w:proofErr w:type="spellStart"/>
            <w:r w:rsidRPr="006140CB">
              <w:rPr>
                <w:rFonts w:eastAsia="Times New Roman" w:cstheme="minorHAnsi"/>
                <w:color w:val="000000"/>
                <w:lang w:val="en-US" w:eastAsia="nl-NL"/>
              </w:rPr>
              <w:t>macrocytosis</w:t>
            </w:r>
            <w:proofErr w:type="spellEnd"/>
          </w:p>
        </w:tc>
        <w:tc>
          <w:tcPr>
            <w:tcW w:w="562" w:type="dxa"/>
            <w:tcBorders>
              <w:top w:val="nil"/>
              <w:left w:val="nil"/>
              <w:bottom w:val="single" w:sz="4" w:space="0" w:color="auto"/>
              <w:right w:val="nil"/>
            </w:tcBorders>
            <w:shd w:val="clear" w:color="auto" w:fill="auto"/>
            <w:noWrap/>
            <w:vAlign w:val="center"/>
            <w:hideMark/>
          </w:tcPr>
          <w:p w14:paraId="2D3621C0"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3</w:t>
            </w:r>
            <w:r w:rsidRPr="006140CB">
              <w:rPr>
                <w:rFonts w:eastAsia="Times New Roman" w:cstheme="minorHAnsi"/>
                <w:color w:val="000000"/>
                <w:vertAlign w:val="superscript"/>
                <w:lang w:val="en-US" w:eastAsia="nl-NL"/>
              </w:rPr>
              <w:t>#)</w:t>
            </w:r>
          </w:p>
        </w:tc>
        <w:tc>
          <w:tcPr>
            <w:tcW w:w="2126" w:type="dxa"/>
            <w:tcBorders>
              <w:top w:val="nil"/>
              <w:left w:val="nil"/>
              <w:bottom w:val="single" w:sz="4" w:space="0" w:color="auto"/>
              <w:right w:val="nil"/>
            </w:tcBorders>
            <w:shd w:val="clear" w:color="auto" w:fill="auto"/>
            <w:vAlign w:val="center"/>
            <w:hideMark/>
          </w:tcPr>
          <w:p w14:paraId="10B97F12" w14:textId="77777777"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no treatment due to co-morbidities</w:t>
            </w:r>
          </w:p>
        </w:tc>
        <w:tc>
          <w:tcPr>
            <w:tcW w:w="6007" w:type="dxa"/>
            <w:tcBorders>
              <w:top w:val="nil"/>
              <w:left w:val="nil"/>
              <w:bottom w:val="single" w:sz="4" w:space="0" w:color="auto"/>
              <w:right w:val="single" w:sz="4" w:space="0" w:color="auto"/>
            </w:tcBorders>
            <w:shd w:val="clear" w:color="auto" w:fill="auto"/>
            <w:vAlign w:val="center"/>
            <w:hideMark/>
          </w:tcPr>
          <w:p w14:paraId="1C26B705" w14:textId="0F0DF0CC" w:rsidR="00913374" w:rsidRPr="00444383" w:rsidRDefault="00913374" w:rsidP="00913374">
            <w:pPr>
              <w:spacing w:after="0" w:line="240" w:lineRule="auto"/>
              <w:jc w:val="center"/>
              <w:rPr>
                <w:rFonts w:eastAsia="Times New Roman" w:cstheme="minorHAnsi"/>
                <w:color w:val="000000"/>
                <w:lang w:val="nl-NL" w:eastAsia="nl-NL"/>
              </w:rPr>
            </w:pPr>
            <w:proofErr w:type="gramStart"/>
            <w:r w:rsidRPr="00444383">
              <w:rPr>
                <w:rFonts w:eastAsia="Times New Roman" w:cstheme="minorHAnsi"/>
                <w:color w:val="000000"/>
                <w:lang w:val="nl-NL" w:eastAsia="nl-NL"/>
              </w:rPr>
              <w:t>at</w:t>
            </w:r>
            <w:proofErr w:type="gramEnd"/>
            <w:r w:rsidRPr="00444383">
              <w:rPr>
                <w:rFonts w:eastAsia="Times New Roman" w:cstheme="minorHAnsi"/>
                <w:color w:val="000000"/>
                <w:lang w:val="nl-NL" w:eastAsia="nl-NL"/>
              </w:rPr>
              <w:t xml:space="preserve"> diagnosis:</w:t>
            </w:r>
          </w:p>
          <w:p w14:paraId="4EF24513" w14:textId="24DB6A93" w:rsidR="00913374" w:rsidRPr="00444383" w:rsidRDefault="00913374" w:rsidP="00913374">
            <w:pPr>
              <w:spacing w:after="0" w:line="240" w:lineRule="auto"/>
              <w:jc w:val="center"/>
              <w:rPr>
                <w:rFonts w:eastAsia="Times New Roman" w:cstheme="minorHAnsi"/>
                <w:color w:val="000000"/>
                <w:lang w:val="nl-NL" w:eastAsia="nl-NL"/>
              </w:rPr>
            </w:pPr>
            <w:r w:rsidRPr="00444383">
              <w:rPr>
                <w:rFonts w:eastAsia="Times New Roman" w:cstheme="minorHAnsi"/>
                <w:color w:val="000000"/>
                <w:lang w:val="nl-NL" w:eastAsia="nl-NL"/>
              </w:rPr>
              <w:t xml:space="preserve">46, </w:t>
            </w:r>
            <w:proofErr w:type="gramStart"/>
            <w:r w:rsidRPr="00444383">
              <w:rPr>
                <w:rFonts w:eastAsia="Times New Roman" w:cstheme="minorHAnsi"/>
                <w:color w:val="000000"/>
                <w:lang w:val="nl-NL" w:eastAsia="nl-NL"/>
              </w:rPr>
              <w:t>XX,+</w:t>
            </w:r>
            <w:proofErr w:type="gramEnd"/>
            <w:r w:rsidRPr="00444383">
              <w:rPr>
                <w:rFonts w:eastAsia="Times New Roman" w:cstheme="minorHAnsi"/>
                <w:color w:val="000000"/>
                <w:lang w:val="nl-NL" w:eastAsia="nl-NL"/>
              </w:rPr>
              <w:t>1,dic(1;15)(p11;p11)[6]/46,XX[14];</w:t>
            </w:r>
          </w:p>
          <w:p w14:paraId="374C917C" w14:textId="38CA963C" w:rsidR="00913374" w:rsidRPr="006140CB" w:rsidRDefault="00913374" w:rsidP="00913374">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after 3 years: 46,XX,+1,dic(1;15)(p11;p11)[1]/46,XX,+1,dic(1;14)(p11;q3?2)[4]/46,XX[16]</w:t>
            </w:r>
          </w:p>
        </w:tc>
      </w:tr>
    </w:tbl>
    <w:p w14:paraId="43A46CB3" w14:textId="2C1A972A" w:rsidR="00BD19B1" w:rsidRPr="00DA341F" w:rsidRDefault="00F93E27" w:rsidP="00BD19B1">
      <w:pPr>
        <w:rPr>
          <w:rFonts w:ascii="Verdana" w:hAnsi="Verdana" w:cstheme="minorHAnsi"/>
          <w:sz w:val="20"/>
          <w:szCs w:val="20"/>
          <w:lang w:val="en-US"/>
        </w:rPr>
      </w:pPr>
      <w:r w:rsidRPr="00DA341F">
        <w:rPr>
          <w:rFonts w:ascii="Verdana" w:hAnsi="Verdana" w:cstheme="minorHAnsi"/>
          <w:sz w:val="20"/>
          <w:szCs w:val="20"/>
          <w:vertAlign w:val="superscript"/>
          <w:lang w:val="en-US"/>
        </w:rPr>
        <w:t>#)</w:t>
      </w:r>
      <w:r w:rsidR="00493B9B" w:rsidRPr="00DA341F">
        <w:rPr>
          <w:rFonts w:ascii="Verdana" w:hAnsi="Verdana" w:cstheme="minorHAnsi"/>
          <w:sz w:val="20"/>
          <w:szCs w:val="20"/>
          <w:vertAlign w:val="superscript"/>
          <w:lang w:val="en-US"/>
        </w:rPr>
        <w:t xml:space="preserve"> </w:t>
      </w:r>
      <w:r w:rsidR="00E329E2" w:rsidRPr="00DA341F">
        <w:rPr>
          <w:rFonts w:ascii="Verdana" w:hAnsi="Verdana" w:cstheme="minorHAnsi"/>
          <w:sz w:val="20"/>
          <w:szCs w:val="20"/>
          <w:lang w:val="en-US"/>
        </w:rPr>
        <w:t>IPSS-R</w:t>
      </w:r>
      <w:r w:rsidRPr="00DA341F">
        <w:rPr>
          <w:rFonts w:ascii="Verdana" w:hAnsi="Verdana" w:cstheme="minorHAnsi"/>
          <w:sz w:val="20"/>
          <w:szCs w:val="20"/>
          <w:lang w:val="en-US"/>
        </w:rPr>
        <w:t xml:space="preserve"> </w:t>
      </w:r>
      <w:r w:rsidR="00EF1EF8" w:rsidRPr="00DA341F">
        <w:rPr>
          <w:rFonts w:ascii="Verdana" w:hAnsi="Verdana" w:cstheme="minorHAnsi"/>
          <w:sz w:val="20"/>
          <w:szCs w:val="20"/>
          <w:lang w:val="en-US"/>
        </w:rPr>
        <w:t>*)</w:t>
      </w:r>
      <w:r w:rsidR="009C5DF5" w:rsidRPr="00DA341F">
        <w:rPr>
          <w:rFonts w:ascii="Verdana" w:hAnsi="Verdana" w:cstheme="minorHAnsi"/>
          <w:sz w:val="20"/>
          <w:szCs w:val="20"/>
          <w:lang w:val="en-US"/>
        </w:rPr>
        <w:t xml:space="preserve"> </w:t>
      </w:r>
      <w:r w:rsidR="00EF1EF8" w:rsidRPr="00DA341F">
        <w:rPr>
          <w:rFonts w:ascii="Verdana" w:hAnsi="Verdana" w:cstheme="minorHAnsi"/>
          <w:sz w:val="20"/>
          <w:szCs w:val="20"/>
          <w:lang w:val="en-US"/>
        </w:rPr>
        <w:t xml:space="preserve">corresponds with patient numbering in table </w:t>
      </w:r>
      <w:r w:rsidR="00776018">
        <w:rPr>
          <w:rFonts w:ascii="Verdana" w:hAnsi="Verdana" w:cstheme="minorHAnsi"/>
          <w:sz w:val="20"/>
          <w:szCs w:val="20"/>
          <w:lang w:val="en-US"/>
        </w:rPr>
        <w:t>E</w:t>
      </w:r>
      <w:r w:rsidR="00EF1EF8" w:rsidRPr="00DA341F">
        <w:rPr>
          <w:rFonts w:ascii="Verdana" w:hAnsi="Verdana" w:cstheme="minorHAnsi"/>
          <w:sz w:val="20"/>
          <w:szCs w:val="20"/>
          <w:lang w:val="en-US"/>
        </w:rPr>
        <w:t xml:space="preserve">2; PF, pulmonary fibrosis; MDS, myelodysplastic syndrome; </w:t>
      </w:r>
      <w:r w:rsidR="00C15717" w:rsidRPr="00DA341F">
        <w:rPr>
          <w:rFonts w:ascii="Verdana" w:hAnsi="Verdana" w:cstheme="minorHAnsi"/>
          <w:sz w:val="20"/>
          <w:szCs w:val="20"/>
          <w:lang w:val="en-US"/>
        </w:rPr>
        <w:t xml:space="preserve">IPSS, </w:t>
      </w:r>
      <w:r w:rsidR="009C0FD1" w:rsidRPr="00DA341F">
        <w:rPr>
          <w:rFonts w:ascii="Verdana" w:hAnsi="Verdana" w:cstheme="minorHAnsi"/>
          <w:sz w:val="20"/>
          <w:szCs w:val="20"/>
          <w:lang w:val="en-US"/>
        </w:rPr>
        <w:t>international prognostic scoring system; NA, not available</w:t>
      </w:r>
    </w:p>
    <w:p w14:paraId="15EAF7EE" w14:textId="14C34AEE" w:rsidR="00BD19B1" w:rsidRPr="00DA341F" w:rsidRDefault="00156FBA" w:rsidP="00BD19B1">
      <w:pPr>
        <w:rPr>
          <w:rFonts w:ascii="Verdana" w:hAnsi="Verdana" w:cstheme="minorHAnsi"/>
          <w:sz w:val="20"/>
          <w:szCs w:val="20"/>
          <w:lang w:val="en-US"/>
        </w:rPr>
      </w:pPr>
      <w:r w:rsidRPr="00DA341F">
        <w:rPr>
          <w:rFonts w:ascii="Verdana" w:hAnsi="Verdana" w:cstheme="minorHAnsi"/>
          <w:b/>
          <w:sz w:val="20"/>
          <w:szCs w:val="20"/>
          <w:lang w:val="en-US"/>
        </w:rPr>
        <w:lastRenderedPageBreak/>
        <w:t>Table E</w:t>
      </w:r>
      <w:r w:rsidR="00F56D06">
        <w:rPr>
          <w:rFonts w:ascii="Verdana" w:hAnsi="Verdana" w:cstheme="minorHAnsi"/>
          <w:b/>
          <w:sz w:val="20"/>
          <w:szCs w:val="20"/>
          <w:lang w:val="en-US"/>
        </w:rPr>
        <w:t>7</w:t>
      </w:r>
      <w:bookmarkStart w:id="0" w:name="_GoBack"/>
      <w:bookmarkEnd w:id="0"/>
      <w:r w:rsidR="00BD19B1" w:rsidRPr="00DA341F">
        <w:rPr>
          <w:rFonts w:ascii="Verdana" w:hAnsi="Verdana" w:cstheme="minorHAnsi"/>
          <w:b/>
          <w:sz w:val="20"/>
          <w:szCs w:val="20"/>
          <w:lang w:val="en-US"/>
        </w:rPr>
        <w:t>.</w:t>
      </w:r>
      <w:r w:rsidR="00BD19B1" w:rsidRPr="00DA341F">
        <w:rPr>
          <w:rFonts w:ascii="Verdana" w:hAnsi="Verdana" w:cstheme="minorHAnsi"/>
          <w:sz w:val="20"/>
          <w:szCs w:val="20"/>
          <w:lang w:val="en-US"/>
        </w:rPr>
        <w:t xml:space="preserve"> Details regarding treatment of solid cancers</w:t>
      </w:r>
    </w:p>
    <w:tbl>
      <w:tblPr>
        <w:tblW w:w="13948" w:type="dxa"/>
        <w:tblCellMar>
          <w:left w:w="70" w:type="dxa"/>
          <w:right w:w="70" w:type="dxa"/>
        </w:tblCellMar>
        <w:tblLook w:val="04A0" w:firstRow="1" w:lastRow="0" w:firstColumn="1" w:lastColumn="0" w:noHBand="0" w:noVBand="1"/>
      </w:tblPr>
      <w:tblGrid>
        <w:gridCol w:w="1509"/>
        <w:gridCol w:w="1069"/>
        <w:gridCol w:w="1358"/>
        <w:gridCol w:w="1588"/>
        <w:gridCol w:w="3642"/>
        <w:gridCol w:w="4782"/>
      </w:tblGrid>
      <w:tr w:rsidR="00CA180A" w:rsidRPr="006140CB" w14:paraId="6F62D06B" w14:textId="77777777" w:rsidTr="00395513">
        <w:trPr>
          <w:trHeight w:val="255"/>
        </w:trPr>
        <w:tc>
          <w:tcPr>
            <w:tcW w:w="1509"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hideMark/>
          </w:tcPr>
          <w:p w14:paraId="39D78135" w14:textId="5439D4F4"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 xml:space="preserve">Patient </w:t>
            </w:r>
            <w:proofErr w:type="spellStart"/>
            <w:r w:rsidRPr="006140CB">
              <w:rPr>
                <w:rFonts w:eastAsia="Times New Roman" w:cstheme="minorHAnsi"/>
                <w:color w:val="000000"/>
                <w:lang w:val="en-US" w:eastAsia="nl-NL"/>
              </w:rPr>
              <w:t>nr</w:t>
            </w:r>
            <w:proofErr w:type="spellEnd"/>
            <w:r w:rsidRPr="006140CB">
              <w:rPr>
                <w:rFonts w:eastAsia="Times New Roman" w:cstheme="minorHAnsi"/>
                <w:color w:val="000000"/>
                <w:lang w:val="en-US" w:eastAsia="nl-NL"/>
              </w:rPr>
              <w:t>*)</w:t>
            </w:r>
          </w:p>
        </w:tc>
        <w:tc>
          <w:tcPr>
            <w:tcW w:w="1069" w:type="dxa"/>
            <w:tcBorders>
              <w:top w:val="single" w:sz="4" w:space="0" w:color="auto"/>
              <w:left w:val="nil"/>
              <w:bottom w:val="single" w:sz="4" w:space="0" w:color="auto"/>
              <w:right w:val="nil"/>
            </w:tcBorders>
            <w:shd w:val="clear" w:color="auto" w:fill="DEEAF6" w:themeFill="accent1" w:themeFillTint="33"/>
            <w:noWrap/>
            <w:vAlign w:val="bottom"/>
            <w:hideMark/>
          </w:tcPr>
          <w:p w14:paraId="1B84A16D"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Age at PF diagnosis</w:t>
            </w:r>
          </w:p>
        </w:tc>
        <w:tc>
          <w:tcPr>
            <w:tcW w:w="1358" w:type="dxa"/>
            <w:tcBorders>
              <w:top w:val="single" w:sz="4" w:space="0" w:color="auto"/>
              <w:left w:val="nil"/>
              <w:bottom w:val="single" w:sz="4" w:space="0" w:color="auto"/>
              <w:right w:val="nil"/>
            </w:tcBorders>
            <w:shd w:val="clear" w:color="auto" w:fill="DEEAF6" w:themeFill="accent1" w:themeFillTint="33"/>
            <w:noWrap/>
            <w:vAlign w:val="bottom"/>
            <w:hideMark/>
          </w:tcPr>
          <w:p w14:paraId="4A319DE6"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Age at cancer diagnosis</w:t>
            </w:r>
          </w:p>
        </w:tc>
        <w:tc>
          <w:tcPr>
            <w:tcW w:w="1588" w:type="dxa"/>
            <w:tcBorders>
              <w:top w:val="single" w:sz="4" w:space="0" w:color="auto"/>
              <w:left w:val="nil"/>
              <w:bottom w:val="single" w:sz="4" w:space="0" w:color="auto"/>
              <w:right w:val="nil"/>
            </w:tcBorders>
            <w:shd w:val="clear" w:color="auto" w:fill="DEEAF6" w:themeFill="accent1" w:themeFillTint="33"/>
            <w:noWrap/>
            <w:vAlign w:val="bottom"/>
            <w:hideMark/>
          </w:tcPr>
          <w:p w14:paraId="6C836F72" w14:textId="40EBA263"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Type of cancer</w:t>
            </w:r>
          </w:p>
        </w:tc>
        <w:tc>
          <w:tcPr>
            <w:tcW w:w="3642" w:type="dxa"/>
            <w:tcBorders>
              <w:top w:val="single" w:sz="4" w:space="0" w:color="auto"/>
              <w:left w:val="nil"/>
              <w:bottom w:val="single" w:sz="4" w:space="0" w:color="auto"/>
              <w:right w:val="nil"/>
            </w:tcBorders>
            <w:shd w:val="clear" w:color="auto" w:fill="DEEAF6" w:themeFill="accent1" w:themeFillTint="33"/>
            <w:noWrap/>
            <w:vAlign w:val="bottom"/>
            <w:hideMark/>
          </w:tcPr>
          <w:p w14:paraId="09576207"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Treatment</w:t>
            </w:r>
          </w:p>
        </w:tc>
        <w:tc>
          <w:tcPr>
            <w:tcW w:w="4782" w:type="dxa"/>
            <w:tcBorders>
              <w:top w:val="single" w:sz="4" w:space="0" w:color="auto"/>
              <w:left w:val="nil"/>
              <w:bottom w:val="single" w:sz="4" w:space="0" w:color="auto"/>
              <w:right w:val="single" w:sz="4" w:space="0" w:color="auto"/>
            </w:tcBorders>
            <w:shd w:val="clear" w:color="auto" w:fill="DEEAF6" w:themeFill="accent1" w:themeFillTint="33"/>
            <w:noWrap/>
            <w:vAlign w:val="bottom"/>
            <w:hideMark/>
          </w:tcPr>
          <w:p w14:paraId="78585286"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Remarks</w:t>
            </w:r>
          </w:p>
        </w:tc>
      </w:tr>
      <w:tr w:rsidR="00CA180A" w:rsidRPr="006140CB" w14:paraId="38D902E5" w14:textId="77777777" w:rsidTr="00395513">
        <w:trPr>
          <w:trHeight w:val="255"/>
        </w:trPr>
        <w:tc>
          <w:tcPr>
            <w:tcW w:w="1509" w:type="dxa"/>
            <w:tcBorders>
              <w:top w:val="nil"/>
              <w:left w:val="single" w:sz="4" w:space="0" w:color="auto"/>
              <w:bottom w:val="nil"/>
              <w:right w:val="single" w:sz="4" w:space="0" w:color="auto"/>
            </w:tcBorders>
            <w:shd w:val="clear" w:color="auto" w:fill="auto"/>
            <w:noWrap/>
            <w:vAlign w:val="center"/>
            <w:hideMark/>
          </w:tcPr>
          <w:p w14:paraId="3CE28EE2"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w:t>
            </w:r>
          </w:p>
        </w:tc>
        <w:tc>
          <w:tcPr>
            <w:tcW w:w="1069" w:type="dxa"/>
            <w:tcBorders>
              <w:top w:val="nil"/>
              <w:left w:val="nil"/>
              <w:bottom w:val="nil"/>
              <w:right w:val="nil"/>
            </w:tcBorders>
            <w:shd w:val="clear" w:color="auto" w:fill="auto"/>
            <w:noWrap/>
            <w:vAlign w:val="center"/>
            <w:hideMark/>
          </w:tcPr>
          <w:p w14:paraId="5A90513C"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58</w:t>
            </w:r>
          </w:p>
        </w:tc>
        <w:tc>
          <w:tcPr>
            <w:tcW w:w="1358" w:type="dxa"/>
            <w:tcBorders>
              <w:top w:val="nil"/>
              <w:left w:val="nil"/>
              <w:bottom w:val="nil"/>
              <w:right w:val="nil"/>
            </w:tcBorders>
            <w:shd w:val="clear" w:color="auto" w:fill="auto"/>
            <w:noWrap/>
            <w:vAlign w:val="center"/>
            <w:hideMark/>
          </w:tcPr>
          <w:p w14:paraId="6D896288"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59</w:t>
            </w:r>
          </w:p>
        </w:tc>
        <w:tc>
          <w:tcPr>
            <w:tcW w:w="1588" w:type="dxa"/>
            <w:tcBorders>
              <w:top w:val="nil"/>
              <w:left w:val="nil"/>
              <w:bottom w:val="nil"/>
              <w:right w:val="nil"/>
            </w:tcBorders>
            <w:shd w:val="clear" w:color="auto" w:fill="auto"/>
            <w:noWrap/>
            <w:vAlign w:val="center"/>
            <w:hideMark/>
          </w:tcPr>
          <w:p w14:paraId="4A95DF49"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Lung</w:t>
            </w:r>
          </w:p>
        </w:tc>
        <w:tc>
          <w:tcPr>
            <w:tcW w:w="3642" w:type="dxa"/>
            <w:tcBorders>
              <w:top w:val="nil"/>
              <w:left w:val="nil"/>
              <w:bottom w:val="nil"/>
              <w:right w:val="nil"/>
            </w:tcBorders>
            <w:shd w:val="clear" w:color="auto" w:fill="auto"/>
            <w:noWrap/>
            <w:vAlign w:val="center"/>
            <w:hideMark/>
          </w:tcPr>
          <w:p w14:paraId="72A3D24D"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No treatment</w:t>
            </w:r>
          </w:p>
        </w:tc>
        <w:tc>
          <w:tcPr>
            <w:tcW w:w="4782" w:type="dxa"/>
            <w:tcBorders>
              <w:top w:val="nil"/>
              <w:left w:val="nil"/>
              <w:bottom w:val="nil"/>
              <w:right w:val="single" w:sz="4" w:space="0" w:color="auto"/>
            </w:tcBorders>
            <w:shd w:val="clear" w:color="auto" w:fill="auto"/>
            <w:noWrap/>
            <w:vAlign w:val="center"/>
            <w:hideMark/>
          </w:tcPr>
          <w:p w14:paraId="11C7CB90" w14:textId="5AC2B720"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Died short</w:t>
            </w:r>
            <w:r w:rsidR="00787E86" w:rsidRPr="006140CB">
              <w:rPr>
                <w:rFonts w:eastAsia="Times New Roman" w:cstheme="minorHAnsi"/>
                <w:color w:val="000000"/>
                <w:lang w:val="en-US" w:eastAsia="nl-NL"/>
              </w:rPr>
              <w:t>ly</w:t>
            </w:r>
            <w:r w:rsidRPr="006140CB">
              <w:rPr>
                <w:rFonts w:eastAsia="Times New Roman" w:cstheme="minorHAnsi"/>
                <w:color w:val="000000"/>
                <w:lang w:val="en-US" w:eastAsia="nl-NL"/>
              </w:rPr>
              <w:t xml:space="preserve"> after cancer diagnosis</w:t>
            </w:r>
          </w:p>
        </w:tc>
      </w:tr>
      <w:tr w:rsidR="00CA180A" w:rsidRPr="006140CB" w14:paraId="0347C959" w14:textId="77777777" w:rsidTr="00395513">
        <w:trPr>
          <w:trHeight w:val="255"/>
        </w:trPr>
        <w:tc>
          <w:tcPr>
            <w:tcW w:w="1509" w:type="dxa"/>
            <w:tcBorders>
              <w:top w:val="nil"/>
              <w:left w:val="single" w:sz="4" w:space="0" w:color="auto"/>
              <w:bottom w:val="nil"/>
              <w:right w:val="single" w:sz="4" w:space="0" w:color="auto"/>
            </w:tcBorders>
            <w:shd w:val="clear" w:color="auto" w:fill="DEEAF6" w:themeFill="accent1" w:themeFillTint="33"/>
            <w:noWrap/>
            <w:vAlign w:val="center"/>
            <w:hideMark/>
          </w:tcPr>
          <w:p w14:paraId="7850CBC7"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2</w:t>
            </w:r>
          </w:p>
        </w:tc>
        <w:tc>
          <w:tcPr>
            <w:tcW w:w="1069" w:type="dxa"/>
            <w:tcBorders>
              <w:top w:val="nil"/>
              <w:left w:val="nil"/>
              <w:bottom w:val="nil"/>
              <w:right w:val="nil"/>
            </w:tcBorders>
            <w:shd w:val="clear" w:color="auto" w:fill="DEEAF6" w:themeFill="accent1" w:themeFillTint="33"/>
            <w:noWrap/>
            <w:vAlign w:val="center"/>
            <w:hideMark/>
          </w:tcPr>
          <w:p w14:paraId="4EA68129"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61</w:t>
            </w:r>
          </w:p>
        </w:tc>
        <w:tc>
          <w:tcPr>
            <w:tcW w:w="1358" w:type="dxa"/>
            <w:tcBorders>
              <w:top w:val="nil"/>
              <w:left w:val="nil"/>
              <w:bottom w:val="nil"/>
              <w:right w:val="nil"/>
            </w:tcBorders>
            <w:shd w:val="clear" w:color="auto" w:fill="DEEAF6" w:themeFill="accent1" w:themeFillTint="33"/>
            <w:noWrap/>
            <w:vAlign w:val="center"/>
            <w:hideMark/>
          </w:tcPr>
          <w:p w14:paraId="64B5E313"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61</w:t>
            </w:r>
          </w:p>
        </w:tc>
        <w:tc>
          <w:tcPr>
            <w:tcW w:w="1588" w:type="dxa"/>
            <w:tcBorders>
              <w:top w:val="nil"/>
              <w:left w:val="nil"/>
              <w:bottom w:val="nil"/>
              <w:right w:val="nil"/>
            </w:tcBorders>
            <w:shd w:val="clear" w:color="auto" w:fill="DEEAF6" w:themeFill="accent1" w:themeFillTint="33"/>
            <w:noWrap/>
            <w:vAlign w:val="center"/>
            <w:hideMark/>
          </w:tcPr>
          <w:p w14:paraId="30D5404C"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Lung</w:t>
            </w:r>
          </w:p>
        </w:tc>
        <w:tc>
          <w:tcPr>
            <w:tcW w:w="3642" w:type="dxa"/>
            <w:tcBorders>
              <w:top w:val="nil"/>
              <w:left w:val="nil"/>
              <w:bottom w:val="nil"/>
              <w:right w:val="nil"/>
            </w:tcBorders>
            <w:shd w:val="clear" w:color="auto" w:fill="DEEAF6" w:themeFill="accent1" w:themeFillTint="33"/>
            <w:noWrap/>
            <w:vAlign w:val="center"/>
            <w:hideMark/>
          </w:tcPr>
          <w:p w14:paraId="001068C6"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Unknown</w:t>
            </w:r>
          </w:p>
        </w:tc>
        <w:tc>
          <w:tcPr>
            <w:tcW w:w="4782" w:type="dxa"/>
            <w:tcBorders>
              <w:top w:val="nil"/>
              <w:left w:val="nil"/>
              <w:bottom w:val="nil"/>
              <w:right w:val="single" w:sz="4" w:space="0" w:color="auto"/>
            </w:tcBorders>
            <w:shd w:val="clear" w:color="auto" w:fill="DEEAF6" w:themeFill="accent1" w:themeFillTint="33"/>
            <w:noWrap/>
            <w:vAlign w:val="center"/>
            <w:hideMark/>
          </w:tcPr>
          <w:p w14:paraId="10901A25"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Treated in other hospital; self-reported: no indication for radiotherapy</w:t>
            </w:r>
          </w:p>
        </w:tc>
      </w:tr>
      <w:tr w:rsidR="00CA180A" w:rsidRPr="006140CB" w14:paraId="276EC9BA" w14:textId="77777777" w:rsidTr="00395513">
        <w:trPr>
          <w:trHeight w:val="255"/>
        </w:trPr>
        <w:tc>
          <w:tcPr>
            <w:tcW w:w="1509" w:type="dxa"/>
            <w:tcBorders>
              <w:top w:val="nil"/>
              <w:left w:val="single" w:sz="4" w:space="0" w:color="auto"/>
              <w:bottom w:val="nil"/>
              <w:right w:val="single" w:sz="4" w:space="0" w:color="auto"/>
            </w:tcBorders>
            <w:shd w:val="clear" w:color="auto" w:fill="auto"/>
            <w:noWrap/>
            <w:vAlign w:val="center"/>
            <w:hideMark/>
          </w:tcPr>
          <w:p w14:paraId="74041C89"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3</w:t>
            </w:r>
          </w:p>
        </w:tc>
        <w:tc>
          <w:tcPr>
            <w:tcW w:w="1069" w:type="dxa"/>
            <w:tcBorders>
              <w:top w:val="nil"/>
              <w:left w:val="nil"/>
              <w:bottom w:val="nil"/>
              <w:right w:val="nil"/>
            </w:tcBorders>
            <w:shd w:val="clear" w:color="auto" w:fill="auto"/>
            <w:noWrap/>
            <w:vAlign w:val="center"/>
            <w:hideMark/>
          </w:tcPr>
          <w:p w14:paraId="5CC7AD2C"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62</w:t>
            </w:r>
          </w:p>
        </w:tc>
        <w:tc>
          <w:tcPr>
            <w:tcW w:w="1358" w:type="dxa"/>
            <w:tcBorders>
              <w:top w:val="nil"/>
              <w:left w:val="nil"/>
              <w:bottom w:val="nil"/>
              <w:right w:val="nil"/>
            </w:tcBorders>
            <w:shd w:val="clear" w:color="auto" w:fill="auto"/>
            <w:noWrap/>
            <w:vAlign w:val="center"/>
            <w:hideMark/>
          </w:tcPr>
          <w:p w14:paraId="734B63F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60</w:t>
            </w:r>
          </w:p>
        </w:tc>
        <w:tc>
          <w:tcPr>
            <w:tcW w:w="1588" w:type="dxa"/>
            <w:tcBorders>
              <w:top w:val="nil"/>
              <w:left w:val="nil"/>
              <w:bottom w:val="nil"/>
              <w:right w:val="nil"/>
            </w:tcBorders>
            <w:shd w:val="clear" w:color="auto" w:fill="auto"/>
            <w:noWrap/>
            <w:vAlign w:val="center"/>
            <w:hideMark/>
          </w:tcPr>
          <w:p w14:paraId="2E4826D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Lung</w:t>
            </w:r>
          </w:p>
        </w:tc>
        <w:tc>
          <w:tcPr>
            <w:tcW w:w="3642" w:type="dxa"/>
            <w:tcBorders>
              <w:top w:val="nil"/>
              <w:left w:val="nil"/>
              <w:bottom w:val="nil"/>
              <w:right w:val="nil"/>
            </w:tcBorders>
            <w:shd w:val="clear" w:color="auto" w:fill="auto"/>
            <w:noWrap/>
            <w:vAlign w:val="center"/>
            <w:hideMark/>
          </w:tcPr>
          <w:p w14:paraId="21080EF5"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Stereotactic radiotherapy</w:t>
            </w:r>
          </w:p>
        </w:tc>
        <w:tc>
          <w:tcPr>
            <w:tcW w:w="4782" w:type="dxa"/>
            <w:tcBorders>
              <w:top w:val="nil"/>
              <w:left w:val="nil"/>
              <w:bottom w:val="nil"/>
              <w:right w:val="single" w:sz="4" w:space="0" w:color="auto"/>
            </w:tcBorders>
            <w:shd w:val="clear" w:color="auto" w:fill="auto"/>
            <w:noWrap/>
            <w:vAlign w:val="center"/>
            <w:hideMark/>
          </w:tcPr>
          <w:p w14:paraId="4D328D97"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Right upper lobe: T1bN0M0</w:t>
            </w:r>
          </w:p>
        </w:tc>
      </w:tr>
      <w:tr w:rsidR="00CA180A" w:rsidRPr="006140CB" w14:paraId="4E797066" w14:textId="77777777" w:rsidTr="00395513">
        <w:trPr>
          <w:trHeight w:val="255"/>
        </w:trPr>
        <w:tc>
          <w:tcPr>
            <w:tcW w:w="1509" w:type="dxa"/>
            <w:tcBorders>
              <w:top w:val="nil"/>
              <w:left w:val="single" w:sz="4" w:space="0" w:color="auto"/>
              <w:bottom w:val="nil"/>
              <w:right w:val="single" w:sz="4" w:space="0" w:color="auto"/>
            </w:tcBorders>
            <w:shd w:val="clear" w:color="auto" w:fill="DEEAF6" w:themeFill="accent1" w:themeFillTint="33"/>
            <w:noWrap/>
            <w:vAlign w:val="center"/>
            <w:hideMark/>
          </w:tcPr>
          <w:p w14:paraId="603D9F50"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4</w:t>
            </w:r>
          </w:p>
        </w:tc>
        <w:tc>
          <w:tcPr>
            <w:tcW w:w="1069" w:type="dxa"/>
            <w:tcBorders>
              <w:top w:val="nil"/>
              <w:left w:val="nil"/>
              <w:bottom w:val="nil"/>
              <w:right w:val="nil"/>
            </w:tcBorders>
            <w:shd w:val="clear" w:color="auto" w:fill="DEEAF6" w:themeFill="accent1" w:themeFillTint="33"/>
            <w:noWrap/>
            <w:vAlign w:val="center"/>
            <w:hideMark/>
          </w:tcPr>
          <w:p w14:paraId="3715A97D"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59</w:t>
            </w:r>
          </w:p>
        </w:tc>
        <w:tc>
          <w:tcPr>
            <w:tcW w:w="1358" w:type="dxa"/>
            <w:tcBorders>
              <w:top w:val="nil"/>
              <w:left w:val="nil"/>
              <w:bottom w:val="nil"/>
              <w:right w:val="nil"/>
            </w:tcBorders>
            <w:shd w:val="clear" w:color="auto" w:fill="DEEAF6" w:themeFill="accent1" w:themeFillTint="33"/>
            <w:noWrap/>
            <w:vAlign w:val="center"/>
            <w:hideMark/>
          </w:tcPr>
          <w:p w14:paraId="5513E9B0"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65</w:t>
            </w:r>
          </w:p>
        </w:tc>
        <w:tc>
          <w:tcPr>
            <w:tcW w:w="1588" w:type="dxa"/>
            <w:tcBorders>
              <w:top w:val="nil"/>
              <w:left w:val="nil"/>
              <w:bottom w:val="nil"/>
              <w:right w:val="nil"/>
            </w:tcBorders>
            <w:shd w:val="clear" w:color="auto" w:fill="DEEAF6" w:themeFill="accent1" w:themeFillTint="33"/>
            <w:noWrap/>
            <w:vAlign w:val="center"/>
            <w:hideMark/>
          </w:tcPr>
          <w:p w14:paraId="77F8F780"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Lung</w:t>
            </w:r>
          </w:p>
        </w:tc>
        <w:tc>
          <w:tcPr>
            <w:tcW w:w="3642" w:type="dxa"/>
            <w:tcBorders>
              <w:top w:val="nil"/>
              <w:left w:val="nil"/>
              <w:bottom w:val="nil"/>
              <w:right w:val="nil"/>
            </w:tcBorders>
            <w:shd w:val="clear" w:color="auto" w:fill="DEEAF6" w:themeFill="accent1" w:themeFillTint="33"/>
            <w:noWrap/>
            <w:vAlign w:val="center"/>
            <w:hideMark/>
          </w:tcPr>
          <w:p w14:paraId="253BDF4A"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No treatment</w:t>
            </w:r>
          </w:p>
        </w:tc>
        <w:tc>
          <w:tcPr>
            <w:tcW w:w="4782" w:type="dxa"/>
            <w:tcBorders>
              <w:top w:val="nil"/>
              <w:left w:val="nil"/>
              <w:bottom w:val="nil"/>
              <w:right w:val="single" w:sz="4" w:space="0" w:color="auto"/>
            </w:tcBorders>
            <w:shd w:val="clear" w:color="auto" w:fill="DEEAF6" w:themeFill="accent1" w:themeFillTint="33"/>
            <w:noWrap/>
            <w:vAlign w:val="center"/>
            <w:hideMark/>
          </w:tcPr>
          <w:p w14:paraId="04F1E20B" w14:textId="1EC5671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Left lower lobe, no treatment due to severe pulmonary fibrosis; Died short</w:t>
            </w:r>
            <w:r w:rsidR="00787E86" w:rsidRPr="006140CB">
              <w:rPr>
                <w:rFonts w:eastAsia="Times New Roman" w:cstheme="minorHAnsi"/>
                <w:color w:val="000000"/>
                <w:lang w:val="en-US" w:eastAsia="nl-NL"/>
              </w:rPr>
              <w:t>ly</w:t>
            </w:r>
            <w:r w:rsidRPr="006140CB">
              <w:rPr>
                <w:rFonts w:eastAsia="Times New Roman" w:cstheme="minorHAnsi"/>
                <w:color w:val="000000"/>
                <w:lang w:val="en-US" w:eastAsia="nl-NL"/>
              </w:rPr>
              <w:t xml:space="preserve"> after cancer diagnosis</w:t>
            </w:r>
          </w:p>
        </w:tc>
      </w:tr>
      <w:tr w:rsidR="00CA180A" w:rsidRPr="006140CB" w14:paraId="5FD2B2B0" w14:textId="77777777" w:rsidTr="00395513">
        <w:trPr>
          <w:trHeight w:val="255"/>
        </w:trPr>
        <w:tc>
          <w:tcPr>
            <w:tcW w:w="1509" w:type="dxa"/>
            <w:tcBorders>
              <w:top w:val="nil"/>
              <w:left w:val="single" w:sz="4" w:space="0" w:color="auto"/>
              <w:bottom w:val="nil"/>
              <w:right w:val="single" w:sz="4" w:space="0" w:color="auto"/>
            </w:tcBorders>
            <w:shd w:val="clear" w:color="auto" w:fill="auto"/>
            <w:noWrap/>
            <w:vAlign w:val="center"/>
            <w:hideMark/>
          </w:tcPr>
          <w:p w14:paraId="23D9DFEF"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w:t>
            </w:r>
          </w:p>
        </w:tc>
        <w:tc>
          <w:tcPr>
            <w:tcW w:w="1069" w:type="dxa"/>
            <w:tcBorders>
              <w:top w:val="nil"/>
              <w:left w:val="nil"/>
              <w:bottom w:val="nil"/>
              <w:right w:val="nil"/>
            </w:tcBorders>
            <w:shd w:val="clear" w:color="auto" w:fill="auto"/>
            <w:noWrap/>
            <w:vAlign w:val="center"/>
            <w:hideMark/>
          </w:tcPr>
          <w:p w14:paraId="7870965C"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75</w:t>
            </w:r>
          </w:p>
        </w:tc>
        <w:tc>
          <w:tcPr>
            <w:tcW w:w="1358" w:type="dxa"/>
            <w:tcBorders>
              <w:top w:val="nil"/>
              <w:left w:val="nil"/>
              <w:bottom w:val="nil"/>
              <w:right w:val="nil"/>
            </w:tcBorders>
            <w:shd w:val="clear" w:color="auto" w:fill="auto"/>
            <w:noWrap/>
            <w:vAlign w:val="center"/>
            <w:hideMark/>
          </w:tcPr>
          <w:p w14:paraId="12452CA7"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75</w:t>
            </w:r>
          </w:p>
        </w:tc>
        <w:tc>
          <w:tcPr>
            <w:tcW w:w="1588" w:type="dxa"/>
            <w:tcBorders>
              <w:top w:val="nil"/>
              <w:left w:val="nil"/>
              <w:bottom w:val="nil"/>
              <w:right w:val="nil"/>
            </w:tcBorders>
            <w:shd w:val="clear" w:color="auto" w:fill="auto"/>
            <w:noWrap/>
            <w:vAlign w:val="center"/>
            <w:hideMark/>
          </w:tcPr>
          <w:p w14:paraId="02CEC56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Lung</w:t>
            </w:r>
          </w:p>
        </w:tc>
        <w:tc>
          <w:tcPr>
            <w:tcW w:w="3642" w:type="dxa"/>
            <w:tcBorders>
              <w:top w:val="nil"/>
              <w:left w:val="nil"/>
              <w:bottom w:val="nil"/>
              <w:right w:val="nil"/>
            </w:tcBorders>
            <w:shd w:val="clear" w:color="auto" w:fill="auto"/>
            <w:noWrap/>
            <w:vAlign w:val="center"/>
            <w:hideMark/>
          </w:tcPr>
          <w:p w14:paraId="5178E0BB"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Lobectomy</w:t>
            </w:r>
          </w:p>
        </w:tc>
        <w:tc>
          <w:tcPr>
            <w:tcW w:w="4782" w:type="dxa"/>
            <w:tcBorders>
              <w:top w:val="nil"/>
              <w:left w:val="nil"/>
              <w:bottom w:val="nil"/>
              <w:right w:val="single" w:sz="4" w:space="0" w:color="auto"/>
            </w:tcBorders>
            <w:shd w:val="clear" w:color="auto" w:fill="auto"/>
            <w:noWrap/>
            <w:vAlign w:val="center"/>
            <w:hideMark/>
          </w:tcPr>
          <w:p w14:paraId="255242A0"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Left upper lobe, adenocarcinoma</w:t>
            </w:r>
          </w:p>
        </w:tc>
      </w:tr>
      <w:tr w:rsidR="00CA180A" w:rsidRPr="006140CB" w14:paraId="14006BA9" w14:textId="77777777" w:rsidTr="00395513">
        <w:trPr>
          <w:trHeight w:val="255"/>
        </w:trPr>
        <w:tc>
          <w:tcPr>
            <w:tcW w:w="1509" w:type="dxa"/>
            <w:tcBorders>
              <w:top w:val="nil"/>
              <w:left w:val="single" w:sz="4" w:space="0" w:color="auto"/>
              <w:bottom w:val="nil"/>
              <w:right w:val="single" w:sz="4" w:space="0" w:color="auto"/>
            </w:tcBorders>
            <w:shd w:val="clear" w:color="auto" w:fill="DEEAF6" w:themeFill="accent1" w:themeFillTint="33"/>
            <w:noWrap/>
            <w:vAlign w:val="center"/>
            <w:hideMark/>
          </w:tcPr>
          <w:p w14:paraId="311DFD7A"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w:t>
            </w:r>
          </w:p>
        </w:tc>
        <w:tc>
          <w:tcPr>
            <w:tcW w:w="1069" w:type="dxa"/>
            <w:tcBorders>
              <w:top w:val="nil"/>
              <w:left w:val="nil"/>
              <w:bottom w:val="nil"/>
              <w:right w:val="nil"/>
            </w:tcBorders>
            <w:shd w:val="clear" w:color="auto" w:fill="DEEAF6" w:themeFill="accent1" w:themeFillTint="33"/>
            <w:noWrap/>
            <w:vAlign w:val="center"/>
            <w:hideMark/>
          </w:tcPr>
          <w:p w14:paraId="66920E9B"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59</w:t>
            </w:r>
          </w:p>
        </w:tc>
        <w:tc>
          <w:tcPr>
            <w:tcW w:w="1358" w:type="dxa"/>
            <w:tcBorders>
              <w:top w:val="nil"/>
              <w:left w:val="nil"/>
              <w:bottom w:val="nil"/>
              <w:right w:val="nil"/>
            </w:tcBorders>
            <w:shd w:val="clear" w:color="auto" w:fill="DEEAF6" w:themeFill="accent1" w:themeFillTint="33"/>
            <w:noWrap/>
            <w:vAlign w:val="center"/>
            <w:hideMark/>
          </w:tcPr>
          <w:p w14:paraId="0C472F9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60</w:t>
            </w:r>
          </w:p>
        </w:tc>
        <w:tc>
          <w:tcPr>
            <w:tcW w:w="1588" w:type="dxa"/>
            <w:tcBorders>
              <w:top w:val="nil"/>
              <w:left w:val="nil"/>
              <w:bottom w:val="nil"/>
              <w:right w:val="nil"/>
            </w:tcBorders>
            <w:shd w:val="clear" w:color="auto" w:fill="DEEAF6" w:themeFill="accent1" w:themeFillTint="33"/>
            <w:noWrap/>
            <w:vAlign w:val="center"/>
            <w:hideMark/>
          </w:tcPr>
          <w:p w14:paraId="21FA9C0A" w14:textId="41F83262" w:rsidR="00CA180A" w:rsidRPr="006140CB" w:rsidRDefault="00CA180A" w:rsidP="00D939D2">
            <w:pPr>
              <w:spacing w:after="0" w:line="240" w:lineRule="auto"/>
              <w:jc w:val="center"/>
              <w:rPr>
                <w:rFonts w:eastAsia="Times New Roman" w:cstheme="minorHAnsi"/>
                <w:color w:val="000000"/>
                <w:lang w:val="en-US" w:eastAsia="nl-NL"/>
              </w:rPr>
            </w:pPr>
            <w:proofErr w:type="spellStart"/>
            <w:r w:rsidRPr="006140CB">
              <w:rPr>
                <w:rFonts w:eastAsia="Times New Roman" w:cstheme="minorHAnsi"/>
                <w:color w:val="000000"/>
                <w:lang w:val="en-US" w:eastAsia="nl-NL"/>
              </w:rPr>
              <w:t>Unknown</w:t>
            </w:r>
            <w:r w:rsidR="00444383" w:rsidRPr="00375083">
              <w:rPr>
                <w:rFonts w:eastAsia="Times New Roman" w:cstheme="minorHAnsi"/>
                <w:color w:val="000000"/>
                <w:vertAlign w:val="superscript"/>
                <w:lang w:val="en-US" w:eastAsia="nl-NL"/>
              </w:rPr>
              <w:t>ǂ</w:t>
            </w:r>
            <w:proofErr w:type="spellEnd"/>
            <w:r w:rsidR="00444383">
              <w:rPr>
                <w:rFonts w:eastAsia="Times New Roman" w:cstheme="minorHAnsi"/>
                <w:color w:val="000000"/>
                <w:vertAlign w:val="superscript"/>
                <w:lang w:val="en-US" w:eastAsia="nl-NL"/>
              </w:rPr>
              <w:t>)</w:t>
            </w:r>
          </w:p>
        </w:tc>
        <w:tc>
          <w:tcPr>
            <w:tcW w:w="3642" w:type="dxa"/>
            <w:tcBorders>
              <w:top w:val="nil"/>
              <w:left w:val="nil"/>
              <w:bottom w:val="nil"/>
              <w:right w:val="nil"/>
            </w:tcBorders>
            <w:shd w:val="clear" w:color="auto" w:fill="DEEAF6" w:themeFill="accent1" w:themeFillTint="33"/>
            <w:noWrap/>
            <w:vAlign w:val="center"/>
            <w:hideMark/>
          </w:tcPr>
          <w:p w14:paraId="2640E4BB"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No treatment</w:t>
            </w:r>
          </w:p>
        </w:tc>
        <w:tc>
          <w:tcPr>
            <w:tcW w:w="4782" w:type="dxa"/>
            <w:tcBorders>
              <w:top w:val="nil"/>
              <w:left w:val="nil"/>
              <w:bottom w:val="nil"/>
              <w:right w:val="single" w:sz="4" w:space="0" w:color="auto"/>
            </w:tcBorders>
            <w:shd w:val="clear" w:color="auto" w:fill="DEEAF6" w:themeFill="accent1" w:themeFillTint="33"/>
            <w:noWrap/>
            <w:vAlign w:val="center"/>
            <w:hideMark/>
          </w:tcPr>
          <w:p w14:paraId="22939D25" w14:textId="2B31713D"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Died short</w:t>
            </w:r>
            <w:r w:rsidR="00493B9B" w:rsidRPr="006140CB">
              <w:rPr>
                <w:rFonts w:eastAsia="Times New Roman" w:cstheme="minorHAnsi"/>
                <w:color w:val="000000"/>
                <w:lang w:val="en-US" w:eastAsia="nl-NL"/>
              </w:rPr>
              <w:t>ly</w:t>
            </w:r>
            <w:r w:rsidRPr="006140CB">
              <w:rPr>
                <w:rFonts w:eastAsia="Times New Roman" w:cstheme="minorHAnsi"/>
                <w:color w:val="000000"/>
                <w:lang w:val="en-US" w:eastAsia="nl-NL"/>
              </w:rPr>
              <w:t xml:space="preserve"> after cancer diagnosis</w:t>
            </w:r>
          </w:p>
        </w:tc>
      </w:tr>
      <w:tr w:rsidR="00CA180A" w:rsidRPr="006140CB" w14:paraId="196ACBF2" w14:textId="77777777" w:rsidTr="00395513">
        <w:trPr>
          <w:trHeight w:val="765"/>
        </w:trPr>
        <w:tc>
          <w:tcPr>
            <w:tcW w:w="1509" w:type="dxa"/>
            <w:tcBorders>
              <w:top w:val="nil"/>
              <w:left w:val="single" w:sz="4" w:space="0" w:color="auto"/>
              <w:bottom w:val="nil"/>
              <w:right w:val="single" w:sz="4" w:space="0" w:color="auto"/>
            </w:tcBorders>
            <w:shd w:val="clear" w:color="auto" w:fill="auto"/>
            <w:noWrap/>
            <w:vAlign w:val="center"/>
            <w:hideMark/>
          </w:tcPr>
          <w:p w14:paraId="6F2EF65A"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w:t>
            </w:r>
          </w:p>
        </w:tc>
        <w:tc>
          <w:tcPr>
            <w:tcW w:w="1069" w:type="dxa"/>
            <w:tcBorders>
              <w:top w:val="nil"/>
              <w:left w:val="nil"/>
              <w:bottom w:val="nil"/>
              <w:right w:val="nil"/>
            </w:tcBorders>
            <w:shd w:val="clear" w:color="auto" w:fill="auto"/>
            <w:noWrap/>
            <w:vAlign w:val="center"/>
            <w:hideMark/>
          </w:tcPr>
          <w:p w14:paraId="77ADD13B"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70</w:t>
            </w:r>
          </w:p>
        </w:tc>
        <w:tc>
          <w:tcPr>
            <w:tcW w:w="1358" w:type="dxa"/>
            <w:tcBorders>
              <w:top w:val="nil"/>
              <w:left w:val="nil"/>
              <w:bottom w:val="nil"/>
              <w:right w:val="nil"/>
            </w:tcBorders>
            <w:shd w:val="clear" w:color="auto" w:fill="auto"/>
            <w:noWrap/>
            <w:vAlign w:val="center"/>
            <w:hideMark/>
          </w:tcPr>
          <w:p w14:paraId="6240AC0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75</w:t>
            </w:r>
          </w:p>
        </w:tc>
        <w:tc>
          <w:tcPr>
            <w:tcW w:w="1588" w:type="dxa"/>
            <w:tcBorders>
              <w:top w:val="nil"/>
              <w:left w:val="nil"/>
              <w:bottom w:val="nil"/>
              <w:right w:val="nil"/>
            </w:tcBorders>
            <w:shd w:val="clear" w:color="auto" w:fill="auto"/>
            <w:noWrap/>
            <w:vAlign w:val="center"/>
            <w:hideMark/>
          </w:tcPr>
          <w:p w14:paraId="66159D61"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Rectal</w:t>
            </w:r>
          </w:p>
        </w:tc>
        <w:tc>
          <w:tcPr>
            <w:tcW w:w="3642" w:type="dxa"/>
            <w:tcBorders>
              <w:top w:val="nil"/>
              <w:left w:val="nil"/>
              <w:bottom w:val="nil"/>
              <w:right w:val="nil"/>
            </w:tcBorders>
            <w:shd w:val="clear" w:color="auto" w:fill="auto"/>
            <w:noWrap/>
            <w:vAlign w:val="center"/>
            <w:hideMark/>
          </w:tcPr>
          <w:p w14:paraId="66437B96"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Chemotherapy (</w:t>
            </w:r>
            <w:proofErr w:type="spellStart"/>
            <w:r w:rsidRPr="006140CB">
              <w:rPr>
                <w:rFonts w:eastAsia="Times New Roman" w:cstheme="minorHAnsi"/>
                <w:color w:val="000000"/>
                <w:lang w:val="en-US" w:eastAsia="nl-NL"/>
              </w:rPr>
              <w:t>Capecitabine</w:t>
            </w:r>
            <w:proofErr w:type="spellEnd"/>
            <w:r w:rsidRPr="006140CB">
              <w:rPr>
                <w:rFonts w:eastAsia="Times New Roman" w:cstheme="minorHAnsi"/>
                <w:color w:val="000000"/>
                <w:lang w:val="en-US" w:eastAsia="nl-NL"/>
              </w:rPr>
              <w:t>) and radiotherapy</w:t>
            </w:r>
          </w:p>
        </w:tc>
        <w:tc>
          <w:tcPr>
            <w:tcW w:w="4782" w:type="dxa"/>
            <w:tcBorders>
              <w:top w:val="nil"/>
              <w:left w:val="nil"/>
              <w:bottom w:val="nil"/>
              <w:right w:val="single" w:sz="4" w:space="0" w:color="auto"/>
            </w:tcBorders>
            <w:shd w:val="clear" w:color="auto" w:fill="auto"/>
            <w:vAlign w:val="center"/>
            <w:hideMark/>
          </w:tcPr>
          <w:p w14:paraId="45E9122B" w14:textId="1B51F37E"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 xml:space="preserve">No resection due to risk for general </w:t>
            </w:r>
            <w:r w:rsidR="006140CB" w:rsidRPr="006140CB">
              <w:rPr>
                <w:rFonts w:eastAsia="Times New Roman" w:cstheme="minorHAnsi"/>
                <w:color w:val="000000"/>
                <w:lang w:val="en-US" w:eastAsia="nl-NL"/>
              </w:rPr>
              <w:t>anesthesia</w:t>
            </w:r>
            <w:r w:rsidRPr="006140CB">
              <w:rPr>
                <w:rFonts w:eastAsia="Times New Roman" w:cstheme="minorHAnsi"/>
                <w:color w:val="000000"/>
                <w:lang w:val="en-US" w:eastAsia="nl-NL"/>
              </w:rPr>
              <w:t xml:space="preserve"> in context of pulmonary fibrosis; Uncomplicated </w:t>
            </w:r>
            <w:r w:rsidR="006140CB" w:rsidRPr="006140CB">
              <w:rPr>
                <w:rFonts w:eastAsia="Times New Roman" w:cstheme="minorHAnsi"/>
                <w:color w:val="000000"/>
                <w:lang w:val="en-US" w:eastAsia="nl-NL"/>
              </w:rPr>
              <w:t>chemo radiation</w:t>
            </w:r>
            <w:r w:rsidRPr="006140CB">
              <w:rPr>
                <w:rFonts w:eastAsia="Times New Roman" w:cstheme="minorHAnsi"/>
                <w:color w:val="000000"/>
                <w:lang w:val="en-US" w:eastAsia="nl-NL"/>
              </w:rPr>
              <w:t xml:space="preserve"> therapy with a good response, chemotherapy induced thrombocytopenia</w:t>
            </w:r>
          </w:p>
        </w:tc>
      </w:tr>
      <w:tr w:rsidR="00CA180A" w:rsidRPr="006140CB" w14:paraId="4BCC5100" w14:textId="77777777" w:rsidTr="00395513">
        <w:trPr>
          <w:trHeight w:val="255"/>
        </w:trPr>
        <w:tc>
          <w:tcPr>
            <w:tcW w:w="1509" w:type="dxa"/>
            <w:tcBorders>
              <w:top w:val="nil"/>
              <w:left w:val="single" w:sz="4" w:space="0" w:color="auto"/>
              <w:bottom w:val="nil"/>
              <w:right w:val="single" w:sz="4" w:space="0" w:color="auto"/>
            </w:tcBorders>
            <w:shd w:val="clear" w:color="auto" w:fill="DEEAF6" w:themeFill="accent1" w:themeFillTint="33"/>
            <w:noWrap/>
            <w:vAlign w:val="center"/>
            <w:hideMark/>
          </w:tcPr>
          <w:p w14:paraId="311ED1F7"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8</w:t>
            </w:r>
          </w:p>
        </w:tc>
        <w:tc>
          <w:tcPr>
            <w:tcW w:w="1069" w:type="dxa"/>
            <w:tcBorders>
              <w:top w:val="nil"/>
              <w:left w:val="nil"/>
              <w:bottom w:val="nil"/>
              <w:right w:val="nil"/>
            </w:tcBorders>
            <w:shd w:val="clear" w:color="auto" w:fill="DEEAF6" w:themeFill="accent1" w:themeFillTint="33"/>
            <w:noWrap/>
            <w:vAlign w:val="center"/>
            <w:hideMark/>
          </w:tcPr>
          <w:p w14:paraId="0669BC69"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65</w:t>
            </w:r>
          </w:p>
        </w:tc>
        <w:tc>
          <w:tcPr>
            <w:tcW w:w="1358" w:type="dxa"/>
            <w:tcBorders>
              <w:top w:val="nil"/>
              <w:left w:val="nil"/>
              <w:bottom w:val="nil"/>
              <w:right w:val="nil"/>
            </w:tcBorders>
            <w:shd w:val="clear" w:color="auto" w:fill="DEEAF6" w:themeFill="accent1" w:themeFillTint="33"/>
            <w:noWrap/>
            <w:vAlign w:val="center"/>
            <w:hideMark/>
          </w:tcPr>
          <w:p w14:paraId="216DCD28"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63</w:t>
            </w:r>
          </w:p>
        </w:tc>
        <w:tc>
          <w:tcPr>
            <w:tcW w:w="1588" w:type="dxa"/>
            <w:tcBorders>
              <w:top w:val="nil"/>
              <w:left w:val="nil"/>
              <w:bottom w:val="nil"/>
              <w:right w:val="nil"/>
            </w:tcBorders>
            <w:shd w:val="clear" w:color="auto" w:fill="DEEAF6" w:themeFill="accent1" w:themeFillTint="33"/>
            <w:noWrap/>
            <w:vAlign w:val="center"/>
            <w:hideMark/>
          </w:tcPr>
          <w:p w14:paraId="0C64362D"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Colon</w:t>
            </w:r>
          </w:p>
        </w:tc>
        <w:tc>
          <w:tcPr>
            <w:tcW w:w="3642" w:type="dxa"/>
            <w:tcBorders>
              <w:top w:val="nil"/>
              <w:left w:val="nil"/>
              <w:bottom w:val="nil"/>
              <w:right w:val="nil"/>
            </w:tcBorders>
            <w:shd w:val="clear" w:color="auto" w:fill="DEEAF6" w:themeFill="accent1" w:themeFillTint="33"/>
            <w:noWrap/>
            <w:vAlign w:val="center"/>
            <w:hideMark/>
          </w:tcPr>
          <w:p w14:paraId="7B7F0A20" w14:textId="09DCF825" w:rsidR="00CA180A" w:rsidRPr="006140CB" w:rsidRDefault="00493B9B"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Laparoscopic</w:t>
            </w:r>
            <w:r w:rsidR="00CA180A" w:rsidRPr="006140CB">
              <w:rPr>
                <w:rFonts w:eastAsia="Times New Roman" w:cstheme="minorHAnsi"/>
                <w:color w:val="000000"/>
                <w:lang w:val="en-US" w:eastAsia="nl-NL"/>
              </w:rPr>
              <w:t xml:space="preserve"> sigmoid resection and chemotherapy (</w:t>
            </w:r>
            <w:proofErr w:type="spellStart"/>
            <w:r w:rsidR="00CA180A" w:rsidRPr="006140CB">
              <w:rPr>
                <w:rFonts w:eastAsia="Times New Roman" w:cstheme="minorHAnsi"/>
                <w:color w:val="000000"/>
                <w:lang w:val="en-US" w:eastAsia="nl-NL"/>
              </w:rPr>
              <w:t>Capecitabine</w:t>
            </w:r>
            <w:proofErr w:type="spellEnd"/>
            <w:r w:rsidR="00CA180A" w:rsidRPr="006140CB">
              <w:rPr>
                <w:rFonts w:eastAsia="Times New Roman" w:cstheme="minorHAnsi"/>
                <w:color w:val="000000"/>
                <w:lang w:val="en-US" w:eastAsia="nl-NL"/>
              </w:rPr>
              <w:t>)</w:t>
            </w:r>
          </w:p>
        </w:tc>
        <w:tc>
          <w:tcPr>
            <w:tcW w:w="4782" w:type="dxa"/>
            <w:tcBorders>
              <w:top w:val="nil"/>
              <w:left w:val="nil"/>
              <w:bottom w:val="nil"/>
              <w:right w:val="single" w:sz="4" w:space="0" w:color="auto"/>
            </w:tcBorders>
            <w:shd w:val="clear" w:color="auto" w:fill="DEEAF6" w:themeFill="accent1" w:themeFillTint="33"/>
            <w:noWrap/>
            <w:vAlign w:val="center"/>
            <w:hideMark/>
          </w:tcPr>
          <w:p w14:paraId="53B46D27"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Cured of colon cancer</w:t>
            </w:r>
          </w:p>
        </w:tc>
      </w:tr>
      <w:tr w:rsidR="00CA180A" w:rsidRPr="006140CB" w14:paraId="6B5ED3C9" w14:textId="77777777" w:rsidTr="00395513">
        <w:trPr>
          <w:trHeight w:val="255"/>
        </w:trPr>
        <w:tc>
          <w:tcPr>
            <w:tcW w:w="1509" w:type="dxa"/>
            <w:tcBorders>
              <w:top w:val="nil"/>
              <w:left w:val="single" w:sz="4" w:space="0" w:color="auto"/>
              <w:bottom w:val="nil"/>
              <w:right w:val="single" w:sz="4" w:space="0" w:color="auto"/>
            </w:tcBorders>
            <w:shd w:val="clear" w:color="auto" w:fill="auto"/>
            <w:noWrap/>
            <w:vAlign w:val="center"/>
            <w:hideMark/>
          </w:tcPr>
          <w:p w14:paraId="784C530D"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9</w:t>
            </w:r>
          </w:p>
        </w:tc>
        <w:tc>
          <w:tcPr>
            <w:tcW w:w="1069" w:type="dxa"/>
            <w:tcBorders>
              <w:top w:val="nil"/>
              <w:left w:val="nil"/>
              <w:bottom w:val="nil"/>
              <w:right w:val="nil"/>
            </w:tcBorders>
            <w:shd w:val="clear" w:color="auto" w:fill="auto"/>
            <w:noWrap/>
            <w:vAlign w:val="center"/>
            <w:hideMark/>
          </w:tcPr>
          <w:p w14:paraId="231B02B3"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61</w:t>
            </w:r>
          </w:p>
        </w:tc>
        <w:tc>
          <w:tcPr>
            <w:tcW w:w="1358" w:type="dxa"/>
            <w:tcBorders>
              <w:top w:val="nil"/>
              <w:left w:val="nil"/>
              <w:bottom w:val="nil"/>
              <w:right w:val="nil"/>
            </w:tcBorders>
            <w:shd w:val="clear" w:color="auto" w:fill="auto"/>
            <w:noWrap/>
            <w:vAlign w:val="center"/>
            <w:hideMark/>
          </w:tcPr>
          <w:p w14:paraId="5E4352E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60</w:t>
            </w:r>
          </w:p>
        </w:tc>
        <w:tc>
          <w:tcPr>
            <w:tcW w:w="1588" w:type="dxa"/>
            <w:tcBorders>
              <w:top w:val="nil"/>
              <w:left w:val="nil"/>
              <w:bottom w:val="nil"/>
              <w:right w:val="nil"/>
            </w:tcBorders>
            <w:shd w:val="clear" w:color="auto" w:fill="auto"/>
            <w:noWrap/>
            <w:vAlign w:val="center"/>
            <w:hideMark/>
          </w:tcPr>
          <w:p w14:paraId="57D186B8"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Lymphoma</w:t>
            </w:r>
          </w:p>
        </w:tc>
        <w:tc>
          <w:tcPr>
            <w:tcW w:w="3642" w:type="dxa"/>
            <w:tcBorders>
              <w:top w:val="nil"/>
              <w:left w:val="nil"/>
              <w:bottom w:val="nil"/>
              <w:right w:val="nil"/>
            </w:tcBorders>
            <w:shd w:val="clear" w:color="auto" w:fill="auto"/>
            <w:noWrap/>
            <w:vAlign w:val="center"/>
            <w:hideMark/>
          </w:tcPr>
          <w:p w14:paraId="1C2A3044"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Local radiotherapy</w:t>
            </w:r>
          </w:p>
        </w:tc>
        <w:tc>
          <w:tcPr>
            <w:tcW w:w="4782" w:type="dxa"/>
            <w:tcBorders>
              <w:top w:val="nil"/>
              <w:left w:val="nil"/>
              <w:bottom w:val="nil"/>
              <w:right w:val="single" w:sz="4" w:space="0" w:color="auto"/>
            </w:tcBorders>
            <w:shd w:val="clear" w:color="auto" w:fill="auto"/>
            <w:noWrap/>
            <w:vAlign w:val="center"/>
            <w:hideMark/>
          </w:tcPr>
          <w:p w14:paraId="198A5801" w14:textId="59EF2C2D"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Stadium IV in right orbita</w:t>
            </w:r>
            <w:r w:rsidR="00493B9B" w:rsidRPr="006140CB">
              <w:rPr>
                <w:rFonts w:eastAsia="Times New Roman" w:cstheme="minorHAnsi"/>
                <w:color w:val="000000"/>
                <w:lang w:val="en-US" w:eastAsia="nl-NL"/>
              </w:rPr>
              <w:t>l</w:t>
            </w:r>
            <w:r w:rsidRPr="006140CB">
              <w:rPr>
                <w:rFonts w:eastAsia="Times New Roman" w:cstheme="minorHAnsi"/>
                <w:color w:val="000000"/>
                <w:lang w:val="en-US" w:eastAsia="nl-NL"/>
              </w:rPr>
              <w:t>, international prognostic index score:1 (low risk)</w:t>
            </w:r>
          </w:p>
        </w:tc>
      </w:tr>
      <w:tr w:rsidR="00CA180A" w:rsidRPr="006140CB" w14:paraId="65904D1E" w14:textId="77777777" w:rsidTr="00395513">
        <w:trPr>
          <w:trHeight w:val="255"/>
        </w:trPr>
        <w:tc>
          <w:tcPr>
            <w:tcW w:w="1509" w:type="dxa"/>
            <w:tcBorders>
              <w:top w:val="nil"/>
              <w:left w:val="single" w:sz="4" w:space="0" w:color="auto"/>
              <w:bottom w:val="nil"/>
              <w:right w:val="single" w:sz="4" w:space="0" w:color="auto"/>
            </w:tcBorders>
            <w:shd w:val="clear" w:color="auto" w:fill="DEEAF6" w:themeFill="accent1" w:themeFillTint="33"/>
            <w:noWrap/>
            <w:vAlign w:val="center"/>
            <w:hideMark/>
          </w:tcPr>
          <w:p w14:paraId="2FEFB36B"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10</w:t>
            </w:r>
          </w:p>
        </w:tc>
        <w:tc>
          <w:tcPr>
            <w:tcW w:w="1069" w:type="dxa"/>
            <w:tcBorders>
              <w:top w:val="nil"/>
              <w:left w:val="nil"/>
              <w:bottom w:val="nil"/>
              <w:right w:val="nil"/>
            </w:tcBorders>
            <w:shd w:val="clear" w:color="auto" w:fill="DEEAF6" w:themeFill="accent1" w:themeFillTint="33"/>
            <w:noWrap/>
            <w:vAlign w:val="center"/>
            <w:hideMark/>
          </w:tcPr>
          <w:p w14:paraId="19C2CAD8"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78</w:t>
            </w:r>
          </w:p>
        </w:tc>
        <w:tc>
          <w:tcPr>
            <w:tcW w:w="1358" w:type="dxa"/>
            <w:tcBorders>
              <w:top w:val="nil"/>
              <w:left w:val="nil"/>
              <w:bottom w:val="nil"/>
              <w:right w:val="nil"/>
            </w:tcBorders>
            <w:shd w:val="clear" w:color="auto" w:fill="DEEAF6" w:themeFill="accent1" w:themeFillTint="33"/>
            <w:noWrap/>
            <w:vAlign w:val="center"/>
            <w:hideMark/>
          </w:tcPr>
          <w:p w14:paraId="60EC7212"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81</w:t>
            </w:r>
          </w:p>
        </w:tc>
        <w:tc>
          <w:tcPr>
            <w:tcW w:w="1588" w:type="dxa"/>
            <w:tcBorders>
              <w:top w:val="nil"/>
              <w:left w:val="nil"/>
              <w:bottom w:val="nil"/>
              <w:right w:val="nil"/>
            </w:tcBorders>
            <w:shd w:val="clear" w:color="auto" w:fill="DEEAF6" w:themeFill="accent1" w:themeFillTint="33"/>
            <w:noWrap/>
            <w:vAlign w:val="center"/>
            <w:hideMark/>
          </w:tcPr>
          <w:p w14:paraId="69E0FFD1" w14:textId="3480A48C" w:rsidR="00CA180A" w:rsidRPr="006140CB" w:rsidRDefault="00F008F1"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Esophagus</w:t>
            </w:r>
          </w:p>
        </w:tc>
        <w:tc>
          <w:tcPr>
            <w:tcW w:w="3642" w:type="dxa"/>
            <w:tcBorders>
              <w:top w:val="nil"/>
              <w:left w:val="nil"/>
              <w:bottom w:val="nil"/>
              <w:right w:val="nil"/>
            </w:tcBorders>
            <w:shd w:val="clear" w:color="auto" w:fill="DEEAF6" w:themeFill="accent1" w:themeFillTint="33"/>
            <w:noWrap/>
            <w:vAlign w:val="center"/>
            <w:hideMark/>
          </w:tcPr>
          <w:p w14:paraId="77C2E89D"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No treatment</w:t>
            </w:r>
          </w:p>
        </w:tc>
        <w:tc>
          <w:tcPr>
            <w:tcW w:w="4782" w:type="dxa"/>
            <w:tcBorders>
              <w:top w:val="nil"/>
              <w:left w:val="nil"/>
              <w:bottom w:val="nil"/>
              <w:right w:val="single" w:sz="4" w:space="0" w:color="auto"/>
            </w:tcBorders>
            <w:shd w:val="clear" w:color="auto" w:fill="DEEAF6" w:themeFill="accent1" w:themeFillTint="33"/>
            <w:noWrap/>
            <w:vAlign w:val="center"/>
            <w:hideMark/>
          </w:tcPr>
          <w:p w14:paraId="0B62BA43" w14:textId="43686DB2"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Died short</w:t>
            </w:r>
            <w:r w:rsidR="00493B9B" w:rsidRPr="006140CB">
              <w:rPr>
                <w:rFonts w:eastAsia="Times New Roman" w:cstheme="minorHAnsi"/>
                <w:color w:val="000000"/>
                <w:lang w:val="en-US" w:eastAsia="nl-NL"/>
              </w:rPr>
              <w:t>ly</w:t>
            </w:r>
            <w:r w:rsidRPr="006140CB">
              <w:rPr>
                <w:rFonts w:eastAsia="Times New Roman" w:cstheme="minorHAnsi"/>
                <w:color w:val="000000"/>
                <w:lang w:val="en-US" w:eastAsia="nl-NL"/>
              </w:rPr>
              <w:t xml:space="preserve"> after cancer diagnosis</w:t>
            </w:r>
          </w:p>
        </w:tc>
      </w:tr>
      <w:tr w:rsidR="00CA180A" w:rsidRPr="006140CB" w14:paraId="1154BED7" w14:textId="77777777" w:rsidTr="00395513">
        <w:trPr>
          <w:trHeight w:val="255"/>
        </w:trPr>
        <w:tc>
          <w:tcPr>
            <w:tcW w:w="1509" w:type="dxa"/>
            <w:tcBorders>
              <w:top w:val="nil"/>
              <w:left w:val="single" w:sz="4" w:space="0" w:color="auto"/>
              <w:bottom w:val="nil"/>
              <w:right w:val="single" w:sz="4" w:space="0" w:color="auto"/>
            </w:tcBorders>
            <w:shd w:val="clear" w:color="auto" w:fill="auto"/>
            <w:noWrap/>
            <w:vAlign w:val="center"/>
            <w:hideMark/>
          </w:tcPr>
          <w:p w14:paraId="6BEB5B40"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11</w:t>
            </w:r>
          </w:p>
        </w:tc>
        <w:tc>
          <w:tcPr>
            <w:tcW w:w="1069" w:type="dxa"/>
            <w:tcBorders>
              <w:top w:val="nil"/>
              <w:left w:val="nil"/>
              <w:bottom w:val="nil"/>
              <w:right w:val="nil"/>
            </w:tcBorders>
            <w:shd w:val="clear" w:color="auto" w:fill="auto"/>
            <w:noWrap/>
            <w:vAlign w:val="center"/>
            <w:hideMark/>
          </w:tcPr>
          <w:p w14:paraId="3F18A0E8"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80</w:t>
            </w:r>
          </w:p>
        </w:tc>
        <w:tc>
          <w:tcPr>
            <w:tcW w:w="1358" w:type="dxa"/>
            <w:tcBorders>
              <w:top w:val="nil"/>
              <w:left w:val="nil"/>
              <w:bottom w:val="nil"/>
              <w:right w:val="nil"/>
            </w:tcBorders>
            <w:shd w:val="clear" w:color="auto" w:fill="auto"/>
            <w:noWrap/>
            <w:vAlign w:val="center"/>
            <w:hideMark/>
          </w:tcPr>
          <w:p w14:paraId="2EE1CB75"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73</w:t>
            </w:r>
          </w:p>
        </w:tc>
        <w:tc>
          <w:tcPr>
            <w:tcW w:w="1588" w:type="dxa"/>
            <w:tcBorders>
              <w:top w:val="nil"/>
              <w:left w:val="nil"/>
              <w:bottom w:val="nil"/>
              <w:right w:val="nil"/>
            </w:tcBorders>
            <w:shd w:val="clear" w:color="auto" w:fill="auto"/>
            <w:noWrap/>
            <w:vAlign w:val="center"/>
            <w:hideMark/>
          </w:tcPr>
          <w:p w14:paraId="274725EA"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Prostate</w:t>
            </w:r>
          </w:p>
        </w:tc>
        <w:tc>
          <w:tcPr>
            <w:tcW w:w="3642" w:type="dxa"/>
            <w:tcBorders>
              <w:top w:val="nil"/>
              <w:left w:val="nil"/>
              <w:bottom w:val="nil"/>
              <w:right w:val="nil"/>
            </w:tcBorders>
            <w:shd w:val="clear" w:color="auto" w:fill="auto"/>
            <w:noWrap/>
            <w:vAlign w:val="center"/>
            <w:hideMark/>
          </w:tcPr>
          <w:p w14:paraId="6F8656C0"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Brachytherapy</w:t>
            </w:r>
          </w:p>
        </w:tc>
        <w:tc>
          <w:tcPr>
            <w:tcW w:w="4782" w:type="dxa"/>
            <w:tcBorders>
              <w:top w:val="nil"/>
              <w:left w:val="nil"/>
              <w:bottom w:val="nil"/>
              <w:right w:val="single" w:sz="4" w:space="0" w:color="auto"/>
            </w:tcBorders>
            <w:shd w:val="clear" w:color="auto" w:fill="auto"/>
            <w:noWrap/>
            <w:vAlign w:val="center"/>
            <w:hideMark/>
          </w:tcPr>
          <w:p w14:paraId="0FBAEE4D"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Cured of prostate cancer</w:t>
            </w:r>
          </w:p>
        </w:tc>
      </w:tr>
      <w:tr w:rsidR="00CA180A" w:rsidRPr="006140CB" w14:paraId="25B2E686" w14:textId="77777777" w:rsidTr="00395513">
        <w:trPr>
          <w:trHeight w:val="255"/>
        </w:trPr>
        <w:tc>
          <w:tcPr>
            <w:tcW w:w="1509" w:type="dxa"/>
            <w:tcBorders>
              <w:top w:val="nil"/>
              <w:left w:val="single" w:sz="4" w:space="0" w:color="auto"/>
              <w:bottom w:val="nil"/>
              <w:right w:val="single" w:sz="4" w:space="0" w:color="auto"/>
            </w:tcBorders>
            <w:shd w:val="clear" w:color="auto" w:fill="DEEAF6" w:themeFill="accent1" w:themeFillTint="33"/>
            <w:noWrap/>
            <w:vAlign w:val="center"/>
            <w:hideMark/>
          </w:tcPr>
          <w:p w14:paraId="7B2A00CA"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12</w:t>
            </w:r>
          </w:p>
        </w:tc>
        <w:tc>
          <w:tcPr>
            <w:tcW w:w="1069" w:type="dxa"/>
            <w:tcBorders>
              <w:top w:val="nil"/>
              <w:left w:val="nil"/>
              <w:bottom w:val="nil"/>
              <w:right w:val="nil"/>
            </w:tcBorders>
            <w:shd w:val="clear" w:color="auto" w:fill="DEEAF6" w:themeFill="accent1" w:themeFillTint="33"/>
            <w:noWrap/>
            <w:vAlign w:val="center"/>
            <w:hideMark/>
          </w:tcPr>
          <w:p w14:paraId="156D388D"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71</w:t>
            </w:r>
          </w:p>
        </w:tc>
        <w:tc>
          <w:tcPr>
            <w:tcW w:w="1358" w:type="dxa"/>
            <w:tcBorders>
              <w:top w:val="nil"/>
              <w:left w:val="nil"/>
              <w:bottom w:val="nil"/>
              <w:right w:val="nil"/>
            </w:tcBorders>
            <w:shd w:val="clear" w:color="auto" w:fill="DEEAF6" w:themeFill="accent1" w:themeFillTint="33"/>
            <w:noWrap/>
            <w:vAlign w:val="center"/>
            <w:hideMark/>
          </w:tcPr>
          <w:p w14:paraId="1A1F33B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59</w:t>
            </w:r>
          </w:p>
        </w:tc>
        <w:tc>
          <w:tcPr>
            <w:tcW w:w="1588" w:type="dxa"/>
            <w:tcBorders>
              <w:top w:val="nil"/>
              <w:left w:val="nil"/>
              <w:bottom w:val="nil"/>
              <w:right w:val="nil"/>
            </w:tcBorders>
            <w:shd w:val="clear" w:color="auto" w:fill="DEEAF6" w:themeFill="accent1" w:themeFillTint="33"/>
            <w:noWrap/>
            <w:vAlign w:val="center"/>
            <w:hideMark/>
          </w:tcPr>
          <w:p w14:paraId="3A10D48B"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Breast</w:t>
            </w:r>
          </w:p>
        </w:tc>
        <w:tc>
          <w:tcPr>
            <w:tcW w:w="3642" w:type="dxa"/>
            <w:tcBorders>
              <w:top w:val="nil"/>
              <w:left w:val="nil"/>
              <w:bottom w:val="nil"/>
              <w:right w:val="nil"/>
            </w:tcBorders>
            <w:shd w:val="clear" w:color="auto" w:fill="DEEAF6" w:themeFill="accent1" w:themeFillTint="33"/>
            <w:noWrap/>
            <w:vAlign w:val="center"/>
            <w:hideMark/>
          </w:tcPr>
          <w:p w14:paraId="32B6AE24"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Radical resection and adjuvant radiotherapy of glandular disc in the context of breast-conserving surgery</w:t>
            </w:r>
          </w:p>
        </w:tc>
        <w:tc>
          <w:tcPr>
            <w:tcW w:w="4782" w:type="dxa"/>
            <w:tcBorders>
              <w:top w:val="nil"/>
              <w:left w:val="nil"/>
              <w:bottom w:val="nil"/>
              <w:right w:val="single" w:sz="4" w:space="0" w:color="auto"/>
            </w:tcBorders>
            <w:shd w:val="clear" w:color="auto" w:fill="DEEAF6" w:themeFill="accent1" w:themeFillTint="33"/>
            <w:noWrap/>
            <w:vAlign w:val="center"/>
            <w:hideMark/>
          </w:tcPr>
          <w:p w14:paraId="25436629"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Cured of breast cancer</w:t>
            </w:r>
          </w:p>
        </w:tc>
      </w:tr>
      <w:tr w:rsidR="00CA180A" w:rsidRPr="006140CB" w14:paraId="2353BE0C" w14:textId="77777777" w:rsidTr="00395513">
        <w:trPr>
          <w:trHeight w:val="255"/>
        </w:trPr>
        <w:tc>
          <w:tcPr>
            <w:tcW w:w="1509" w:type="dxa"/>
            <w:tcBorders>
              <w:top w:val="nil"/>
              <w:left w:val="single" w:sz="4" w:space="0" w:color="auto"/>
              <w:bottom w:val="nil"/>
              <w:right w:val="single" w:sz="4" w:space="0" w:color="auto"/>
            </w:tcBorders>
            <w:shd w:val="clear" w:color="auto" w:fill="auto"/>
            <w:noWrap/>
            <w:vAlign w:val="center"/>
            <w:hideMark/>
          </w:tcPr>
          <w:p w14:paraId="5B425BEC"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13</w:t>
            </w:r>
          </w:p>
        </w:tc>
        <w:tc>
          <w:tcPr>
            <w:tcW w:w="1069" w:type="dxa"/>
            <w:tcBorders>
              <w:top w:val="nil"/>
              <w:left w:val="nil"/>
              <w:bottom w:val="nil"/>
              <w:right w:val="nil"/>
            </w:tcBorders>
            <w:shd w:val="clear" w:color="auto" w:fill="auto"/>
            <w:noWrap/>
            <w:vAlign w:val="center"/>
            <w:hideMark/>
          </w:tcPr>
          <w:p w14:paraId="1BCD643F"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51</w:t>
            </w:r>
          </w:p>
        </w:tc>
        <w:tc>
          <w:tcPr>
            <w:tcW w:w="1358" w:type="dxa"/>
            <w:tcBorders>
              <w:top w:val="nil"/>
              <w:left w:val="nil"/>
              <w:bottom w:val="nil"/>
              <w:right w:val="nil"/>
            </w:tcBorders>
            <w:shd w:val="clear" w:color="auto" w:fill="auto"/>
            <w:noWrap/>
            <w:vAlign w:val="center"/>
            <w:hideMark/>
          </w:tcPr>
          <w:p w14:paraId="318B93DD"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34</w:t>
            </w:r>
          </w:p>
        </w:tc>
        <w:tc>
          <w:tcPr>
            <w:tcW w:w="1588" w:type="dxa"/>
            <w:tcBorders>
              <w:top w:val="nil"/>
              <w:left w:val="nil"/>
              <w:bottom w:val="nil"/>
              <w:right w:val="nil"/>
            </w:tcBorders>
            <w:shd w:val="clear" w:color="auto" w:fill="auto"/>
            <w:noWrap/>
            <w:vAlign w:val="center"/>
            <w:hideMark/>
          </w:tcPr>
          <w:p w14:paraId="52B449FE"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Breast</w:t>
            </w:r>
          </w:p>
        </w:tc>
        <w:tc>
          <w:tcPr>
            <w:tcW w:w="3642" w:type="dxa"/>
            <w:tcBorders>
              <w:top w:val="nil"/>
              <w:left w:val="nil"/>
              <w:bottom w:val="nil"/>
              <w:right w:val="nil"/>
            </w:tcBorders>
            <w:shd w:val="clear" w:color="auto" w:fill="auto"/>
            <w:noWrap/>
            <w:vAlign w:val="center"/>
            <w:hideMark/>
          </w:tcPr>
          <w:p w14:paraId="698784C4"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Breast amputation and adjuvant radiotherapy</w:t>
            </w:r>
          </w:p>
        </w:tc>
        <w:tc>
          <w:tcPr>
            <w:tcW w:w="4782" w:type="dxa"/>
            <w:tcBorders>
              <w:top w:val="nil"/>
              <w:left w:val="nil"/>
              <w:bottom w:val="nil"/>
              <w:right w:val="single" w:sz="4" w:space="0" w:color="auto"/>
            </w:tcBorders>
            <w:shd w:val="clear" w:color="auto" w:fill="auto"/>
            <w:noWrap/>
            <w:vAlign w:val="center"/>
            <w:hideMark/>
          </w:tcPr>
          <w:p w14:paraId="0EFD37D6"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Cured of breast cancer</w:t>
            </w:r>
          </w:p>
        </w:tc>
      </w:tr>
      <w:tr w:rsidR="00CA180A" w:rsidRPr="006140CB" w14:paraId="2EA5F36F" w14:textId="77777777" w:rsidTr="00395513">
        <w:trPr>
          <w:trHeight w:val="255"/>
        </w:trPr>
        <w:tc>
          <w:tcPr>
            <w:tcW w:w="1509" w:type="dxa"/>
            <w:tcBorders>
              <w:top w:val="nil"/>
              <w:left w:val="single" w:sz="4" w:space="0" w:color="auto"/>
              <w:bottom w:val="single" w:sz="4" w:space="0" w:color="auto"/>
              <w:right w:val="single" w:sz="4" w:space="0" w:color="auto"/>
            </w:tcBorders>
            <w:shd w:val="clear" w:color="auto" w:fill="DEEAF6" w:themeFill="accent1" w:themeFillTint="33"/>
            <w:noWrap/>
            <w:vAlign w:val="center"/>
            <w:hideMark/>
          </w:tcPr>
          <w:p w14:paraId="5EAE99C4" w14:textId="77777777" w:rsidR="00CA180A" w:rsidRPr="006140CB" w:rsidRDefault="00CA180A" w:rsidP="00395513">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14</w:t>
            </w:r>
          </w:p>
        </w:tc>
        <w:tc>
          <w:tcPr>
            <w:tcW w:w="1069" w:type="dxa"/>
            <w:tcBorders>
              <w:top w:val="nil"/>
              <w:left w:val="nil"/>
              <w:bottom w:val="single" w:sz="4" w:space="0" w:color="auto"/>
              <w:right w:val="nil"/>
            </w:tcBorders>
            <w:shd w:val="clear" w:color="auto" w:fill="DEEAF6" w:themeFill="accent1" w:themeFillTint="33"/>
            <w:noWrap/>
            <w:vAlign w:val="center"/>
            <w:hideMark/>
          </w:tcPr>
          <w:p w14:paraId="6B4DD203"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57</w:t>
            </w:r>
          </w:p>
        </w:tc>
        <w:tc>
          <w:tcPr>
            <w:tcW w:w="1358" w:type="dxa"/>
            <w:tcBorders>
              <w:top w:val="nil"/>
              <w:left w:val="nil"/>
              <w:bottom w:val="single" w:sz="4" w:space="0" w:color="auto"/>
              <w:right w:val="nil"/>
            </w:tcBorders>
            <w:shd w:val="clear" w:color="auto" w:fill="DEEAF6" w:themeFill="accent1" w:themeFillTint="33"/>
            <w:noWrap/>
            <w:vAlign w:val="center"/>
            <w:hideMark/>
          </w:tcPr>
          <w:p w14:paraId="237EA6D1"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50</w:t>
            </w:r>
          </w:p>
        </w:tc>
        <w:tc>
          <w:tcPr>
            <w:tcW w:w="1588" w:type="dxa"/>
            <w:tcBorders>
              <w:top w:val="nil"/>
              <w:left w:val="nil"/>
              <w:bottom w:val="single" w:sz="4" w:space="0" w:color="auto"/>
              <w:right w:val="nil"/>
            </w:tcBorders>
            <w:shd w:val="clear" w:color="auto" w:fill="DEEAF6" w:themeFill="accent1" w:themeFillTint="33"/>
            <w:noWrap/>
            <w:vAlign w:val="center"/>
            <w:hideMark/>
          </w:tcPr>
          <w:p w14:paraId="4CD25ECA" w14:textId="77777777" w:rsidR="00CA180A" w:rsidRPr="006140CB" w:rsidRDefault="00CA180A" w:rsidP="00D939D2">
            <w:pPr>
              <w:spacing w:after="0" w:line="240" w:lineRule="auto"/>
              <w:jc w:val="center"/>
              <w:rPr>
                <w:rFonts w:eastAsia="Times New Roman" w:cstheme="minorHAnsi"/>
                <w:color w:val="000000"/>
                <w:lang w:val="en-US" w:eastAsia="nl-NL"/>
              </w:rPr>
            </w:pPr>
            <w:r w:rsidRPr="006140CB">
              <w:rPr>
                <w:rFonts w:eastAsia="Times New Roman" w:cstheme="minorHAnsi"/>
                <w:color w:val="000000"/>
                <w:lang w:val="en-US" w:eastAsia="nl-NL"/>
              </w:rPr>
              <w:t>Breast</w:t>
            </w:r>
          </w:p>
        </w:tc>
        <w:tc>
          <w:tcPr>
            <w:tcW w:w="3642" w:type="dxa"/>
            <w:tcBorders>
              <w:top w:val="nil"/>
              <w:left w:val="nil"/>
              <w:bottom w:val="single" w:sz="4" w:space="0" w:color="auto"/>
              <w:right w:val="nil"/>
            </w:tcBorders>
            <w:shd w:val="clear" w:color="auto" w:fill="DEEAF6" w:themeFill="accent1" w:themeFillTint="33"/>
            <w:noWrap/>
            <w:vAlign w:val="center"/>
            <w:hideMark/>
          </w:tcPr>
          <w:p w14:paraId="3D8B546F"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Breast-conserving surgery and radiotherapy</w:t>
            </w:r>
          </w:p>
        </w:tc>
        <w:tc>
          <w:tcPr>
            <w:tcW w:w="4782" w:type="dxa"/>
            <w:tcBorders>
              <w:top w:val="nil"/>
              <w:left w:val="nil"/>
              <w:bottom w:val="single" w:sz="4" w:space="0" w:color="auto"/>
              <w:right w:val="single" w:sz="4" w:space="0" w:color="auto"/>
            </w:tcBorders>
            <w:shd w:val="clear" w:color="auto" w:fill="DEEAF6" w:themeFill="accent1" w:themeFillTint="33"/>
            <w:noWrap/>
            <w:vAlign w:val="center"/>
            <w:hideMark/>
          </w:tcPr>
          <w:p w14:paraId="2532F321" w14:textId="77777777" w:rsidR="00CA180A" w:rsidRPr="006140CB" w:rsidRDefault="00CA180A" w:rsidP="00CA180A">
            <w:pPr>
              <w:spacing w:after="0" w:line="240" w:lineRule="auto"/>
              <w:rPr>
                <w:rFonts w:eastAsia="Times New Roman" w:cstheme="minorHAnsi"/>
                <w:color w:val="000000"/>
                <w:lang w:val="en-US" w:eastAsia="nl-NL"/>
              </w:rPr>
            </w:pPr>
            <w:r w:rsidRPr="006140CB">
              <w:rPr>
                <w:rFonts w:eastAsia="Times New Roman" w:cstheme="minorHAnsi"/>
                <w:color w:val="000000"/>
                <w:lang w:val="en-US" w:eastAsia="nl-NL"/>
              </w:rPr>
              <w:t>Cured of breast cancer</w:t>
            </w:r>
          </w:p>
        </w:tc>
      </w:tr>
    </w:tbl>
    <w:p w14:paraId="26432963" w14:textId="53DADEBF" w:rsidR="00BD19B1" w:rsidRPr="00375083" w:rsidRDefault="009C0FD1" w:rsidP="00BD19B1">
      <w:pPr>
        <w:rPr>
          <w:rFonts w:ascii="Verdana" w:hAnsi="Verdana" w:cstheme="minorHAnsi"/>
          <w:color w:val="000000" w:themeColor="text1"/>
          <w:sz w:val="20"/>
          <w:szCs w:val="20"/>
          <w:lang w:val="en-US"/>
        </w:rPr>
      </w:pPr>
      <w:r w:rsidRPr="00375083">
        <w:rPr>
          <w:rFonts w:ascii="Verdana" w:hAnsi="Verdana" w:cstheme="minorHAnsi"/>
          <w:color w:val="000000" w:themeColor="text1"/>
          <w:sz w:val="20"/>
          <w:szCs w:val="20"/>
          <w:lang w:val="en-US"/>
        </w:rPr>
        <w:t>*)</w:t>
      </w:r>
      <w:r w:rsidR="009C5DF5" w:rsidRPr="00375083">
        <w:rPr>
          <w:rFonts w:ascii="Verdana" w:hAnsi="Verdana" w:cstheme="minorHAnsi"/>
          <w:color w:val="000000" w:themeColor="text1"/>
          <w:sz w:val="20"/>
          <w:szCs w:val="20"/>
          <w:lang w:val="en-US"/>
        </w:rPr>
        <w:t xml:space="preserve"> </w:t>
      </w:r>
      <w:r w:rsidRPr="00375083">
        <w:rPr>
          <w:rFonts w:ascii="Verdana" w:hAnsi="Verdana" w:cstheme="minorHAnsi"/>
          <w:color w:val="000000" w:themeColor="text1"/>
          <w:sz w:val="20"/>
          <w:szCs w:val="20"/>
          <w:lang w:val="en-US"/>
        </w:rPr>
        <w:t xml:space="preserve">corresponds with patient numbering in table </w:t>
      </w:r>
      <w:r w:rsidR="00776018" w:rsidRPr="00375083">
        <w:rPr>
          <w:rFonts w:ascii="Verdana" w:hAnsi="Verdana" w:cstheme="minorHAnsi"/>
          <w:color w:val="000000" w:themeColor="text1"/>
          <w:sz w:val="20"/>
          <w:szCs w:val="20"/>
          <w:lang w:val="en-US"/>
        </w:rPr>
        <w:t>E</w:t>
      </w:r>
      <w:r w:rsidR="00375083">
        <w:rPr>
          <w:rFonts w:ascii="Verdana" w:hAnsi="Verdana" w:cstheme="minorHAnsi"/>
          <w:color w:val="000000" w:themeColor="text1"/>
          <w:sz w:val="20"/>
          <w:szCs w:val="20"/>
          <w:lang w:val="en-US"/>
        </w:rPr>
        <w:t>2</w:t>
      </w:r>
      <w:r w:rsidRPr="00375083">
        <w:rPr>
          <w:rFonts w:ascii="Verdana" w:hAnsi="Verdana" w:cstheme="minorHAnsi"/>
          <w:color w:val="000000" w:themeColor="text1"/>
          <w:sz w:val="20"/>
          <w:szCs w:val="20"/>
          <w:lang w:val="en-US"/>
        </w:rPr>
        <w:t xml:space="preserve">; </w:t>
      </w:r>
      <w:r w:rsidR="00444383" w:rsidRPr="00375083">
        <w:rPr>
          <w:rFonts w:ascii="Calibri" w:hAnsi="Calibri" w:cs="Calibri"/>
          <w:color w:val="000000" w:themeColor="text1"/>
          <w:sz w:val="20"/>
          <w:szCs w:val="20"/>
          <w:vertAlign w:val="superscript"/>
          <w:lang w:val="en-US"/>
        </w:rPr>
        <w:t>ǂ</w:t>
      </w:r>
      <w:r w:rsidR="00444383" w:rsidRPr="00375083">
        <w:rPr>
          <w:rFonts w:ascii="Verdana" w:hAnsi="Verdana" w:cstheme="minorHAnsi"/>
          <w:color w:val="000000" w:themeColor="text1"/>
          <w:sz w:val="20"/>
          <w:szCs w:val="20"/>
          <w:vertAlign w:val="superscript"/>
          <w:lang w:val="en-US"/>
        </w:rPr>
        <w:t>)</w:t>
      </w:r>
      <w:r w:rsidR="00444383" w:rsidRPr="00375083">
        <w:rPr>
          <w:rFonts w:ascii="Verdana" w:hAnsi="Verdana"/>
          <w:color w:val="000000" w:themeColor="text1"/>
          <w:sz w:val="20"/>
          <w:szCs w:val="20"/>
          <w:lang w:val="en-US"/>
        </w:rPr>
        <w:t xml:space="preserve"> </w:t>
      </w:r>
      <w:proofErr w:type="gramStart"/>
      <w:r w:rsidR="00444383" w:rsidRPr="00375083">
        <w:rPr>
          <w:rFonts w:ascii="Verdana" w:hAnsi="Verdana"/>
          <w:color w:val="000000" w:themeColor="text1"/>
          <w:sz w:val="20"/>
          <w:szCs w:val="20"/>
          <w:lang w:val="en-US"/>
        </w:rPr>
        <w:t>The</w:t>
      </w:r>
      <w:proofErr w:type="gramEnd"/>
      <w:r w:rsidR="00444383" w:rsidRPr="00375083">
        <w:rPr>
          <w:rFonts w:ascii="Verdana" w:hAnsi="Verdana"/>
          <w:color w:val="000000" w:themeColor="text1"/>
          <w:sz w:val="20"/>
          <w:szCs w:val="20"/>
          <w:lang w:val="en-US"/>
        </w:rPr>
        <w:t xml:space="preserve"> patient presented with a swelling of a lymph node in the left inguinal region. Biopsy showed squamous cell carcinoma, but no anatomical primary site was identified. </w:t>
      </w:r>
      <w:r w:rsidRPr="00375083">
        <w:rPr>
          <w:rFonts w:ascii="Verdana" w:hAnsi="Verdana" w:cstheme="minorHAnsi"/>
          <w:color w:val="000000" w:themeColor="text1"/>
          <w:sz w:val="20"/>
          <w:szCs w:val="20"/>
          <w:lang w:val="en-US"/>
        </w:rPr>
        <w:t xml:space="preserve">PF, pulmonary fibrosis; </w:t>
      </w:r>
    </w:p>
    <w:p w14:paraId="445A60DC" w14:textId="19E567D9" w:rsidR="00EF1EF8" w:rsidRPr="00040633" w:rsidRDefault="00EF1EF8" w:rsidP="00BD19B1">
      <w:pPr>
        <w:rPr>
          <w:rFonts w:cstheme="minorHAnsi"/>
          <w:b/>
          <w:lang w:val="en-US"/>
        </w:rPr>
        <w:sectPr w:rsidR="00EF1EF8" w:rsidRPr="00040633" w:rsidSect="004E47D6">
          <w:pgSz w:w="16838" w:h="11906" w:orient="landscape"/>
          <w:pgMar w:top="1440" w:right="1440" w:bottom="1440" w:left="1440" w:header="709" w:footer="709" w:gutter="0"/>
          <w:cols w:space="708"/>
          <w:docGrid w:linePitch="360"/>
        </w:sectPr>
      </w:pPr>
    </w:p>
    <w:p w14:paraId="48A7A64C" w14:textId="5D861359" w:rsidR="003025A1" w:rsidRPr="00375083" w:rsidRDefault="0053132B" w:rsidP="003025A1">
      <w:pPr>
        <w:widowControl w:val="0"/>
        <w:autoSpaceDE w:val="0"/>
        <w:autoSpaceDN w:val="0"/>
        <w:adjustRightInd w:val="0"/>
        <w:spacing w:line="240" w:lineRule="auto"/>
        <w:ind w:left="480" w:hanging="480"/>
        <w:rPr>
          <w:rFonts w:ascii="Verdana" w:hAnsi="Verdana" w:cstheme="minorHAnsi"/>
          <w:sz w:val="24"/>
          <w:szCs w:val="20"/>
          <w:lang w:val="nl-NL"/>
        </w:rPr>
      </w:pPr>
      <w:proofErr w:type="spellStart"/>
      <w:r w:rsidRPr="00375083">
        <w:rPr>
          <w:rFonts w:ascii="Verdana" w:hAnsi="Verdana" w:cstheme="minorHAnsi"/>
          <w:b/>
          <w:sz w:val="24"/>
          <w:szCs w:val="20"/>
          <w:lang w:val="nl-NL"/>
        </w:rPr>
        <w:lastRenderedPageBreak/>
        <w:t>References</w:t>
      </w:r>
      <w:proofErr w:type="spellEnd"/>
    </w:p>
    <w:p w14:paraId="18CDC940" w14:textId="29CB2022" w:rsidR="005C5BE9" w:rsidRPr="005C5BE9" w:rsidRDefault="00B912B1" w:rsidP="005C5BE9">
      <w:pPr>
        <w:widowControl w:val="0"/>
        <w:autoSpaceDE w:val="0"/>
        <w:autoSpaceDN w:val="0"/>
        <w:adjustRightInd w:val="0"/>
        <w:spacing w:line="240" w:lineRule="auto"/>
        <w:ind w:left="640" w:hanging="640"/>
        <w:rPr>
          <w:rFonts w:ascii="Verdana" w:hAnsi="Verdana" w:cs="Times New Roman"/>
          <w:noProof/>
          <w:sz w:val="20"/>
          <w:szCs w:val="24"/>
        </w:rPr>
      </w:pPr>
      <w:r w:rsidRPr="00DA341F">
        <w:rPr>
          <w:rFonts w:ascii="Verdana" w:hAnsi="Verdana" w:cstheme="minorHAnsi"/>
          <w:sz w:val="20"/>
          <w:szCs w:val="20"/>
          <w:lang w:val="en-US"/>
        </w:rPr>
        <w:fldChar w:fldCharType="begin" w:fldLock="1"/>
      </w:r>
      <w:r w:rsidRPr="00375083">
        <w:rPr>
          <w:rFonts w:ascii="Verdana" w:hAnsi="Verdana" w:cstheme="minorHAnsi"/>
          <w:sz w:val="20"/>
          <w:szCs w:val="20"/>
          <w:lang w:val="nl-NL"/>
        </w:rPr>
        <w:instrText xml:space="preserve">ADDIN Mendeley Bibliography CSL_BIBLIOGRAPHY </w:instrText>
      </w:r>
      <w:r w:rsidRPr="00DA341F">
        <w:rPr>
          <w:rFonts w:ascii="Verdana" w:hAnsi="Verdana" w:cstheme="minorHAnsi"/>
          <w:sz w:val="20"/>
          <w:szCs w:val="20"/>
          <w:lang w:val="en-US"/>
        </w:rPr>
        <w:fldChar w:fldCharType="separate"/>
      </w:r>
      <w:r w:rsidR="005C5BE9" w:rsidRPr="005C5BE9">
        <w:rPr>
          <w:rFonts w:ascii="Verdana" w:hAnsi="Verdana" w:cs="Times New Roman"/>
          <w:noProof/>
          <w:sz w:val="20"/>
          <w:szCs w:val="24"/>
        </w:rPr>
        <w:t xml:space="preserve">1. </w:t>
      </w:r>
      <w:r w:rsidR="005C5BE9" w:rsidRPr="005C5BE9">
        <w:rPr>
          <w:rFonts w:ascii="Verdana" w:hAnsi="Verdana" w:cs="Times New Roman"/>
          <w:noProof/>
          <w:sz w:val="20"/>
          <w:szCs w:val="24"/>
        </w:rPr>
        <w:tab/>
        <w:t xml:space="preserve">Snetselaar R, Van Moorsel CHM, Kazemier KM, Van Der Vis JJ, Zanen P, Van Oosterhout MFM, et al. Telomere length in interstitial lung diseases. Chest. 2015;148(4):1011–8. </w:t>
      </w:r>
    </w:p>
    <w:p w14:paraId="29AE6AA0"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 </w:t>
      </w:r>
      <w:r w:rsidRPr="005C5BE9">
        <w:rPr>
          <w:rFonts w:ascii="Verdana" w:hAnsi="Verdana" w:cs="Times New Roman"/>
          <w:noProof/>
          <w:sz w:val="20"/>
          <w:szCs w:val="24"/>
        </w:rPr>
        <w:tab/>
        <w:t xml:space="preserve">Cawthon RM. Telomere length measurement by a novel monochrome multiplex quantitative PCR method. Nucleic Acids Res. 2009;37(3):1–7. </w:t>
      </w:r>
    </w:p>
    <w:p w14:paraId="233D55D1"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 </w:t>
      </w:r>
      <w:r w:rsidRPr="005C5BE9">
        <w:rPr>
          <w:rFonts w:ascii="Verdana" w:hAnsi="Verdana" w:cs="Times New Roman"/>
          <w:noProof/>
          <w:sz w:val="20"/>
          <w:szCs w:val="24"/>
        </w:rPr>
        <w:tab/>
        <w:t xml:space="preserve">Hoffman TW, Van Der Vis JJ, Van Der Smagt JJ, Massink MPG, Grutters JC, Van Moorsel CHM. Pulmonary fibrosis linked to variants in the ACD gene, encoding the telomere protein TPP1. Eur Respir J. 2019;54(6). </w:t>
      </w:r>
    </w:p>
    <w:p w14:paraId="0311F6AA"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 </w:t>
      </w:r>
      <w:r w:rsidRPr="005C5BE9">
        <w:rPr>
          <w:rFonts w:ascii="Verdana" w:hAnsi="Verdana" w:cs="Times New Roman"/>
          <w:noProof/>
          <w:sz w:val="20"/>
          <w:szCs w:val="24"/>
        </w:rPr>
        <w:tab/>
        <w:t xml:space="preserve">Guo Y, Kartawinata M, Li J, Pickett HA, Teo J, Kilo T, et al. Inherited bone marrow failure associated with germline mutation of ACD, the gene encoding telomere protein TPP1. Blood. 2014 Oct 30;124(18):2767. </w:t>
      </w:r>
    </w:p>
    <w:p w14:paraId="63309306"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5. </w:t>
      </w:r>
      <w:r w:rsidRPr="005C5BE9">
        <w:rPr>
          <w:rFonts w:ascii="Verdana" w:hAnsi="Verdana" w:cs="Times New Roman"/>
          <w:noProof/>
          <w:sz w:val="20"/>
          <w:szCs w:val="24"/>
        </w:rPr>
        <w:tab/>
        <w:t xml:space="preserve">Kocak H, Ballew BJ, Bisht K, Eggebeen R, Hicks BD, Suman S, et al. Hoyeraal-Hreidarsson syndrome caused by a germline mutation in the TEL patch of the telomere protein TPP1. Genes Dev. 2014 Oct 1;28(19):2090. </w:t>
      </w:r>
    </w:p>
    <w:p w14:paraId="59854105"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6. </w:t>
      </w:r>
      <w:r w:rsidRPr="005C5BE9">
        <w:rPr>
          <w:rFonts w:ascii="Verdana" w:hAnsi="Verdana" w:cs="Times New Roman"/>
          <w:noProof/>
          <w:sz w:val="20"/>
          <w:szCs w:val="24"/>
        </w:rPr>
        <w:tab/>
        <w:t xml:space="preserve">Dressen A, Abbas AR, Cabanski C, Reeder J, Ramalingam TR, Neighbors M, et al. Analysis of protein-altering variants in telomerase genes and their association with MUC5B common variant status in patients with idiopathic pulmonary fibrosis: a candidate gene sequencing study. Lancet Respir Med. 2018;6(8):603–14. </w:t>
      </w:r>
    </w:p>
    <w:p w14:paraId="681C469D"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7. </w:t>
      </w:r>
      <w:r w:rsidRPr="005C5BE9">
        <w:rPr>
          <w:rFonts w:ascii="Verdana" w:hAnsi="Verdana" w:cs="Times New Roman"/>
          <w:noProof/>
          <w:sz w:val="20"/>
          <w:szCs w:val="24"/>
        </w:rPr>
        <w:tab/>
        <w:t xml:space="preserve">Justet A, Klay D, Porcher R, Cottin V, Ahmad K, Molina MM, et al. Safety and efficacy of pirfenidone and nintedanib in patients with idiopathic pulmonary fibrosis and carrying a telomere-related gene mutation. Eur Respir J. 2021 Feb 1;57(2). </w:t>
      </w:r>
    </w:p>
    <w:p w14:paraId="1FCDE129"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8. </w:t>
      </w:r>
      <w:r w:rsidRPr="005C5BE9">
        <w:rPr>
          <w:rFonts w:ascii="Verdana" w:hAnsi="Verdana" w:cs="Times New Roman"/>
          <w:noProof/>
          <w:sz w:val="20"/>
          <w:szCs w:val="24"/>
        </w:rPr>
        <w:tab/>
        <w:t xml:space="preserve">Groen K, van der Vis JJ, van Batenburg AA, Kazemier KM, Grutters JC, van Moorsel CHM. Genetic Variant Overlap Analysis Identifies Established and Putative Genes Involved in Pulmonary Fibrosis. Int J Mol Sci. 2023 Feb 1;24(3):2790. </w:t>
      </w:r>
    </w:p>
    <w:p w14:paraId="3843997E"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9. </w:t>
      </w:r>
      <w:r w:rsidRPr="005C5BE9">
        <w:rPr>
          <w:rFonts w:ascii="Verdana" w:hAnsi="Verdana" w:cs="Times New Roman"/>
          <w:noProof/>
          <w:sz w:val="20"/>
          <w:szCs w:val="24"/>
        </w:rPr>
        <w:tab/>
        <w:t xml:space="preserve">van Batenburg AA, Kazemier KM, Peeters T, van Oosterhout MFM, van der Vis JJ, Grutters JC, et al. Cell Type–Specific Quantification of Telomere Length and DNA Double-strand Breaks in Individual Lung Cells by Fluorescence In Situ Hybridization and Fluorescent Immunohistochemistry. J Histochem Cytochem. 2018;66(7). </w:t>
      </w:r>
    </w:p>
    <w:p w14:paraId="14644813"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10. </w:t>
      </w:r>
      <w:r w:rsidRPr="005C5BE9">
        <w:rPr>
          <w:rFonts w:ascii="Verdana" w:hAnsi="Verdana" w:cs="Times New Roman"/>
          <w:noProof/>
          <w:sz w:val="20"/>
          <w:szCs w:val="24"/>
        </w:rPr>
        <w:tab/>
        <w:t xml:space="preserve">Dhanraj S, Gunja SMR, Deveau AP, Nissbeck M, Boonyawat B, Coombs AJ, et al. Bone marrow failure and developmental delay caused by mutations in poly(A)-specific ribonuclease (PARN). J Med Genet. 2015 Sep 4;52(11):738–48. </w:t>
      </w:r>
    </w:p>
    <w:p w14:paraId="662DB773"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11. </w:t>
      </w:r>
      <w:r w:rsidRPr="005C5BE9">
        <w:rPr>
          <w:rFonts w:ascii="Verdana" w:hAnsi="Verdana" w:cs="Times New Roman"/>
          <w:noProof/>
          <w:sz w:val="20"/>
          <w:szCs w:val="24"/>
        </w:rPr>
        <w:tab/>
        <w:t xml:space="preserve">Kelich J, Aramburu T, van der Vis JJ, Showe L, Kossenkov A, van der Smagt J, et al. Telomere dysfunction implicates POT1 in patients with idiopathic pulmonary fibrosis. J Exp Med. 2022;219(5). </w:t>
      </w:r>
    </w:p>
    <w:p w14:paraId="02E3999D"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12. </w:t>
      </w:r>
      <w:r w:rsidRPr="005C5BE9">
        <w:rPr>
          <w:rFonts w:ascii="Verdana" w:hAnsi="Verdana" w:cs="Times New Roman"/>
          <w:noProof/>
          <w:sz w:val="20"/>
          <w:szCs w:val="24"/>
        </w:rPr>
        <w:tab/>
        <w:t xml:space="preserve">Speedy HE, Kinnersley B, Chubb D, Broderick P, Law PJ, Litchfield K, et al. Germ line mutations in shelterin complex genes are associated with familial chronic lymphocytic leukemia. Blood. 2016;128(19):2319–26. </w:t>
      </w:r>
    </w:p>
    <w:p w14:paraId="7088BF8C"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13. </w:t>
      </w:r>
      <w:r w:rsidRPr="005C5BE9">
        <w:rPr>
          <w:rFonts w:ascii="Verdana" w:hAnsi="Verdana" w:cs="Times New Roman"/>
          <w:noProof/>
          <w:sz w:val="20"/>
          <w:szCs w:val="24"/>
        </w:rPr>
        <w:tab/>
        <w:t xml:space="preserve">Dressen A, Abbas AR, Cabanski C, Reeder J, Ramalingam TR, Neighbors M, et al. Analysis of protein-altering variants in telomerase genes and their association with MUC5B common variant status in patients with idiopathic pulmonary fibrosis: a candidate gene sequencing study. Lancet Respir Med. 2018 Aug 1;6(8):603–14. </w:t>
      </w:r>
    </w:p>
    <w:p w14:paraId="492961CF"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14. </w:t>
      </w:r>
      <w:r w:rsidRPr="005C5BE9">
        <w:rPr>
          <w:rFonts w:ascii="Verdana" w:hAnsi="Verdana" w:cs="Times New Roman"/>
          <w:noProof/>
          <w:sz w:val="20"/>
          <w:szCs w:val="24"/>
        </w:rPr>
        <w:tab/>
        <w:t xml:space="preserve">Van Batenburg AA, Kazemier KM, Van Oosterhout MFM, Van Der Vis JJ, Van Es HW, Grutters JC, et al. From organ to cell: Multi-level telomere length assessment in patients with idiopathic pulmonary fibrosis. PLoS One. 2020;15(1). </w:t>
      </w:r>
    </w:p>
    <w:p w14:paraId="539A2E05"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15. </w:t>
      </w:r>
      <w:r w:rsidRPr="005C5BE9">
        <w:rPr>
          <w:rFonts w:ascii="Verdana" w:hAnsi="Verdana" w:cs="Times New Roman"/>
          <w:noProof/>
          <w:sz w:val="20"/>
          <w:szCs w:val="24"/>
        </w:rPr>
        <w:tab/>
        <w:t>Ley B, Torgerson DG, Oldham JM, Adegunsoye A, Liu S, Li J, et al. Rare Protein-</w:t>
      </w:r>
      <w:r w:rsidRPr="005C5BE9">
        <w:rPr>
          <w:rFonts w:ascii="Verdana" w:hAnsi="Verdana" w:cs="Times New Roman"/>
          <w:noProof/>
          <w:sz w:val="20"/>
          <w:szCs w:val="24"/>
        </w:rPr>
        <w:lastRenderedPageBreak/>
        <w:t xml:space="preserve">Altering Telomere-related Gene Variants in Patients with Chronic Hypersensitivity Pneumonitis. Am J Respir Crit Care Med. 2019 Nov 1;200(9):1154–63. </w:t>
      </w:r>
    </w:p>
    <w:p w14:paraId="5CE45E44"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16. </w:t>
      </w:r>
      <w:r w:rsidRPr="005C5BE9">
        <w:rPr>
          <w:rFonts w:ascii="Verdana" w:hAnsi="Verdana" w:cs="Times New Roman"/>
          <w:noProof/>
          <w:sz w:val="20"/>
          <w:szCs w:val="24"/>
        </w:rPr>
        <w:tab/>
        <w:t xml:space="preserve">Maillet F, Galimard JE, Borie R, Lainey E, Larcher L, Passet M, et al. Haematological features of telomere biology disorders diagnosed in adulthood: A French nationwide study of 127 patients. Br J Haematol. 2024 Nov 1;205(5). </w:t>
      </w:r>
    </w:p>
    <w:p w14:paraId="4001387C"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17. </w:t>
      </w:r>
      <w:r w:rsidRPr="005C5BE9">
        <w:rPr>
          <w:rFonts w:ascii="Verdana" w:hAnsi="Verdana" w:cs="Times New Roman"/>
          <w:noProof/>
          <w:sz w:val="20"/>
          <w:szCs w:val="24"/>
        </w:rPr>
        <w:tab/>
        <w:t xml:space="preserve">Alder JK, Hanumanthu VS, Strong MA, DeZern AE, Stanley SE, Takemoto CM, et al. Diagnostic utility of telomere length testing in a hospital-based setting. Proc Natl Acad Sci U S A. 2018 Mar 6;115(10):E2358–65. </w:t>
      </w:r>
    </w:p>
    <w:p w14:paraId="09E0C877"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18. </w:t>
      </w:r>
      <w:r w:rsidRPr="005C5BE9">
        <w:rPr>
          <w:rFonts w:ascii="Verdana" w:hAnsi="Verdana" w:cs="Times New Roman"/>
          <w:noProof/>
          <w:sz w:val="20"/>
          <w:szCs w:val="24"/>
        </w:rPr>
        <w:tab/>
        <w:t xml:space="preserve">Ballew BJ, Yeager M, Jacobs K, Giri N, Boland J, Burdett L, et al. Germline mutations of regulator of telomere elongation helicase 1, RTEL1, in Dyskeratosis congenita. Hum Genet. 2013 Apr;132(4):473–80. </w:t>
      </w:r>
    </w:p>
    <w:p w14:paraId="0F77216D"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19. </w:t>
      </w:r>
      <w:r w:rsidRPr="005C5BE9">
        <w:rPr>
          <w:rFonts w:ascii="Verdana" w:hAnsi="Verdana" w:cs="Times New Roman"/>
          <w:noProof/>
          <w:sz w:val="20"/>
          <w:szCs w:val="24"/>
        </w:rPr>
        <w:tab/>
        <w:t xml:space="preserve">Moriya K, Niizuma H, Rikiishi T, Yamaguchi H, Sasahara Y, Kure S. Novel Compound Heterozygous RTEL1 Gene Mutations in a Patient With Hoyeraal-Hreidarsson Syndrome. Pediatr Blood Cancer. 2016 Sep 1;63(9):1683–4. </w:t>
      </w:r>
    </w:p>
    <w:p w14:paraId="6849FBCE"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20. </w:t>
      </w:r>
      <w:r w:rsidRPr="005C5BE9">
        <w:rPr>
          <w:rFonts w:ascii="Verdana" w:hAnsi="Verdana" w:cs="Times New Roman"/>
          <w:noProof/>
          <w:sz w:val="20"/>
          <w:szCs w:val="24"/>
        </w:rPr>
        <w:tab/>
        <w:t xml:space="preserve">Petrovski S, Todd JL, Durheim MT, Wang Q, Chien JW, Kelly FL, et al. An Exome Sequencing Study to Assess the Role of Rare Genetic Variation in Pulmonary Fibrosis. Am J Respir Crit Care Med. 2017 Jul 1;196(1):82–93. </w:t>
      </w:r>
    </w:p>
    <w:p w14:paraId="794E0A4A"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21. </w:t>
      </w:r>
      <w:r w:rsidRPr="005C5BE9">
        <w:rPr>
          <w:rFonts w:ascii="Verdana" w:hAnsi="Verdana" w:cs="Times New Roman"/>
          <w:noProof/>
          <w:sz w:val="20"/>
          <w:szCs w:val="24"/>
        </w:rPr>
        <w:tab/>
        <w:t xml:space="preserve">Borie R, Bouvry D, Cottin V, Gauvain C, Cazes A, Debray MP, et al. Regulator of telomere length 1 (RTEL1) mutations are associated with heterogeneous pulmonary and extra-pulmonary phenotypes. Eur Respir J. 2019 Feb 1;53(2):1800508. </w:t>
      </w:r>
    </w:p>
    <w:p w14:paraId="41EDADC5"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22. </w:t>
      </w:r>
      <w:r w:rsidRPr="005C5BE9">
        <w:rPr>
          <w:rFonts w:ascii="Verdana" w:hAnsi="Verdana" w:cs="Times New Roman"/>
          <w:noProof/>
          <w:sz w:val="20"/>
          <w:szCs w:val="24"/>
        </w:rPr>
        <w:tab/>
        <w:t xml:space="preserve">Zhang D, Newton CA, Wang B, Povysil G, Noth I, Martinez FJ, et al. Utility of whole genome sequencing in assessing risk and clinically relevant outcomes for pulmonary fibrosis. Eur Respir J. 2022 Dec 1;60(6). </w:t>
      </w:r>
    </w:p>
    <w:p w14:paraId="56304631"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23. </w:t>
      </w:r>
      <w:r w:rsidRPr="005C5BE9">
        <w:rPr>
          <w:rFonts w:ascii="Verdana" w:hAnsi="Verdana" w:cs="Times New Roman"/>
          <w:noProof/>
          <w:sz w:val="20"/>
          <w:szCs w:val="24"/>
        </w:rPr>
        <w:tab/>
        <w:t xml:space="preserve">Niewisch MR, Kim J, Giri N, Lunger JC, McReynolds LJ, Savage SA. Genotype and Associated Cancer Risk in Individuals With Telomere Biology Disorders. JAMA Netw Open. 2024 Dec 11;7(12):e2450111. </w:t>
      </w:r>
    </w:p>
    <w:p w14:paraId="1501A7A9"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24. </w:t>
      </w:r>
      <w:r w:rsidRPr="005C5BE9">
        <w:rPr>
          <w:rFonts w:ascii="Verdana" w:hAnsi="Verdana" w:cs="Times New Roman"/>
          <w:noProof/>
          <w:sz w:val="20"/>
          <w:szCs w:val="24"/>
        </w:rPr>
        <w:tab/>
        <w:t xml:space="preserve">Speckmann C, Sahoo SS, Rizzi M, Hirabayashi S, Karow A, Serwas NK, et al. Clinical and Molecular Heterogeneity of RTEL1 Deficiency. Front Immunol. 2017 May 1;8(MAY). </w:t>
      </w:r>
    </w:p>
    <w:p w14:paraId="7B89BA69"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25. </w:t>
      </w:r>
      <w:r w:rsidRPr="005C5BE9">
        <w:rPr>
          <w:rFonts w:ascii="Verdana" w:hAnsi="Verdana" w:cs="Times New Roman"/>
          <w:noProof/>
          <w:sz w:val="20"/>
          <w:szCs w:val="24"/>
        </w:rPr>
        <w:tab/>
        <w:t xml:space="preserve">AM F, L S, C J, NR T, J E, R K, et al. Carrier screening of RTEL1 mutations in the Ashkenazi Jewish population. Clin Genet. 2015 Aug 1;88(2):177–81. </w:t>
      </w:r>
    </w:p>
    <w:p w14:paraId="6DC13AF0"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26. </w:t>
      </w:r>
      <w:r w:rsidRPr="005C5BE9">
        <w:rPr>
          <w:rFonts w:ascii="Verdana" w:hAnsi="Verdana" w:cs="Times New Roman"/>
          <w:noProof/>
          <w:sz w:val="20"/>
          <w:szCs w:val="24"/>
        </w:rPr>
        <w:tab/>
        <w:t xml:space="preserve">Collopy LC, Walne AJ, Cardoso S, de la Fuente J, Mohamed M, Toriello H, et al. Triallelic and epigenetic-like inheritance in human disorders of telomerase. Blood. 2015 Jul 9;126(2):176–84. </w:t>
      </w:r>
    </w:p>
    <w:p w14:paraId="28FEFF80"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27. </w:t>
      </w:r>
      <w:r w:rsidRPr="005C5BE9">
        <w:rPr>
          <w:rFonts w:ascii="Verdana" w:hAnsi="Verdana" w:cs="Times New Roman"/>
          <w:noProof/>
          <w:sz w:val="20"/>
          <w:szCs w:val="24"/>
        </w:rPr>
        <w:tab/>
        <w:t xml:space="preserve">Keel SB, Scott A, Bonilla MS, Ho PA, Gulsuner S, Pritchard CC, et al. Genetic features of myelodysplastic syndrome and aplastic anemia in pediatric and young adult patients. Haematologica. 2016 Oct 31;101(11):1343–50. </w:t>
      </w:r>
    </w:p>
    <w:p w14:paraId="599CA425"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28. </w:t>
      </w:r>
      <w:r w:rsidRPr="005C5BE9">
        <w:rPr>
          <w:rFonts w:ascii="Verdana" w:hAnsi="Verdana" w:cs="Times New Roman"/>
          <w:noProof/>
          <w:sz w:val="20"/>
          <w:szCs w:val="24"/>
        </w:rPr>
        <w:tab/>
        <w:t xml:space="preserve">Walne AJ, Vulliamy T, Kirwan M, Plagnol V, Dokal I. Constitutional mutations in RTEL1 cause severe dyskeratosis congenita. Am J Hum Genet. 2013 Mar 7;92(3):448–53. </w:t>
      </w:r>
    </w:p>
    <w:p w14:paraId="695206B1"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29. </w:t>
      </w:r>
      <w:r w:rsidRPr="005C5BE9">
        <w:rPr>
          <w:rFonts w:ascii="Verdana" w:hAnsi="Verdana" w:cs="Times New Roman"/>
          <w:noProof/>
          <w:sz w:val="20"/>
          <w:szCs w:val="24"/>
        </w:rPr>
        <w:tab/>
        <w:t xml:space="preserve">Cogan JD, Kropski JA, Zhao M, Mitchell DB, Rives L, Markin C, et al. Rare variants in RTEL1 are associated with familial interstitial pneumonia. Am J Respir Crit Care Med. 2015 Mar 15;191(6):646–55. </w:t>
      </w:r>
    </w:p>
    <w:p w14:paraId="0AD799AF"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30. </w:t>
      </w:r>
      <w:r w:rsidRPr="005C5BE9">
        <w:rPr>
          <w:rFonts w:ascii="Verdana" w:hAnsi="Verdana" w:cs="Times New Roman"/>
          <w:noProof/>
          <w:sz w:val="20"/>
          <w:szCs w:val="24"/>
        </w:rPr>
        <w:tab/>
        <w:t xml:space="preserve">Jongmans MCJ, Verwiel ETP, Heijdra Y, Vulliamy T, Kamping EJ, Hehir-Kwa JY, et al. Revertant somatic mosaicism by mitotic recombination in dyskeratosis congenita. Am J Hum Genet. 2012 Mar 9;90(3):426–33. </w:t>
      </w:r>
    </w:p>
    <w:p w14:paraId="0C2F78D6"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lastRenderedPageBreak/>
        <w:t xml:space="preserve">31. </w:t>
      </w:r>
      <w:r w:rsidRPr="005C5BE9">
        <w:rPr>
          <w:rFonts w:ascii="Verdana" w:hAnsi="Verdana" w:cs="Times New Roman"/>
          <w:noProof/>
          <w:sz w:val="20"/>
          <w:szCs w:val="24"/>
        </w:rPr>
        <w:tab/>
        <w:t xml:space="preserve">van der Vis JJ, van der Smagt JJ, Hennekam FAM, Grutters JC, van Moorsel CHM. Pulmonary Fibrosis and a TERT Founder Mutation With a Latency Period of 300 Years. Chest. 2020 Aug 1;158(2):612–9. </w:t>
      </w:r>
    </w:p>
    <w:p w14:paraId="143B6E4E"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32. </w:t>
      </w:r>
      <w:r w:rsidRPr="005C5BE9">
        <w:rPr>
          <w:rFonts w:ascii="Verdana" w:hAnsi="Verdana" w:cs="Times New Roman"/>
          <w:noProof/>
          <w:sz w:val="20"/>
          <w:szCs w:val="24"/>
        </w:rPr>
        <w:tab/>
        <w:t xml:space="preserve">Ly H, Schertzer M, Jastaniah W, Davis J, Yong SL, Ouyang Q, et al. Identification and functional characterization of 2 variant alleles of the telomerase RNA template gene (TERC) in a patient with dyskeratosis congenita. Blood. 2005 Aug 15;106(4):1246–52. </w:t>
      </w:r>
    </w:p>
    <w:p w14:paraId="47036187"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33. </w:t>
      </w:r>
      <w:r w:rsidRPr="005C5BE9">
        <w:rPr>
          <w:rFonts w:ascii="Verdana" w:hAnsi="Verdana" w:cs="Times New Roman"/>
          <w:noProof/>
          <w:sz w:val="20"/>
          <w:szCs w:val="24"/>
        </w:rPr>
        <w:tab/>
        <w:t xml:space="preserve">van der Vis JJ, van der Smagt JJ, van Batenburg AA, Goldschmeding R, van Es HW, Grutters JC, et al. Pulmonary fibrosis in non-mutation carriers of families with short telomere syndrome gene mutations. Respirology. 2021 Sep 27; </w:t>
      </w:r>
    </w:p>
    <w:p w14:paraId="67C164E9"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34. </w:t>
      </w:r>
      <w:r w:rsidRPr="005C5BE9">
        <w:rPr>
          <w:rFonts w:ascii="Verdana" w:hAnsi="Verdana" w:cs="Times New Roman"/>
          <w:noProof/>
          <w:sz w:val="20"/>
          <w:szCs w:val="24"/>
        </w:rPr>
        <w:tab/>
        <w:t xml:space="preserve">Borie R, Tabèze L, Thabut G, Nunes H, Cottin V, Marchand-Adam S, et al. Prevalence and characteristics of TERT and TERC mutations in suspected genetic pulmonary fibrosis. Eur Respir J. 2016;48(6):1721–31. </w:t>
      </w:r>
    </w:p>
    <w:p w14:paraId="01493BEE"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35. </w:t>
      </w:r>
      <w:r w:rsidRPr="005C5BE9">
        <w:rPr>
          <w:rFonts w:ascii="Verdana" w:hAnsi="Verdana" w:cs="Times New Roman"/>
          <w:noProof/>
          <w:sz w:val="20"/>
          <w:szCs w:val="24"/>
        </w:rPr>
        <w:tab/>
        <w:t xml:space="preserve">Snetselaar R, van Batenburg AA, Van Oosterhout MFM, Kazemier KM, Roothaan SM, Peeters T, et al. Short telomere length in IPF lung associates with fibrotic lesions and predicts survival. PLoS One. 2017;12(12). </w:t>
      </w:r>
    </w:p>
    <w:p w14:paraId="718CC18B"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36. </w:t>
      </w:r>
      <w:r w:rsidRPr="005C5BE9">
        <w:rPr>
          <w:rFonts w:ascii="Verdana" w:hAnsi="Verdana" w:cs="Times New Roman"/>
          <w:noProof/>
          <w:sz w:val="20"/>
          <w:szCs w:val="24"/>
        </w:rPr>
        <w:tab/>
        <w:t xml:space="preserve">Planté-Bordeneuve T, Terwiel M, Vis JJ van der, Es W Van, Veltkamp M, Grutters JC, et al. Family history of pulmonary fibrosis impacts prognosis in patients with sarcoidosis. ERJ Open Res. 2024 Oct 4;00441–2024. </w:t>
      </w:r>
    </w:p>
    <w:p w14:paraId="3FE9F885"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37. </w:t>
      </w:r>
      <w:r w:rsidRPr="005C5BE9">
        <w:rPr>
          <w:rFonts w:ascii="Verdana" w:hAnsi="Verdana" w:cs="Times New Roman"/>
          <w:noProof/>
          <w:sz w:val="20"/>
          <w:szCs w:val="24"/>
        </w:rPr>
        <w:tab/>
        <w:t xml:space="preserve">Newton CA, Batra K, Torrealba J, Kozlitina J, Glazer CS, Aravena C, et al. Telomere-related lung fibrosis is diagnostically heterogeneous but uniformly progressive. Eur Respir J. 2016 Dec;48(6):1710–20. </w:t>
      </w:r>
    </w:p>
    <w:p w14:paraId="0DEFD179"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38. </w:t>
      </w:r>
      <w:r w:rsidRPr="005C5BE9">
        <w:rPr>
          <w:rFonts w:ascii="Verdana" w:hAnsi="Verdana" w:cs="Times New Roman"/>
          <w:noProof/>
          <w:sz w:val="20"/>
          <w:szCs w:val="24"/>
        </w:rPr>
        <w:tab/>
        <w:t xml:space="preserve">Diaz de Leon A, Cronkhite JT, Katzenstein A-LA, Godwin JD, Raghu G, Glazer CS, et al. Telomere Lengths, Pulmonary Fibrosis and Telomerase (TERT) Mutations. Morty RE, editor. PLoS One. 2010 May 19;5(5):e10680. </w:t>
      </w:r>
    </w:p>
    <w:p w14:paraId="4443C98D"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39. </w:t>
      </w:r>
      <w:r w:rsidRPr="005C5BE9">
        <w:rPr>
          <w:rFonts w:ascii="Verdana" w:hAnsi="Verdana" w:cs="Times New Roman"/>
          <w:noProof/>
          <w:sz w:val="20"/>
          <w:szCs w:val="24"/>
        </w:rPr>
        <w:tab/>
        <w:t xml:space="preserve">Schratz KE, Flasch DA, Atik CC, Cosner ZL, Blackford AL, Yang W, et al. T cell immune deficiency rather than chromosome instability predisposes patients with short telomere syndromes to squamous cancers. Cancer Cell. 2023 Apr 10;41(4):807-817.e6. </w:t>
      </w:r>
    </w:p>
    <w:p w14:paraId="779801B5"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40. </w:t>
      </w:r>
      <w:r w:rsidRPr="005C5BE9">
        <w:rPr>
          <w:rFonts w:ascii="Verdana" w:hAnsi="Verdana" w:cs="Times New Roman"/>
          <w:noProof/>
          <w:sz w:val="20"/>
          <w:szCs w:val="24"/>
        </w:rPr>
        <w:tab/>
        <w:t xml:space="preserve">Manali ED, Kannengiesser C, Borie R, Ba I, Bouros D, Markopoulou A, et al. Genotype-Phenotype Relationships in Inheritable Idiopathic Pulmonary Fibrosis: A Greek National Cohort Study. Respiration. 2022 Jun 1;101(6):531–43. </w:t>
      </w:r>
    </w:p>
    <w:p w14:paraId="1D8674A4"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41. </w:t>
      </w:r>
      <w:r w:rsidRPr="005C5BE9">
        <w:rPr>
          <w:rFonts w:ascii="Verdana" w:hAnsi="Verdana" w:cs="Times New Roman"/>
          <w:noProof/>
          <w:sz w:val="20"/>
          <w:szCs w:val="24"/>
        </w:rPr>
        <w:tab/>
        <w:t xml:space="preserve">Aldera JK, Barkauskas CE, Limjunyawong N, Stanley SE, Kembou F, Tuder RM, et al. Telomere dysfunction causes alveolar stem cell failure. Proc Natl Acad Sci U S A. 2015 Apr 21;112(16):5099–104. </w:t>
      </w:r>
    </w:p>
    <w:p w14:paraId="4A358308"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42. </w:t>
      </w:r>
      <w:r w:rsidRPr="005C5BE9">
        <w:rPr>
          <w:rFonts w:ascii="Verdana" w:hAnsi="Verdana" w:cs="Times New Roman"/>
          <w:noProof/>
          <w:sz w:val="20"/>
          <w:szCs w:val="24"/>
        </w:rPr>
        <w:tab/>
        <w:t xml:space="preserve">Gutierrez-Rodrigues F, Donaires FS, Pinto A, Vicente A, Dillon LW, Clé D V., et al. Pathogenic TERT promoter variants in telomere diseases. Genet Med. 2018;0(0):1–9. </w:t>
      </w:r>
    </w:p>
    <w:p w14:paraId="01F0A061"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43. </w:t>
      </w:r>
      <w:r w:rsidRPr="005C5BE9">
        <w:rPr>
          <w:rFonts w:ascii="Verdana" w:hAnsi="Verdana" w:cs="Times New Roman"/>
          <w:noProof/>
          <w:sz w:val="20"/>
          <w:szCs w:val="24"/>
        </w:rPr>
        <w:tab/>
        <w:t xml:space="preserve">Parry EM, Alder JK, Qi X, Chen JJ-L, Armanios M. Syndrome complex of bone marrow failure and pulmonary fibrosis predicts germline defects in telomerase. Blood. 2011 May 26;117(21):5607–11. </w:t>
      </w:r>
    </w:p>
    <w:p w14:paraId="07454DE2"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44. </w:t>
      </w:r>
      <w:r w:rsidRPr="005C5BE9">
        <w:rPr>
          <w:rFonts w:ascii="Verdana" w:hAnsi="Verdana" w:cs="Times New Roman"/>
          <w:noProof/>
          <w:sz w:val="20"/>
          <w:szCs w:val="24"/>
        </w:rPr>
        <w:tab/>
        <w:t xml:space="preserve">Sharma A, Myers K, Ye Z, D’Orazio J. Dyskeratosis congenita caused by a novel TERT point mutation in siblings with pancytopenia and exudative retinopathy. Pediatr Blood Cancer. 2014 Dec;61(12):2302–4. </w:t>
      </w:r>
    </w:p>
    <w:p w14:paraId="08C983C4"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45. </w:t>
      </w:r>
      <w:r w:rsidRPr="005C5BE9">
        <w:rPr>
          <w:rFonts w:ascii="Verdana" w:hAnsi="Verdana" w:cs="Times New Roman"/>
          <w:noProof/>
          <w:sz w:val="20"/>
          <w:szCs w:val="24"/>
        </w:rPr>
        <w:tab/>
        <w:t xml:space="preserve">Cronkhite JT, Xing C, Raghu G, Chin KM, Torres F, Rosenblatt RL, et al. Telomere Shortening in Familial and Sporadic Pulmonary Fibrosis. Am J Respir Crit Care Med. 2008 Oct 1;178(7):729–37. </w:t>
      </w:r>
    </w:p>
    <w:p w14:paraId="35D0A433"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lastRenderedPageBreak/>
        <w:t xml:space="preserve">46. </w:t>
      </w:r>
      <w:r w:rsidRPr="005C5BE9">
        <w:rPr>
          <w:rFonts w:ascii="Verdana" w:hAnsi="Verdana" w:cs="Times New Roman"/>
          <w:noProof/>
          <w:sz w:val="20"/>
          <w:szCs w:val="24"/>
        </w:rPr>
        <w:tab/>
        <w:t xml:space="preserve">Gable DL, Gaysinskaya V, Atik CC, Conover Talbot C, Kang B, Stanley SE, et al. ZCCHC8, the nuclear exosome targeting component, is mutated in familial pulmonary fibrosis and is required for telomerase RNA maturation. Genes Dev. 2019 Oct 1;33(19–20):1381–96. </w:t>
      </w:r>
    </w:p>
    <w:p w14:paraId="20381758" w14:textId="77777777" w:rsidR="005C5BE9" w:rsidRPr="005C5BE9" w:rsidRDefault="005C5BE9" w:rsidP="005C5BE9">
      <w:pPr>
        <w:widowControl w:val="0"/>
        <w:autoSpaceDE w:val="0"/>
        <w:autoSpaceDN w:val="0"/>
        <w:adjustRightInd w:val="0"/>
        <w:spacing w:line="240" w:lineRule="auto"/>
        <w:ind w:left="640" w:hanging="640"/>
        <w:rPr>
          <w:rFonts w:ascii="Verdana" w:hAnsi="Verdana" w:cs="Times New Roman"/>
          <w:noProof/>
          <w:sz w:val="20"/>
          <w:szCs w:val="24"/>
        </w:rPr>
      </w:pPr>
      <w:r w:rsidRPr="005C5BE9">
        <w:rPr>
          <w:rFonts w:ascii="Verdana" w:hAnsi="Verdana" w:cs="Times New Roman"/>
          <w:noProof/>
          <w:sz w:val="20"/>
          <w:szCs w:val="24"/>
        </w:rPr>
        <w:t xml:space="preserve">47. </w:t>
      </w:r>
      <w:r w:rsidRPr="005C5BE9">
        <w:rPr>
          <w:rFonts w:ascii="Verdana" w:hAnsi="Verdana" w:cs="Times New Roman"/>
          <w:noProof/>
          <w:sz w:val="20"/>
          <w:szCs w:val="24"/>
        </w:rPr>
        <w:tab/>
        <w:t xml:space="preserve">Groen K, van der Vis JJ, van Batenburg AA, Kazemier KM, de Bruijn MJW, Stadhouders R, et al. A new variant in the ZCCHC8 gene: diverse clinical phenotypes and expression in the lung. ERJ open Res. 2024 Jan 1;10(1). </w:t>
      </w:r>
    </w:p>
    <w:p w14:paraId="22E43D3F" w14:textId="77777777" w:rsidR="005C5BE9" w:rsidRPr="005C5BE9" w:rsidRDefault="005C5BE9" w:rsidP="005C5BE9">
      <w:pPr>
        <w:widowControl w:val="0"/>
        <w:autoSpaceDE w:val="0"/>
        <w:autoSpaceDN w:val="0"/>
        <w:adjustRightInd w:val="0"/>
        <w:spacing w:line="240" w:lineRule="auto"/>
        <w:ind w:left="640" w:hanging="640"/>
        <w:rPr>
          <w:rFonts w:ascii="Verdana" w:hAnsi="Verdana"/>
          <w:noProof/>
          <w:sz w:val="20"/>
        </w:rPr>
      </w:pPr>
      <w:r w:rsidRPr="005C5BE9">
        <w:rPr>
          <w:rFonts w:ascii="Verdana" w:hAnsi="Verdana" w:cs="Times New Roman"/>
          <w:noProof/>
          <w:sz w:val="20"/>
          <w:szCs w:val="24"/>
        </w:rPr>
        <w:t xml:space="preserve">48. </w:t>
      </w:r>
      <w:r w:rsidRPr="005C5BE9">
        <w:rPr>
          <w:rFonts w:ascii="Verdana" w:hAnsi="Verdana" w:cs="Times New Roman"/>
          <w:noProof/>
          <w:sz w:val="20"/>
          <w:szCs w:val="24"/>
        </w:rPr>
        <w:tab/>
        <w:t xml:space="preserve">Schratz KE, Haley L, Danoff SK, Blackford AL, DeZern AE, Gocke CD, et al. Cancer spectrum and outcomes in the Mendelian short telomere syndromes. Blood. 2020 May 28;135(22):1946–56. </w:t>
      </w:r>
    </w:p>
    <w:p w14:paraId="7BA12F38" w14:textId="1D289B8F" w:rsidR="003025A1" w:rsidRPr="00DA341F" w:rsidRDefault="00B912B1" w:rsidP="003025A1">
      <w:pPr>
        <w:widowControl w:val="0"/>
        <w:autoSpaceDE w:val="0"/>
        <w:autoSpaceDN w:val="0"/>
        <w:adjustRightInd w:val="0"/>
        <w:spacing w:line="240" w:lineRule="auto"/>
        <w:ind w:left="480" w:hanging="480"/>
        <w:rPr>
          <w:rFonts w:ascii="Verdana" w:hAnsi="Verdana" w:cstheme="minorHAnsi"/>
          <w:sz w:val="20"/>
          <w:szCs w:val="20"/>
          <w:lang w:val="en-US"/>
        </w:rPr>
      </w:pPr>
      <w:r w:rsidRPr="00DA341F">
        <w:rPr>
          <w:rFonts w:ascii="Verdana" w:hAnsi="Verdana" w:cstheme="minorHAnsi"/>
          <w:sz w:val="20"/>
          <w:szCs w:val="20"/>
          <w:lang w:val="en-US"/>
        </w:rPr>
        <w:fldChar w:fldCharType="end"/>
      </w:r>
    </w:p>
    <w:p w14:paraId="2368417E" w14:textId="14A264D7" w:rsidR="00667883" w:rsidRPr="00DA341F" w:rsidRDefault="00667883">
      <w:pPr>
        <w:rPr>
          <w:rFonts w:ascii="Verdana" w:hAnsi="Verdana" w:cs="Arial"/>
          <w:sz w:val="20"/>
          <w:szCs w:val="20"/>
          <w:lang w:val="en-US"/>
        </w:rPr>
      </w:pPr>
    </w:p>
    <w:sectPr w:rsidR="00667883" w:rsidRPr="00DA34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A64ECF"/>
    <w:multiLevelType w:val="hybridMultilevel"/>
    <w:tmpl w:val="246EF546"/>
    <w:lvl w:ilvl="0" w:tplc="04130001">
      <w:start w:val="1"/>
      <w:numFmt w:val="bullet"/>
      <w:lvlText w:val=""/>
      <w:lvlJc w:val="left"/>
      <w:pPr>
        <w:ind w:left="940" w:hanging="360"/>
      </w:pPr>
      <w:rPr>
        <w:rFonts w:ascii="Symbol" w:hAnsi="Symbol" w:hint="default"/>
      </w:rPr>
    </w:lvl>
    <w:lvl w:ilvl="1" w:tplc="04130003" w:tentative="1">
      <w:start w:val="1"/>
      <w:numFmt w:val="bullet"/>
      <w:lvlText w:val="o"/>
      <w:lvlJc w:val="left"/>
      <w:pPr>
        <w:ind w:left="1660" w:hanging="360"/>
      </w:pPr>
      <w:rPr>
        <w:rFonts w:ascii="Courier New" w:hAnsi="Courier New" w:cs="Courier New" w:hint="default"/>
      </w:rPr>
    </w:lvl>
    <w:lvl w:ilvl="2" w:tplc="04130005" w:tentative="1">
      <w:start w:val="1"/>
      <w:numFmt w:val="bullet"/>
      <w:lvlText w:val=""/>
      <w:lvlJc w:val="left"/>
      <w:pPr>
        <w:ind w:left="2380" w:hanging="360"/>
      </w:pPr>
      <w:rPr>
        <w:rFonts w:ascii="Wingdings" w:hAnsi="Wingdings" w:hint="default"/>
      </w:rPr>
    </w:lvl>
    <w:lvl w:ilvl="3" w:tplc="04130001" w:tentative="1">
      <w:start w:val="1"/>
      <w:numFmt w:val="bullet"/>
      <w:lvlText w:val=""/>
      <w:lvlJc w:val="left"/>
      <w:pPr>
        <w:ind w:left="3100" w:hanging="360"/>
      </w:pPr>
      <w:rPr>
        <w:rFonts w:ascii="Symbol" w:hAnsi="Symbol" w:hint="default"/>
      </w:rPr>
    </w:lvl>
    <w:lvl w:ilvl="4" w:tplc="04130003" w:tentative="1">
      <w:start w:val="1"/>
      <w:numFmt w:val="bullet"/>
      <w:lvlText w:val="o"/>
      <w:lvlJc w:val="left"/>
      <w:pPr>
        <w:ind w:left="3820" w:hanging="360"/>
      </w:pPr>
      <w:rPr>
        <w:rFonts w:ascii="Courier New" w:hAnsi="Courier New" w:cs="Courier New" w:hint="default"/>
      </w:rPr>
    </w:lvl>
    <w:lvl w:ilvl="5" w:tplc="04130005" w:tentative="1">
      <w:start w:val="1"/>
      <w:numFmt w:val="bullet"/>
      <w:lvlText w:val=""/>
      <w:lvlJc w:val="left"/>
      <w:pPr>
        <w:ind w:left="4540" w:hanging="360"/>
      </w:pPr>
      <w:rPr>
        <w:rFonts w:ascii="Wingdings" w:hAnsi="Wingdings" w:hint="default"/>
      </w:rPr>
    </w:lvl>
    <w:lvl w:ilvl="6" w:tplc="04130001" w:tentative="1">
      <w:start w:val="1"/>
      <w:numFmt w:val="bullet"/>
      <w:lvlText w:val=""/>
      <w:lvlJc w:val="left"/>
      <w:pPr>
        <w:ind w:left="5260" w:hanging="360"/>
      </w:pPr>
      <w:rPr>
        <w:rFonts w:ascii="Symbol" w:hAnsi="Symbol" w:hint="default"/>
      </w:rPr>
    </w:lvl>
    <w:lvl w:ilvl="7" w:tplc="04130003" w:tentative="1">
      <w:start w:val="1"/>
      <w:numFmt w:val="bullet"/>
      <w:lvlText w:val="o"/>
      <w:lvlJc w:val="left"/>
      <w:pPr>
        <w:ind w:left="5980" w:hanging="360"/>
      </w:pPr>
      <w:rPr>
        <w:rFonts w:ascii="Courier New" w:hAnsi="Courier New" w:cs="Courier New" w:hint="default"/>
      </w:rPr>
    </w:lvl>
    <w:lvl w:ilvl="8" w:tplc="04130005" w:tentative="1">
      <w:start w:val="1"/>
      <w:numFmt w:val="bullet"/>
      <w:lvlText w:val=""/>
      <w:lvlJc w:val="left"/>
      <w:pPr>
        <w:ind w:left="67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883"/>
    <w:rsid w:val="000052DE"/>
    <w:rsid w:val="0001465D"/>
    <w:rsid w:val="00023260"/>
    <w:rsid w:val="00030E84"/>
    <w:rsid w:val="00034782"/>
    <w:rsid w:val="00040633"/>
    <w:rsid w:val="000861DD"/>
    <w:rsid w:val="000A6B74"/>
    <w:rsid w:val="000B35DD"/>
    <w:rsid w:val="000B4AD5"/>
    <w:rsid w:val="000B5ADC"/>
    <w:rsid w:val="000B6E06"/>
    <w:rsid w:val="000C1F63"/>
    <w:rsid w:val="0013138A"/>
    <w:rsid w:val="00133696"/>
    <w:rsid w:val="00156FBA"/>
    <w:rsid w:val="001700FA"/>
    <w:rsid w:val="00177D01"/>
    <w:rsid w:val="001838E4"/>
    <w:rsid w:val="001A7823"/>
    <w:rsid w:val="001C5B94"/>
    <w:rsid w:val="001D1BF3"/>
    <w:rsid w:val="001D47B0"/>
    <w:rsid w:val="001E10DA"/>
    <w:rsid w:val="001F59A5"/>
    <w:rsid w:val="001F796A"/>
    <w:rsid w:val="00202A5F"/>
    <w:rsid w:val="00247FBA"/>
    <w:rsid w:val="002562FB"/>
    <w:rsid w:val="002613CF"/>
    <w:rsid w:val="00271FB8"/>
    <w:rsid w:val="00284483"/>
    <w:rsid w:val="002C565B"/>
    <w:rsid w:val="002C710C"/>
    <w:rsid w:val="002F438E"/>
    <w:rsid w:val="002F565A"/>
    <w:rsid w:val="00302192"/>
    <w:rsid w:val="003025A1"/>
    <w:rsid w:val="0030572A"/>
    <w:rsid w:val="00326C79"/>
    <w:rsid w:val="00333A30"/>
    <w:rsid w:val="00337297"/>
    <w:rsid w:val="003406BA"/>
    <w:rsid w:val="00361084"/>
    <w:rsid w:val="00361B89"/>
    <w:rsid w:val="00375083"/>
    <w:rsid w:val="003872D7"/>
    <w:rsid w:val="00395513"/>
    <w:rsid w:val="003A78C0"/>
    <w:rsid w:val="003C1447"/>
    <w:rsid w:val="003E1C24"/>
    <w:rsid w:val="00407B25"/>
    <w:rsid w:val="00415CAD"/>
    <w:rsid w:val="0044377D"/>
    <w:rsid w:val="00444383"/>
    <w:rsid w:val="004564AF"/>
    <w:rsid w:val="004611E3"/>
    <w:rsid w:val="004679E5"/>
    <w:rsid w:val="004839A1"/>
    <w:rsid w:val="00493B9B"/>
    <w:rsid w:val="004C4A74"/>
    <w:rsid w:val="004E47D6"/>
    <w:rsid w:val="004F3519"/>
    <w:rsid w:val="004F3B6E"/>
    <w:rsid w:val="004F7676"/>
    <w:rsid w:val="00505F4D"/>
    <w:rsid w:val="00515E3A"/>
    <w:rsid w:val="005174C0"/>
    <w:rsid w:val="00527486"/>
    <w:rsid w:val="0053132B"/>
    <w:rsid w:val="00550783"/>
    <w:rsid w:val="00567A67"/>
    <w:rsid w:val="005937A4"/>
    <w:rsid w:val="005C5BE9"/>
    <w:rsid w:val="005D06C4"/>
    <w:rsid w:val="005D10EF"/>
    <w:rsid w:val="005F71B9"/>
    <w:rsid w:val="0060159F"/>
    <w:rsid w:val="0061142C"/>
    <w:rsid w:val="006140CB"/>
    <w:rsid w:val="00663837"/>
    <w:rsid w:val="00667883"/>
    <w:rsid w:val="00672D98"/>
    <w:rsid w:val="006839C2"/>
    <w:rsid w:val="006A3207"/>
    <w:rsid w:val="006E42E0"/>
    <w:rsid w:val="006F00A4"/>
    <w:rsid w:val="007074EF"/>
    <w:rsid w:val="007345F8"/>
    <w:rsid w:val="00741A33"/>
    <w:rsid w:val="00776018"/>
    <w:rsid w:val="00787E86"/>
    <w:rsid w:val="008039C6"/>
    <w:rsid w:val="00821415"/>
    <w:rsid w:val="00826334"/>
    <w:rsid w:val="008556BD"/>
    <w:rsid w:val="0085745C"/>
    <w:rsid w:val="008A1301"/>
    <w:rsid w:val="008B0858"/>
    <w:rsid w:val="008B2F51"/>
    <w:rsid w:val="008C1D0D"/>
    <w:rsid w:val="008C2E80"/>
    <w:rsid w:val="00902878"/>
    <w:rsid w:val="00913374"/>
    <w:rsid w:val="00914CC8"/>
    <w:rsid w:val="00951ADB"/>
    <w:rsid w:val="00953EE3"/>
    <w:rsid w:val="00983144"/>
    <w:rsid w:val="00985D1D"/>
    <w:rsid w:val="009A13CD"/>
    <w:rsid w:val="009C0FD1"/>
    <w:rsid w:val="009C5DF5"/>
    <w:rsid w:val="009D11D2"/>
    <w:rsid w:val="009D4192"/>
    <w:rsid w:val="00A1387A"/>
    <w:rsid w:val="00A30FA2"/>
    <w:rsid w:val="00A36D95"/>
    <w:rsid w:val="00A47F16"/>
    <w:rsid w:val="00A77D88"/>
    <w:rsid w:val="00A812B4"/>
    <w:rsid w:val="00A82A54"/>
    <w:rsid w:val="00A870EC"/>
    <w:rsid w:val="00A90576"/>
    <w:rsid w:val="00A92C2A"/>
    <w:rsid w:val="00A93AE8"/>
    <w:rsid w:val="00AA15D6"/>
    <w:rsid w:val="00AA2293"/>
    <w:rsid w:val="00AA3ABE"/>
    <w:rsid w:val="00AB46CB"/>
    <w:rsid w:val="00AB6B1D"/>
    <w:rsid w:val="00AD07DC"/>
    <w:rsid w:val="00AE2142"/>
    <w:rsid w:val="00AE434C"/>
    <w:rsid w:val="00AF1E33"/>
    <w:rsid w:val="00AF2B2B"/>
    <w:rsid w:val="00B014D7"/>
    <w:rsid w:val="00B122DB"/>
    <w:rsid w:val="00B16B22"/>
    <w:rsid w:val="00B24549"/>
    <w:rsid w:val="00B3685A"/>
    <w:rsid w:val="00B41EFE"/>
    <w:rsid w:val="00B50900"/>
    <w:rsid w:val="00B52CD2"/>
    <w:rsid w:val="00B912B1"/>
    <w:rsid w:val="00B9521C"/>
    <w:rsid w:val="00BA0A24"/>
    <w:rsid w:val="00BA3068"/>
    <w:rsid w:val="00BA6AB3"/>
    <w:rsid w:val="00BD18B5"/>
    <w:rsid w:val="00BD19B1"/>
    <w:rsid w:val="00BE70D5"/>
    <w:rsid w:val="00C14EA4"/>
    <w:rsid w:val="00C15717"/>
    <w:rsid w:val="00C23BD8"/>
    <w:rsid w:val="00C62333"/>
    <w:rsid w:val="00C62DC9"/>
    <w:rsid w:val="00C7767B"/>
    <w:rsid w:val="00C97B14"/>
    <w:rsid w:val="00CA180A"/>
    <w:rsid w:val="00CA209F"/>
    <w:rsid w:val="00CB0697"/>
    <w:rsid w:val="00CF1E5B"/>
    <w:rsid w:val="00D117EE"/>
    <w:rsid w:val="00D13EEB"/>
    <w:rsid w:val="00D26819"/>
    <w:rsid w:val="00D42724"/>
    <w:rsid w:val="00D4354C"/>
    <w:rsid w:val="00D5413C"/>
    <w:rsid w:val="00D57580"/>
    <w:rsid w:val="00D7133D"/>
    <w:rsid w:val="00D939D2"/>
    <w:rsid w:val="00DA341F"/>
    <w:rsid w:val="00DB0D1B"/>
    <w:rsid w:val="00DC1ECC"/>
    <w:rsid w:val="00DD47B9"/>
    <w:rsid w:val="00DF2E70"/>
    <w:rsid w:val="00E02505"/>
    <w:rsid w:val="00E02DA9"/>
    <w:rsid w:val="00E13FF4"/>
    <w:rsid w:val="00E14BC1"/>
    <w:rsid w:val="00E329E2"/>
    <w:rsid w:val="00E3326A"/>
    <w:rsid w:val="00E46225"/>
    <w:rsid w:val="00E67961"/>
    <w:rsid w:val="00E734D2"/>
    <w:rsid w:val="00E86AD9"/>
    <w:rsid w:val="00E87F04"/>
    <w:rsid w:val="00EA0DF7"/>
    <w:rsid w:val="00EA752B"/>
    <w:rsid w:val="00EC3522"/>
    <w:rsid w:val="00EC383D"/>
    <w:rsid w:val="00EE38DD"/>
    <w:rsid w:val="00EF103B"/>
    <w:rsid w:val="00EF1EF8"/>
    <w:rsid w:val="00EF2378"/>
    <w:rsid w:val="00EF2FDB"/>
    <w:rsid w:val="00EF5A1C"/>
    <w:rsid w:val="00F00692"/>
    <w:rsid w:val="00F008F1"/>
    <w:rsid w:val="00F12A58"/>
    <w:rsid w:val="00F25579"/>
    <w:rsid w:val="00F26621"/>
    <w:rsid w:val="00F40DC4"/>
    <w:rsid w:val="00F47FAD"/>
    <w:rsid w:val="00F50284"/>
    <w:rsid w:val="00F56D06"/>
    <w:rsid w:val="00F67B51"/>
    <w:rsid w:val="00F93E27"/>
    <w:rsid w:val="00FC03F8"/>
    <w:rsid w:val="00FD0072"/>
    <w:rsid w:val="00FD050F"/>
    <w:rsid w:val="00FD2E72"/>
    <w:rsid w:val="00FE03D5"/>
    <w:rsid w:val="00FE47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C68"/>
  <w15:chartTrackingRefBased/>
  <w15:docId w15:val="{96248177-C63A-42B3-8187-7E7C53A8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D419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D4192"/>
    <w:rPr>
      <w:rFonts w:ascii="Segoe UI" w:hAnsi="Segoe UI" w:cs="Segoe UI"/>
      <w:sz w:val="18"/>
      <w:szCs w:val="18"/>
      <w:lang w:val="en-GB"/>
    </w:rPr>
  </w:style>
  <w:style w:type="paragraph" w:styleId="Revisie">
    <w:name w:val="Revision"/>
    <w:hidden/>
    <w:uiPriority w:val="99"/>
    <w:semiHidden/>
    <w:rsid w:val="00A36D95"/>
    <w:pPr>
      <w:spacing w:after="0" w:line="240" w:lineRule="auto"/>
    </w:pPr>
    <w:rPr>
      <w:lang w:val="en-GB"/>
    </w:rPr>
  </w:style>
  <w:style w:type="character" w:styleId="Hyperlink">
    <w:name w:val="Hyperlink"/>
    <w:basedOn w:val="Standaardalinea-lettertype"/>
    <w:uiPriority w:val="99"/>
    <w:semiHidden/>
    <w:unhideWhenUsed/>
    <w:rsid w:val="00741A33"/>
    <w:rPr>
      <w:color w:val="0563C1"/>
      <w:u w:val="single"/>
    </w:rPr>
  </w:style>
  <w:style w:type="character" w:styleId="GevolgdeHyperlink">
    <w:name w:val="FollowedHyperlink"/>
    <w:basedOn w:val="Standaardalinea-lettertype"/>
    <w:uiPriority w:val="99"/>
    <w:semiHidden/>
    <w:unhideWhenUsed/>
    <w:rsid w:val="00741A33"/>
    <w:rPr>
      <w:color w:val="954F72"/>
      <w:u w:val="single"/>
    </w:rPr>
  </w:style>
  <w:style w:type="paragraph" w:customStyle="1" w:styleId="msonormal0">
    <w:name w:val="msonormal"/>
    <w:basedOn w:val="Standaard"/>
    <w:rsid w:val="00741A3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font0">
    <w:name w:val="font0"/>
    <w:basedOn w:val="Standaard"/>
    <w:rsid w:val="00741A33"/>
    <w:pPr>
      <w:spacing w:before="100" w:beforeAutospacing="1" w:after="100" w:afterAutospacing="1" w:line="240" w:lineRule="auto"/>
    </w:pPr>
    <w:rPr>
      <w:rFonts w:ascii="Arial" w:eastAsia="Times New Roman" w:hAnsi="Arial" w:cs="Arial"/>
      <w:color w:val="000000"/>
      <w:sz w:val="20"/>
      <w:szCs w:val="20"/>
      <w:lang w:val="nl-NL" w:eastAsia="nl-NL"/>
    </w:rPr>
  </w:style>
  <w:style w:type="paragraph" w:customStyle="1" w:styleId="font5">
    <w:name w:val="font5"/>
    <w:basedOn w:val="Standaard"/>
    <w:rsid w:val="00741A33"/>
    <w:pPr>
      <w:spacing w:before="100" w:beforeAutospacing="1" w:after="100" w:afterAutospacing="1" w:line="240" w:lineRule="auto"/>
    </w:pPr>
    <w:rPr>
      <w:rFonts w:ascii="Arial" w:eastAsia="Times New Roman" w:hAnsi="Arial" w:cs="Arial"/>
      <w:color w:val="000000"/>
      <w:sz w:val="20"/>
      <w:szCs w:val="20"/>
      <w:lang w:val="nl-NL" w:eastAsia="nl-NL"/>
    </w:rPr>
  </w:style>
  <w:style w:type="paragraph" w:customStyle="1" w:styleId="font6">
    <w:name w:val="font6"/>
    <w:basedOn w:val="Standaard"/>
    <w:rsid w:val="00741A33"/>
    <w:pPr>
      <w:spacing w:before="100" w:beforeAutospacing="1" w:after="100" w:afterAutospacing="1" w:line="240" w:lineRule="auto"/>
    </w:pPr>
    <w:rPr>
      <w:rFonts w:ascii="Arial" w:eastAsia="Times New Roman" w:hAnsi="Arial" w:cs="Arial"/>
      <w:i/>
      <w:iCs/>
      <w:color w:val="000000"/>
      <w:sz w:val="20"/>
      <w:szCs w:val="20"/>
      <w:lang w:val="nl-NL" w:eastAsia="nl-NL"/>
    </w:rPr>
  </w:style>
  <w:style w:type="paragraph" w:customStyle="1" w:styleId="xl66">
    <w:name w:val="xl66"/>
    <w:basedOn w:val="Standaard"/>
    <w:rsid w:val="00741A33"/>
    <w:pPr>
      <w:spacing w:before="100" w:beforeAutospacing="1" w:after="100" w:afterAutospacing="1" w:line="240" w:lineRule="auto"/>
      <w:jc w:val="center"/>
    </w:pPr>
    <w:rPr>
      <w:rFonts w:ascii="Times New Roman" w:eastAsia="Times New Roman" w:hAnsi="Times New Roman" w:cs="Times New Roman"/>
      <w:sz w:val="24"/>
      <w:szCs w:val="24"/>
      <w:lang w:val="nl-NL" w:eastAsia="nl-NL"/>
    </w:rPr>
  </w:style>
  <w:style w:type="paragraph" w:customStyle="1" w:styleId="xl67">
    <w:name w:val="xl67"/>
    <w:basedOn w:val="Standaard"/>
    <w:rsid w:val="00741A3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68">
    <w:name w:val="xl68"/>
    <w:basedOn w:val="Standaard"/>
    <w:rsid w:val="00741A33"/>
    <w:pPr>
      <w:spacing w:before="100" w:beforeAutospacing="1" w:after="100" w:afterAutospacing="1" w:line="240" w:lineRule="auto"/>
    </w:pPr>
    <w:rPr>
      <w:rFonts w:ascii="Times New Roman" w:eastAsia="Times New Roman" w:hAnsi="Times New Roman" w:cs="Times New Roman"/>
      <w:i/>
      <w:iCs/>
      <w:sz w:val="24"/>
      <w:szCs w:val="24"/>
      <w:lang w:val="nl-NL" w:eastAsia="nl-NL"/>
    </w:rPr>
  </w:style>
  <w:style w:type="paragraph" w:customStyle="1" w:styleId="xl69">
    <w:name w:val="xl69"/>
    <w:basedOn w:val="Standaard"/>
    <w:rsid w:val="00741A33"/>
    <w:pPr>
      <w:spacing w:before="100" w:beforeAutospacing="1" w:after="100" w:afterAutospacing="1" w:line="240" w:lineRule="auto"/>
      <w:textAlignment w:val="center"/>
    </w:pPr>
    <w:rPr>
      <w:rFonts w:ascii="Times New Roman" w:eastAsia="Times New Roman" w:hAnsi="Times New Roman" w:cs="Times New Roman"/>
      <w:sz w:val="24"/>
      <w:szCs w:val="24"/>
      <w:lang w:val="nl-NL" w:eastAsia="nl-NL"/>
    </w:rPr>
  </w:style>
  <w:style w:type="paragraph" w:customStyle="1" w:styleId="xl70">
    <w:name w:val="xl70"/>
    <w:basedOn w:val="Standaard"/>
    <w:rsid w:val="00741A33"/>
    <w:pPr>
      <w:pBdr>
        <w:lef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val="nl-NL" w:eastAsia="nl-NL"/>
    </w:rPr>
  </w:style>
  <w:style w:type="paragraph" w:customStyle="1" w:styleId="xl71">
    <w:name w:val="xl71"/>
    <w:basedOn w:val="Standaard"/>
    <w:rsid w:val="00741A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i/>
      <w:iCs/>
      <w:sz w:val="24"/>
      <w:szCs w:val="24"/>
      <w:lang w:val="nl-NL" w:eastAsia="nl-NL"/>
    </w:rPr>
  </w:style>
  <w:style w:type="paragraph" w:customStyle="1" w:styleId="xl72">
    <w:name w:val="xl72"/>
    <w:basedOn w:val="Standaard"/>
    <w:rsid w:val="00741A33"/>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73">
    <w:name w:val="xl73"/>
    <w:basedOn w:val="Standaard"/>
    <w:rsid w:val="00741A33"/>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nl-NL" w:eastAsia="nl-NL"/>
    </w:rPr>
  </w:style>
  <w:style w:type="paragraph" w:customStyle="1" w:styleId="xl74">
    <w:name w:val="xl74"/>
    <w:basedOn w:val="Standaard"/>
    <w:rsid w:val="00741A33"/>
    <w:pPr>
      <w:pBdr>
        <w:top w:val="single" w:sz="4" w:space="0" w:color="auto"/>
        <w:left w:val="single" w:sz="4" w:space="0" w:color="auto"/>
        <w:bottom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75">
    <w:name w:val="xl75"/>
    <w:basedOn w:val="Standaard"/>
    <w:rsid w:val="00741A33"/>
    <w:pPr>
      <w:pBdr>
        <w:top w:val="single" w:sz="4" w:space="0" w:color="auto"/>
        <w:bottom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76">
    <w:name w:val="xl76"/>
    <w:basedOn w:val="Standaard"/>
    <w:rsid w:val="00741A33"/>
    <w:pPr>
      <w:pBdr>
        <w:top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nl-NL" w:eastAsia="nl-NL"/>
    </w:rPr>
  </w:style>
  <w:style w:type="paragraph" w:customStyle="1" w:styleId="xl77">
    <w:name w:val="xl77"/>
    <w:basedOn w:val="Standaard"/>
    <w:rsid w:val="00741A33"/>
    <w:pPr>
      <w:pBdr>
        <w:lef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i/>
      <w:iCs/>
      <w:sz w:val="24"/>
      <w:szCs w:val="24"/>
      <w:lang w:val="nl-NL" w:eastAsia="nl-NL"/>
    </w:rPr>
  </w:style>
  <w:style w:type="paragraph" w:customStyle="1" w:styleId="xl78">
    <w:name w:val="xl78"/>
    <w:basedOn w:val="Standaard"/>
    <w:rsid w:val="00741A33"/>
    <w:pP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79">
    <w:name w:val="xl79"/>
    <w:basedOn w:val="Standaard"/>
    <w:rsid w:val="00741A33"/>
    <w:pP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nl-NL" w:eastAsia="nl-NL"/>
    </w:rPr>
  </w:style>
  <w:style w:type="paragraph" w:customStyle="1" w:styleId="xl80">
    <w:name w:val="xl80"/>
    <w:basedOn w:val="Standaard"/>
    <w:rsid w:val="00741A33"/>
    <w:pPr>
      <w:pBdr>
        <w:left w:val="single" w:sz="4" w:space="0" w:color="auto"/>
        <w:bottom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i/>
      <w:iCs/>
      <w:sz w:val="24"/>
      <w:szCs w:val="24"/>
      <w:lang w:val="nl-NL" w:eastAsia="nl-NL"/>
    </w:rPr>
  </w:style>
  <w:style w:type="paragraph" w:customStyle="1" w:styleId="xl81">
    <w:name w:val="xl81"/>
    <w:basedOn w:val="Standaard"/>
    <w:rsid w:val="00741A33"/>
    <w:pPr>
      <w:pBdr>
        <w:bottom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82">
    <w:name w:val="xl82"/>
    <w:basedOn w:val="Standaard"/>
    <w:rsid w:val="00741A33"/>
    <w:pPr>
      <w:pBdr>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nl-NL" w:eastAsia="nl-NL"/>
    </w:rPr>
  </w:style>
  <w:style w:type="paragraph" w:customStyle="1" w:styleId="xl83">
    <w:name w:val="xl83"/>
    <w:basedOn w:val="Standaard"/>
    <w:rsid w:val="00741A33"/>
    <w:pPr>
      <w:pBdr>
        <w:bottom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85">
    <w:name w:val="xl85"/>
    <w:basedOn w:val="Standaard"/>
    <w:rsid w:val="00741A33"/>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86">
    <w:name w:val="xl86"/>
    <w:basedOn w:val="Standaard"/>
    <w:rsid w:val="00741A33"/>
    <w:pPr>
      <w:pBdr>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87">
    <w:name w:val="xl87"/>
    <w:basedOn w:val="Standaard"/>
    <w:rsid w:val="00741A33"/>
    <w:pPr>
      <w:pBdr>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88">
    <w:name w:val="xl88"/>
    <w:basedOn w:val="Standaard"/>
    <w:rsid w:val="00741A33"/>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89">
    <w:name w:val="xl89"/>
    <w:basedOn w:val="Standaard"/>
    <w:rsid w:val="00741A33"/>
    <w:pPr>
      <w:pBdr>
        <w:top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Verwijzingopmerking">
    <w:name w:val="annotation reference"/>
    <w:basedOn w:val="Standaardalinea-lettertype"/>
    <w:uiPriority w:val="99"/>
    <w:semiHidden/>
    <w:unhideWhenUsed/>
    <w:rsid w:val="00663837"/>
    <w:rPr>
      <w:sz w:val="16"/>
      <w:szCs w:val="16"/>
    </w:rPr>
  </w:style>
  <w:style w:type="paragraph" w:styleId="Tekstopmerking">
    <w:name w:val="annotation text"/>
    <w:basedOn w:val="Standaard"/>
    <w:link w:val="TekstopmerkingChar"/>
    <w:uiPriority w:val="99"/>
    <w:semiHidden/>
    <w:unhideWhenUsed/>
    <w:rsid w:val="0066383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63837"/>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663837"/>
    <w:rPr>
      <w:b/>
      <w:bCs/>
    </w:rPr>
  </w:style>
  <w:style w:type="character" w:customStyle="1" w:styleId="OnderwerpvanopmerkingChar">
    <w:name w:val="Onderwerp van opmerking Char"/>
    <w:basedOn w:val="TekstopmerkingChar"/>
    <w:link w:val="Onderwerpvanopmerking"/>
    <w:uiPriority w:val="99"/>
    <w:semiHidden/>
    <w:rsid w:val="00663837"/>
    <w:rPr>
      <w:b/>
      <w:bCs/>
      <w:sz w:val="20"/>
      <w:szCs w:val="20"/>
      <w:lang w:val="en-GB"/>
    </w:rPr>
  </w:style>
  <w:style w:type="paragraph" w:styleId="Lijstalinea">
    <w:name w:val="List Paragraph"/>
    <w:basedOn w:val="Standaard"/>
    <w:uiPriority w:val="34"/>
    <w:qFormat/>
    <w:rsid w:val="00B41EFE"/>
    <w:pPr>
      <w:ind w:left="720"/>
      <w:contextualSpacing/>
    </w:pPr>
  </w:style>
  <w:style w:type="paragraph" w:customStyle="1" w:styleId="u-mb-24">
    <w:name w:val="u-mb-24"/>
    <w:basedOn w:val="Standaard"/>
    <w:rsid w:val="00F56D06"/>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07627">
      <w:bodyDiv w:val="1"/>
      <w:marLeft w:val="0"/>
      <w:marRight w:val="0"/>
      <w:marTop w:val="0"/>
      <w:marBottom w:val="0"/>
      <w:divBdr>
        <w:top w:val="none" w:sz="0" w:space="0" w:color="auto"/>
        <w:left w:val="none" w:sz="0" w:space="0" w:color="auto"/>
        <w:bottom w:val="none" w:sz="0" w:space="0" w:color="auto"/>
        <w:right w:val="none" w:sz="0" w:space="0" w:color="auto"/>
      </w:divBdr>
    </w:div>
    <w:div w:id="72237945">
      <w:bodyDiv w:val="1"/>
      <w:marLeft w:val="0"/>
      <w:marRight w:val="0"/>
      <w:marTop w:val="0"/>
      <w:marBottom w:val="0"/>
      <w:divBdr>
        <w:top w:val="none" w:sz="0" w:space="0" w:color="auto"/>
        <w:left w:val="none" w:sz="0" w:space="0" w:color="auto"/>
        <w:bottom w:val="none" w:sz="0" w:space="0" w:color="auto"/>
        <w:right w:val="none" w:sz="0" w:space="0" w:color="auto"/>
      </w:divBdr>
    </w:div>
    <w:div w:id="191234226">
      <w:bodyDiv w:val="1"/>
      <w:marLeft w:val="0"/>
      <w:marRight w:val="0"/>
      <w:marTop w:val="0"/>
      <w:marBottom w:val="0"/>
      <w:divBdr>
        <w:top w:val="none" w:sz="0" w:space="0" w:color="auto"/>
        <w:left w:val="none" w:sz="0" w:space="0" w:color="auto"/>
        <w:bottom w:val="none" w:sz="0" w:space="0" w:color="auto"/>
        <w:right w:val="none" w:sz="0" w:space="0" w:color="auto"/>
      </w:divBdr>
    </w:div>
    <w:div w:id="196964853">
      <w:bodyDiv w:val="1"/>
      <w:marLeft w:val="0"/>
      <w:marRight w:val="0"/>
      <w:marTop w:val="0"/>
      <w:marBottom w:val="0"/>
      <w:divBdr>
        <w:top w:val="none" w:sz="0" w:space="0" w:color="auto"/>
        <w:left w:val="none" w:sz="0" w:space="0" w:color="auto"/>
        <w:bottom w:val="none" w:sz="0" w:space="0" w:color="auto"/>
        <w:right w:val="none" w:sz="0" w:space="0" w:color="auto"/>
      </w:divBdr>
    </w:div>
    <w:div w:id="362487508">
      <w:bodyDiv w:val="1"/>
      <w:marLeft w:val="0"/>
      <w:marRight w:val="0"/>
      <w:marTop w:val="0"/>
      <w:marBottom w:val="0"/>
      <w:divBdr>
        <w:top w:val="none" w:sz="0" w:space="0" w:color="auto"/>
        <w:left w:val="none" w:sz="0" w:space="0" w:color="auto"/>
        <w:bottom w:val="none" w:sz="0" w:space="0" w:color="auto"/>
        <w:right w:val="none" w:sz="0" w:space="0" w:color="auto"/>
      </w:divBdr>
    </w:div>
    <w:div w:id="401561110">
      <w:bodyDiv w:val="1"/>
      <w:marLeft w:val="0"/>
      <w:marRight w:val="0"/>
      <w:marTop w:val="0"/>
      <w:marBottom w:val="0"/>
      <w:divBdr>
        <w:top w:val="none" w:sz="0" w:space="0" w:color="auto"/>
        <w:left w:val="none" w:sz="0" w:space="0" w:color="auto"/>
        <w:bottom w:val="none" w:sz="0" w:space="0" w:color="auto"/>
        <w:right w:val="none" w:sz="0" w:space="0" w:color="auto"/>
      </w:divBdr>
    </w:div>
    <w:div w:id="650643163">
      <w:bodyDiv w:val="1"/>
      <w:marLeft w:val="0"/>
      <w:marRight w:val="0"/>
      <w:marTop w:val="0"/>
      <w:marBottom w:val="0"/>
      <w:divBdr>
        <w:top w:val="none" w:sz="0" w:space="0" w:color="auto"/>
        <w:left w:val="none" w:sz="0" w:space="0" w:color="auto"/>
        <w:bottom w:val="none" w:sz="0" w:space="0" w:color="auto"/>
        <w:right w:val="none" w:sz="0" w:space="0" w:color="auto"/>
      </w:divBdr>
    </w:div>
    <w:div w:id="914820088">
      <w:bodyDiv w:val="1"/>
      <w:marLeft w:val="0"/>
      <w:marRight w:val="0"/>
      <w:marTop w:val="0"/>
      <w:marBottom w:val="0"/>
      <w:divBdr>
        <w:top w:val="none" w:sz="0" w:space="0" w:color="auto"/>
        <w:left w:val="none" w:sz="0" w:space="0" w:color="auto"/>
        <w:bottom w:val="none" w:sz="0" w:space="0" w:color="auto"/>
        <w:right w:val="none" w:sz="0" w:space="0" w:color="auto"/>
      </w:divBdr>
    </w:div>
    <w:div w:id="927227002">
      <w:bodyDiv w:val="1"/>
      <w:marLeft w:val="0"/>
      <w:marRight w:val="0"/>
      <w:marTop w:val="0"/>
      <w:marBottom w:val="0"/>
      <w:divBdr>
        <w:top w:val="none" w:sz="0" w:space="0" w:color="auto"/>
        <w:left w:val="none" w:sz="0" w:space="0" w:color="auto"/>
        <w:bottom w:val="none" w:sz="0" w:space="0" w:color="auto"/>
        <w:right w:val="none" w:sz="0" w:space="0" w:color="auto"/>
      </w:divBdr>
    </w:div>
    <w:div w:id="987324126">
      <w:bodyDiv w:val="1"/>
      <w:marLeft w:val="0"/>
      <w:marRight w:val="0"/>
      <w:marTop w:val="0"/>
      <w:marBottom w:val="0"/>
      <w:divBdr>
        <w:top w:val="none" w:sz="0" w:space="0" w:color="auto"/>
        <w:left w:val="none" w:sz="0" w:space="0" w:color="auto"/>
        <w:bottom w:val="none" w:sz="0" w:space="0" w:color="auto"/>
        <w:right w:val="none" w:sz="0" w:space="0" w:color="auto"/>
      </w:divBdr>
    </w:div>
    <w:div w:id="1068380700">
      <w:bodyDiv w:val="1"/>
      <w:marLeft w:val="0"/>
      <w:marRight w:val="0"/>
      <w:marTop w:val="0"/>
      <w:marBottom w:val="0"/>
      <w:divBdr>
        <w:top w:val="none" w:sz="0" w:space="0" w:color="auto"/>
        <w:left w:val="none" w:sz="0" w:space="0" w:color="auto"/>
        <w:bottom w:val="none" w:sz="0" w:space="0" w:color="auto"/>
        <w:right w:val="none" w:sz="0" w:space="0" w:color="auto"/>
      </w:divBdr>
    </w:div>
    <w:div w:id="1100835675">
      <w:bodyDiv w:val="1"/>
      <w:marLeft w:val="0"/>
      <w:marRight w:val="0"/>
      <w:marTop w:val="0"/>
      <w:marBottom w:val="0"/>
      <w:divBdr>
        <w:top w:val="none" w:sz="0" w:space="0" w:color="auto"/>
        <w:left w:val="none" w:sz="0" w:space="0" w:color="auto"/>
        <w:bottom w:val="none" w:sz="0" w:space="0" w:color="auto"/>
        <w:right w:val="none" w:sz="0" w:space="0" w:color="auto"/>
      </w:divBdr>
    </w:div>
    <w:div w:id="1138649343">
      <w:bodyDiv w:val="1"/>
      <w:marLeft w:val="0"/>
      <w:marRight w:val="0"/>
      <w:marTop w:val="0"/>
      <w:marBottom w:val="0"/>
      <w:divBdr>
        <w:top w:val="none" w:sz="0" w:space="0" w:color="auto"/>
        <w:left w:val="none" w:sz="0" w:space="0" w:color="auto"/>
        <w:bottom w:val="none" w:sz="0" w:space="0" w:color="auto"/>
        <w:right w:val="none" w:sz="0" w:space="0" w:color="auto"/>
      </w:divBdr>
    </w:div>
    <w:div w:id="1188520066">
      <w:bodyDiv w:val="1"/>
      <w:marLeft w:val="0"/>
      <w:marRight w:val="0"/>
      <w:marTop w:val="0"/>
      <w:marBottom w:val="0"/>
      <w:divBdr>
        <w:top w:val="none" w:sz="0" w:space="0" w:color="auto"/>
        <w:left w:val="none" w:sz="0" w:space="0" w:color="auto"/>
        <w:bottom w:val="none" w:sz="0" w:space="0" w:color="auto"/>
        <w:right w:val="none" w:sz="0" w:space="0" w:color="auto"/>
      </w:divBdr>
    </w:div>
    <w:div w:id="1214461490">
      <w:bodyDiv w:val="1"/>
      <w:marLeft w:val="0"/>
      <w:marRight w:val="0"/>
      <w:marTop w:val="0"/>
      <w:marBottom w:val="0"/>
      <w:divBdr>
        <w:top w:val="none" w:sz="0" w:space="0" w:color="auto"/>
        <w:left w:val="none" w:sz="0" w:space="0" w:color="auto"/>
        <w:bottom w:val="none" w:sz="0" w:space="0" w:color="auto"/>
        <w:right w:val="none" w:sz="0" w:space="0" w:color="auto"/>
      </w:divBdr>
    </w:div>
    <w:div w:id="1447388891">
      <w:bodyDiv w:val="1"/>
      <w:marLeft w:val="0"/>
      <w:marRight w:val="0"/>
      <w:marTop w:val="0"/>
      <w:marBottom w:val="0"/>
      <w:divBdr>
        <w:top w:val="none" w:sz="0" w:space="0" w:color="auto"/>
        <w:left w:val="none" w:sz="0" w:space="0" w:color="auto"/>
        <w:bottom w:val="none" w:sz="0" w:space="0" w:color="auto"/>
        <w:right w:val="none" w:sz="0" w:space="0" w:color="auto"/>
      </w:divBdr>
    </w:div>
    <w:div w:id="1492142517">
      <w:bodyDiv w:val="1"/>
      <w:marLeft w:val="0"/>
      <w:marRight w:val="0"/>
      <w:marTop w:val="0"/>
      <w:marBottom w:val="0"/>
      <w:divBdr>
        <w:top w:val="none" w:sz="0" w:space="0" w:color="auto"/>
        <w:left w:val="none" w:sz="0" w:space="0" w:color="auto"/>
        <w:bottom w:val="none" w:sz="0" w:space="0" w:color="auto"/>
        <w:right w:val="none" w:sz="0" w:space="0" w:color="auto"/>
      </w:divBdr>
    </w:div>
    <w:div w:id="1520505529">
      <w:bodyDiv w:val="1"/>
      <w:marLeft w:val="0"/>
      <w:marRight w:val="0"/>
      <w:marTop w:val="0"/>
      <w:marBottom w:val="0"/>
      <w:divBdr>
        <w:top w:val="none" w:sz="0" w:space="0" w:color="auto"/>
        <w:left w:val="none" w:sz="0" w:space="0" w:color="auto"/>
        <w:bottom w:val="none" w:sz="0" w:space="0" w:color="auto"/>
        <w:right w:val="none" w:sz="0" w:space="0" w:color="auto"/>
      </w:divBdr>
    </w:div>
    <w:div w:id="1556352404">
      <w:bodyDiv w:val="1"/>
      <w:marLeft w:val="0"/>
      <w:marRight w:val="0"/>
      <w:marTop w:val="0"/>
      <w:marBottom w:val="0"/>
      <w:divBdr>
        <w:top w:val="none" w:sz="0" w:space="0" w:color="auto"/>
        <w:left w:val="none" w:sz="0" w:space="0" w:color="auto"/>
        <w:bottom w:val="none" w:sz="0" w:space="0" w:color="auto"/>
        <w:right w:val="none" w:sz="0" w:space="0" w:color="auto"/>
      </w:divBdr>
    </w:div>
    <w:div w:id="1757314157">
      <w:bodyDiv w:val="1"/>
      <w:marLeft w:val="0"/>
      <w:marRight w:val="0"/>
      <w:marTop w:val="0"/>
      <w:marBottom w:val="0"/>
      <w:divBdr>
        <w:top w:val="none" w:sz="0" w:space="0" w:color="auto"/>
        <w:left w:val="none" w:sz="0" w:space="0" w:color="auto"/>
        <w:bottom w:val="none" w:sz="0" w:space="0" w:color="auto"/>
        <w:right w:val="none" w:sz="0" w:space="0" w:color="auto"/>
      </w:divBdr>
    </w:div>
    <w:div w:id="1828203310">
      <w:bodyDiv w:val="1"/>
      <w:marLeft w:val="0"/>
      <w:marRight w:val="0"/>
      <w:marTop w:val="0"/>
      <w:marBottom w:val="0"/>
      <w:divBdr>
        <w:top w:val="none" w:sz="0" w:space="0" w:color="auto"/>
        <w:left w:val="none" w:sz="0" w:space="0" w:color="auto"/>
        <w:bottom w:val="none" w:sz="0" w:space="0" w:color="auto"/>
        <w:right w:val="none" w:sz="0" w:space="0" w:color="auto"/>
      </w:divBdr>
    </w:div>
    <w:div w:id="198392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76E74-D21C-4E51-AC7F-2CD1B6A49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70045</Words>
  <Characters>385252</Characters>
  <Application>Microsoft Office Word</Application>
  <DocSecurity>0</DocSecurity>
  <Lines>3210</Lines>
  <Paragraphs>908</Paragraphs>
  <ScaleCrop>false</ScaleCrop>
  <HeadingPairs>
    <vt:vector size="2" baseType="variant">
      <vt:variant>
        <vt:lpstr>Titel</vt:lpstr>
      </vt:variant>
      <vt:variant>
        <vt:i4>1</vt:i4>
      </vt:variant>
    </vt:vector>
  </HeadingPairs>
  <TitlesOfParts>
    <vt:vector size="1" baseType="lpstr">
      <vt:lpstr/>
    </vt:vector>
  </TitlesOfParts>
  <Company>St. Antonius Ziekenhuis</Company>
  <LinksUpToDate>false</LinksUpToDate>
  <CharactersWithSpaces>454389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 Annette van der (Longziekten)</dc:creator>
  <cp:keywords/>
  <dc:description/>
  <cp:lastModifiedBy>Vis, Annette van der (Longziekten)</cp:lastModifiedBy>
  <cp:revision>5</cp:revision>
  <dcterms:created xsi:type="dcterms:W3CDTF">2025-12-04T15:45:00Z</dcterms:created>
  <dcterms:modified xsi:type="dcterms:W3CDTF">2025-12-09T10:20:00Z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75248c29-1161-3d3f-a53f-2a9ed04fe51f</vt:lpwstr>
  </property>
  <property fmtid="{D5CDD505-2E9C-101B-9397-08002B2CF9AE}" pid="24" name="Mendeley Citation Style_1">
    <vt:lpwstr>http://www.zotero.org/styles/vancouver</vt:lpwstr>
  </property>
</Properties>
</file>