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F0AD2">
      <w:pPr>
        <w:pStyle w:val="5"/>
        <w:spacing w:line="360" w:lineRule="auto"/>
        <w:ind w:firstLine="0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 1</w:t>
      </w:r>
    </w:p>
    <w:p w14:paraId="06DEF136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</w:rPr>
        <w:t xml:space="preserve">Clinical characteristics of </w:t>
      </w:r>
      <w:r>
        <w:rPr>
          <w:rFonts w:hint="eastAsia" w:ascii="Times New Roman" w:hAnsi="Times New Roman" w:cs="Times New Roman"/>
          <w:lang w:val="en-US" w:eastAsia="zh-CN"/>
        </w:rPr>
        <w:t>mothers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3"/>
        <w:gridCol w:w="2138"/>
        <w:gridCol w:w="1995"/>
        <w:gridCol w:w="2046"/>
      </w:tblGrid>
      <w:tr w14:paraId="73791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B5C7EA" w:themeFill="accent1" w:themeFillTint="66"/>
          </w:tcPr>
          <w:p w14:paraId="03E8915F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Maternal and intrauterine factors</w:t>
            </w:r>
          </w:p>
        </w:tc>
        <w:tc>
          <w:tcPr>
            <w:tcW w:w="220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B5C7EA" w:themeFill="accent1" w:themeFillTint="66"/>
          </w:tcPr>
          <w:p w14:paraId="1FDEF8CD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Non-BPD（n=34）</w:t>
            </w:r>
          </w:p>
        </w:tc>
        <w:tc>
          <w:tcPr>
            <w:tcW w:w="205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B5C7EA" w:themeFill="accent1" w:themeFillTint="66"/>
          </w:tcPr>
          <w:p w14:paraId="73435E05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BPD（n=25）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B5C7EA" w:themeFill="accent1" w:themeFillTint="66"/>
          </w:tcPr>
          <w:p w14:paraId="78983148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P-value</w:t>
            </w:r>
          </w:p>
        </w:tc>
      </w:tr>
      <w:tr w14:paraId="4959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222EE6D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Age of mother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P75),years]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25210CC7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29（27.75，33.00）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77146F5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29（27.50，31.5）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4B7DC33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0.616</w:t>
            </w:r>
          </w:p>
        </w:tc>
      </w:tr>
      <w:tr w14:paraId="58099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B2D20A5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GBS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6E55C4E4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5（14.7%）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262EC75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3（12.0%）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283C6B4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0.764</w:t>
            </w:r>
          </w:p>
        </w:tc>
      </w:tr>
      <w:tr w14:paraId="29D8E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DC47E01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ntenatal corticosteroids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5509A090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11（32.4%）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AE2BB0D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9（36%）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CDC0033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0.770</w:t>
            </w:r>
          </w:p>
        </w:tc>
      </w:tr>
      <w:tr w14:paraId="141D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E6FD9C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D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elivery mode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</w:tr>
      <w:tr w14:paraId="354A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8275CE7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D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elivery mode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27623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24（70.6%）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124DE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15（60.0%）</w:t>
            </w:r>
          </w:p>
        </w:tc>
        <w:tc>
          <w:tcPr>
            <w:tcW w:w="21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9DF26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0.019</w:t>
            </w:r>
          </w:p>
        </w:tc>
      </w:tr>
      <w:tr w14:paraId="777C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23019E2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Cesarean section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20B8867C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10（29.4%）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1538149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10（40.0%）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0936CFE6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69645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3BDACBF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Chorioamnionitis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2E78122F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5（14.7%）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6AC84EA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16（64.0%）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6CE879B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61FD3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48E8613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Adverse Pregnancy Outcomes 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0BE842EE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17(50.0%)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D7ACDE4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10(40.0%)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11A7B395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0.446</w:t>
            </w:r>
          </w:p>
        </w:tc>
      </w:tr>
      <w:tr w14:paraId="77D0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50470E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Hypertensive Disorders of Pregnancy[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</w:tr>
      <w:tr w14:paraId="1296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FB030C3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Gestational Hypertension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5F893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E9FE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2（8.0%）</w:t>
            </w:r>
          </w:p>
        </w:tc>
        <w:tc>
          <w:tcPr>
            <w:tcW w:w="21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4CDB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0.197</w:t>
            </w:r>
          </w:p>
        </w:tc>
      </w:tr>
      <w:tr w14:paraId="2610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B0CA5F5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Eclampsia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10C5CB6D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5（14.7%）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5C3E044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2（8.0%）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0A75B57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6907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F5E04DA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Chronic Hypertension with Superimposed Preeclampsia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0FE4C1D9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F540FE9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1（4.0%）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AD003D7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6D697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8E03B1C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Gestational Diabetes Mellitus[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168D0ECC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7（20.6%）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AC958CB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9（36.0%）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3DC8897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0.188</w:t>
            </w:r>
          </w:p>
        </w:tc>
      </w:tr>
      <w:tr w14:paraId="34329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494F6C3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Placenta Previa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4587848E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5（14.7%）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83BE562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3（12.0%）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63220A6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0.764</w:t>
            </w:r>
          </w:p>
        </w:tc>
      </w:tr>
      <w:tr w14:paraId="674A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7F2C0F4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Premature Rupture of Membranes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339C921E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10（29.4%）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641B2DE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12（48.0%)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774EE4A2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0.145</w:t>
            </w:r>
          </w:p>
        </w:tc>
      </w:tr>
      <w:tr w14:paraId="6C57F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CA6B9A">
            <w:pPr>
              <w:jc w:val="left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Meconium-Stained Amniotic Fluid 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</w:tr>
      <w:tr w14:paraId="4C8A8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441253E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Clear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37B5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28（82.4%）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4ADE0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20（80.0%）</w:t>
            </w:r>
          </w:p>
        </w:tc>
        <w:tc>
          <w:tcPr>
            <w:tcW w:w="213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D9F67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0.446</w:t>
            </w:r>
          </w:p>
        </w:tc>
      </w:tr>
      <w:tr w14:paraId="40DBB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0EFCACC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Grade I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21627D55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1（2.9%）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331EBDF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1（4.0%）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3DEB82B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7FD00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379E58A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Grade Ⅱ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01EE2855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2（5.9%）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8DE5CAD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4（16.4%）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89507AB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2C310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7D1B7D9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Grade Ⅲ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083DB51A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D0C58B1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91DA3FF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44BBF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02E94E5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Blood-Stained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48382169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2（5.9%）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C421515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F6B66CF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6DCE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D481C6C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Unknown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14:paraId="03D0A7D7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1（2.9%）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E0AA567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0（0%）</w:t>
            </w:r>
          </w:p>
        </w:tc>
        <w:tc>
          <w:tcPr>
            <w:tcW w:w="2131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4D757595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1E5D6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BF994A8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G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estational age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Days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]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F614FF6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30.57（30.14，30.71）</w:t>
            </w:r>
          </w:p>
        </w:tc>
        <w:tc>
          <w:tcPr>
            <w:tcW w:w="205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53A9BFD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28.57（27.78，30.50）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F3D701B">
            <w:pPr>
              <w:jc w:val="center"/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</w:tbl>
    <w:p w14:paraId="1BCFE263">
      <w:pPr>
        <w:rPr>
          <w:rFonts w:hint="eastAsia" w:hAnsi="Cambria Math"/>
          <w:i w:val="0"/>
          <w:lang w:val="en-US" w:eastAsia="zh-CN"/>
        </w:rPr>
      </w:pPr>
    </w:p>
    <w:p w14:paraId="7AFCDEDD">
      <w:pPr>
        <w:rPr>
          <w:rFonts w:hint="eastAsia" w:hAnsi="Cambria Math" w:eastAsiaTheme="minorEastAsia"/>
          <w:i w:val="0"/>
          <w:lang w:val="en-US" w:eastAsia="zh-CN"/>
        </w:rPr>
      </w:pPr>
      <w:r>
        <w:rPr>
          <w:rFonts w:ascii="Times New Roman" w:hAnsi="Times New Roman" w:cs="Times New Roman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2</w:t>
      </w:r>
    </w:p>
    <w:p w14:paraId="625FF0C3">
      <w:pPr>
        <w:rPr>
          <w:rFonts w:hint="eastAsia" w:hAnsi="Cambria Math"/>
          <w:i w:val="0"/>
          <w:lang w:val="en-US" w:eastAsia="zh-CN"/>
        </w:rPr>
      </w:pPr>
      <w:r>
        <w:rPr>
          <w:rFonts w:ascii="Times New Roman" w:hAnsi="Times New Roman" w:cs="Times New Roman"/>
        </w:rPr>
        <w:t>Clinical characteristics of the infants with and without BPD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9"/>
        <w:gridCol w:w="2042"/>
        <w:gridCol w:w="2042"/>
        <w:gridCol w:w="949"/>
      </w:tblGrid>
      <w:tr w14:paraId="67412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B5C7EA" w:themeFill="accent1" w:themeFillTint="66"/>
            <w:vAlign w:val="top"/>
          </w:tcPr>
          <w:p w14:paraId="12D6EA13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Infants factors</w:t>
            </w:r>
          </w:p>
        </w:tc>
        <w:tc>
          <w:tcPr>
            <w:tcW w:w="20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B5C7EA" w:themeFill="accent1" w:themeFillTint="66"/>
            <w:vAlign w:val="top"/>
          </w:tcPr>
          <w:p w14:paraId="246C933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Non-BPD（n=34）</w:t>
            </w:r>
          </w:p>
        </w:tc>
        <w:tc>
          <w:tcPr>
            <w:tcW w:w="205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B5C7EA" w:themeFill="accent1" w:themeFillTint="66"/>
            <w:vAlign w:val="top"/>
          </w:tcPr>
          <w:p w14:paraId="1218EC1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BPD（n=25）</w:t>
            </w:r>
          </w:p>
        </w:tc>
        <w:tc>
          <w:tcPr>
            <w:tcW w:w="105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B5C7EA" w:themeFill="accent1" w:themeFillTint="66"/>
            <w:vAlign w:val="top"/>
          </w:tcPr>
          <w:p w14:paraId="4992157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P-value</w:t>
            </w:r>
          </w:p>
        </w:tc>
      </w:tr>
      <w:tr w14:paraId="7F51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1CF8048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Sex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</w:tr>
      <w:tr w14:paraId="31BC8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A2F5A14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Male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F4C176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26（76.5%）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4B2D04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18（72.0%）</w:t>
            </w:r>
          </w:p>
        </w:tc>
        <w:tc>
          <w:tcPr>
            <w:tcW w:w="10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35E69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0.697</w:t>
            </w:r>
          </w:p>
        </w:tc>
      </w:tr>
      <w:tr w14:paraId="4127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71A703C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Female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D29F37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8（23.5%）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CAA3A8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7（28.0%）</w:t>
            </w:r>
          </w:p>
        </w:tc>
        <w:tc>
          <w:tcPr>
            <w:tcW w:w="10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25A541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253F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FDA0633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irth weight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g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]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C4AA4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1890.0(1742.5, 2042.5)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EA931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1200.0(1035.0, 1400)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2F832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7A5E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F9D4453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 xml:space="preserve">Apgar at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 xml:space="preserve"> min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P75)]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64B0E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9(9, 10)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F4989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7(5.5, 8)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DC39A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633DC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59B82EF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 xml:space="preserve">Apgar at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 xml:space="preserve"> min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P75)]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ECABD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10(10, 10)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5C170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9(8, 9)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0A6E9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5805D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12EB118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 xml:space="preserve">Length of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hospital s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tay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Days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]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B55F7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9(7,22.5)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83B437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50(44,61.5)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94F3D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38ACE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D579946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Ventilatory support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D47CB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17(50.0%)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3AD90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25(1000%)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C7A6E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2A9B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69C111BD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Base excess value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mmol/L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DFCECB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-3.400(-4.875,-2.200)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6C569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-3.000(-5.350,-1.625)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AC03D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0.938</w:t>
            </w:r>
          </w:p>
        </w:tc>
      </w:tr>
      <w:tr w14:paraId="367C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36868C55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Pulmonary surfactant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3FACA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7(20.6%)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BE4A9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18(72.0%)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97D4F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55480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E20F244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affeine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3E7B15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1(2.9%)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70A79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12(48.0%)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35067E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755A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25D0AB74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Feeding patterns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</w:tr>
      <w:tr w14:paraId="0827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5E1CC95C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Breast milk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1DABA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5（14.7%0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606A6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2（8.0%）</w:t>
            </w:r>
          </w:p>
        </w:tc>
        <w:tc>
          <w:tcPr>
            <w:tcW w:w="10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74F00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0.042</w:t>
            </w:r>
          </w:p>
        </w:tc>
      </w:tr>
      <w:tr w14:paraId="35F41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1AB5ABF8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Mixed 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E6BBBB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28（82.4%）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CE1A2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17（68.0%）</w:t>
            </w:r>
          </w:p>
        </w:tc>
        <w:tc>
          <w:tcPr>
            <w:tcW w:w="10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2C7672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3A1C3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4E35489F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Artificial 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8F66B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1（2.9%）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D3C15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6（24.0%）</w:t>
            </w:r>
          </w:p>
        </w:tc>
        <w:tc>
          <w:tcPr>
            <w:tcW w:w="105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B6CE02">
            <w:pP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</w:pPr>
          </w:p>
        </w:tc>
      </w:tr>
      <w:tr w14:paraId="2C85F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DA4CC41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Days of ventilator use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Days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391FF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1.00（0.00，4.25）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5EC4B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26.00(13.50,36.00)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8137A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4650F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72EA0127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Oxygen therapy concentration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%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AD120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30(0,30)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94347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35(30,40)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F6F11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5AFD3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 w14:paraId="0CD684F5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Days of Oxygen therapy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[P50(P25, P75),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Days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0FC15E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2.00(0.00,6.25)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AB8CA7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38.00(34.50,46.50)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EFDE4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＜0.001</w:t>
            </w:r>
          </w:p>
        </w:tc>
      </w:tr>
      <w:tr w14:paraId="70FED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 w:themeFill="background1"/>
            <w:vAlign w:val="top"/>
          </w:tcPr>
          <w:p w14:paraId="43CBE618">
            <w:pPr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hemodynamically significant patent ductus arteriosus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  <w:lang w:val="en-US" w:eastAsia="zh-CN"/>
              </w:rPr>
              <w:t>n(%)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 w:themeFill="background1"/>
            <w:vAlign w:val="center"/>
          </w:tcPr>
          <w:p w14:paraId="2A3E46C2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16(47.1%)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 w:themeFill="background1"/>
            <w:vAlign w:val="center"/>
          </w:tcPr>
          <w:p w14:paraId="6BFCC9B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14(56.0%)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 w:themeFill="background1"/>
            <w:vAlign w:val="center"/>
          </w:tcPr>
          <w:p w14:paraId="111A8834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vertAlign w:val="baseline"/>
                <w:lang w:val="en-US" w:eastAsia="zh-CN"/>
              </w:rPr>
              <w:t>0.497</w:t>
            </w:r>
          </w:p>
        </w:tc>
      </w:tr>
    </w:tbl>
    <w:p w14:paraId="7B56A303">
      <w:pPr>
        <w:rPr>
          <w:rFonts w:hint="eastAsia" w:hAnsi="Cambria Math"/>
          <w:i w:val="0"/>
          <w:lang w:val="en-US" w:eastAsia="zh-CN"/>
        </w:rPr>
      </w:pPr>
    </w:p>
    <w:p w14:paraId="0ED1FE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B74C3"/>
    <w:rsid w:val="24CB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2026-01-17T03:11:00Z</dcterms:created>
  <dc:creator>轸念</dc:creator>
  <cp:lastModifiedBy>轸念</cp:lastModifiedBy>
  <dcterms:modified xsi:type="dcterms:W3CDTF">2026-01-17T03:11:49Z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CBA0489E927A4C8DA1E0D5C110EB0E6D_11</vt:lpwstr>
  </property>
  <property fmtid="{D5CDD505-2E9C-101B-9397-08002B2CF9AE}" pid="4" name="KSOTemplateDocerSaveRecord">
    <vt:lpwstr>eyJoZGlkIjoiOGNlM2U2MzBlNjUxZDdjYjJmZTg4YjMwNWRhMzY1MjMiLCJ1c2VySWQiOiIzMTE1NTEzNzYifQ==</vt:lpwstr>
  </property>
</Properties>
</file>