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C1630" w14:textId="77777777" w:rsidR="00C917ED" w:rsidRDefault="00461864" w:rsidP="0097023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n-GB" w:eastAsia="es-ES_tradnl"/>
        </w:rPr>
      </w:pPr>
      <w:r w:rsidRPr="00695FAD">
        <w:rPr>
          <w:rFonts w:ascii="Times New Roman" w:hAnsi="Times New Roman" w:cs="Times New Roman"/>
          <w:i/>
          <w:iCs/>
          <w:noProof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30F3B06A" wp14:editId="08624587">
            <wp:simplePos x="0" y="0"/>
            <wp:positionH relativeFrom="column">
              <wp:posOffset>-1016635</wp:posOffset>
            </wp:positionH>
            <wp:positionV relativeFrom="paragraph">
              <wp:posOffset>284480</wp:posOffset>
            </wp:positionV>
            <wp:extent cx="7469505" cy="3689350"/>
            <wp:effectExtent l="0" t="0" r="0" b="6350"/>
            <wp:wrapTopAndBottom/>
            <wp:docPr id="676300623" name="Imagen 1" descr="Tabl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300623" name="Imagen 1" descr="Tabla&#10;&#10;Descripción generada automáticamente con confianza baja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2" r="3229"/>
                    <a:stretch/>
                  </pic:blipFill>
                  <pic:spPr bwMode="auto">
                    <a:xfrm>
                      <a:off x="0" y="0"/>
                      <a:ext cx="7469505" cy="368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235" w:rsidRPr="00695FAD">
        <w:rPr>
          <w:rFonts w:ascii="Times New Roman" w:eastAsia="Times New Roman" w:hAnsi="Times New Roman" w:cs="Times New Roman"/>
          <w:b/>
          <w:bCs/>
          <w:lang w:val="en-GB" w:eastAsia="es-ES_tradnl"/>
        </w:rPr>
        <w:t xml:space="preserve"> Supplementary Information</w:t>
      </w:r>
      <w:r w:rsidR="00C917ED" w:rsidRPr="00C917ED">
        <w:rPr>
          <w:rFonts w:ascii="Times New Roman" w:eastAsia="Times New Roman" w:hAnsi="Times New Roman" w:cs="Times New Roman"/>
          <w:b/>
          <w:bCs/>
          <w:lang w:val="en-GB" w:eastAsia="es-ES_tradnl"/>
        </w:rPr>
        <w:t xml:space="preserve"> </w:t>
      </w:r>
    </w:p>
    <w:p w14:paraId="05A01E39" w14:textId="718BF1AC" w:rsidR="00970235" w:rsidRPr="00C917ED" w:rsidRDefault="00C917ED" w:rsidP="00C917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n-GB" w:eastAsia="es-ES_tradnl"/>
        </w:rPr>
      </w:pPr>
      <w:r w:rsidRPr="00695FAD">
        <w:rPr>
          <w:rFonts w:ascii="Times New Roman" w:eastAsia="Times New Roman" w:hAnsi="Times New Roman" w:cs="Times New Roman"/>
          <w:b/>
          <w:bCs/>
          <w:lang w:val="en-GB" w:eastAsia="es-ES_tradnl"/>
        </w:rPr>
        <w:t>Supplementary Figure S1. Flowchart of patient inclusion.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</w:r>
      <w:r w:rsidR="00970235" w:rsidRPr="00695FAD">
        <w:rPr>
          <w:rFonts w:ascii="Times New Roman" w:eastAsia="Times New Roman" w:hAnsi="Times New Roman" w:cs="Times New Roman"/>
          <w:lang w:val="en-GB" w:eastAsia="es-ES_tradnl"/>
        </w:rPr>
        <w:t>This figure illustrates the number of patients assessed, and those with complete data for clinical, biological and total remission.</w:t>
      </w:r>
    </w:p>
    <w:p w14:paraId="75CA701E" w14:textId="77777777" w:rsidR="00A32F11" w:rsidRPr="00695FAD" w:rsidRDefault="00A32F11" w:rsidP="00A32F11">
      <w:pPr>
        <w:rPr>
          <w:rFonts w:ascii="Times New Roman" w:hAnsi="Times New Roman" w:cs="Times New Roman"/>
          <w:lang w:val="en-GB"/>
        </w:rPr>
      </w:pPr>
    </w:p>
    <w:p w14:paraId="6AE04451" w14:textId="640A6465" w:rsidR="00A32F11" w:rsidRPr="00695FAD" w:rsidRDefault="00A32F11" w:rsidP="00A32F11">
      <w:pPr>
        <w:pStyle w:val="Ttulo1"/>
        <w:spacing w:after="12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val="en-GB"/>
        </w:rPr>
      </w:pPr>
    </w:p>
    <w:p w14:paraId="6D5E968D" w14:textId="77777777" w:rsidR="00695FAD" w:rsidRPr="00695FAD" w:rsidRDefault="00970235" w:rsidP="00695FA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n-GB" w:eastAsia="es-ES_tradnl"/>
        </w:rPr>
      </w:pPr>
      <w:r w:rsidRPr="00695FAD">
        <w:rPr>
          <w:rFonts w:ascii="Times New Roman" w:eastAsia="Times New Roman" w:hAnsi="Times New Roman" w:cs="Times New Roman"/>
          <w:b/>
          <w:bCs/>
          <w:lang w:val="en-GB" w:eastAsia="es-ES_tradnl"/>
        </w:rPr>
        <w:t xml:space="preserve">Supplementary Table S1. </w:t>
      </w:r>
      <w:r w:rsidR="00695FAD" w:rsidRPr="00695FAD">
        <w:rPr>
          <w:rFonts w:ascii="Times New Roman" w:eastAsia="Times New Roman" w:hAnsi="Times New Roman" w:cs="Times New Roman"/>
          <w:b/>
          <w:bCs/>
          <w:lang w:val="en-GB" w:eastAsia="es-ES_tradnl"/>
        </w:rPr>
        <w:t xml:space="preserve">Incidence rate ratios (IRR) for annualized severe exacerbations after 12 months of tezepelumab treatment in patients with severe asthma.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2424"/>
        <w:gridCol w:w="2424"/>
        <w:gridCol w:w="1236"/>
      </w:tblGrid>
      <w:tr w:rsidR="00695FAD" w:rsidRPr="00695FAD" w14:paraId="180B5B67" w14:textId="77777777" w:rsidTr="00303BF1">
        <w:trPr>
          <w:trHeight w:val="20"/>
        </w:trPr>
        <w:tc>
          <w:tcPr>
            <w:tcW w:w="1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8E639D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s-ES"/>
              </w:rPr>
              <w:t>Subgroup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03D6E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s-ES"/>
              </w:rPr>
              <w:t>IRR (95% CI)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14BB4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s-ES"/>
              </w:rPr>
              <w:t>p-value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11E859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s-ES"/>
              </w:rPr>
              <w:t>% reduction</w:t>
            </w:r>
          </w:p>
        </w:tc>
      </w:tr>
      <w:tr w:rsidR="00695FAD" w:rsidRPr="00695FAD" w14:paraId="4CBE29BE" w14:textId="77777777" w:rsidTr="00303BF1">
        <w:trPr>
          <w:trHeight w:val="20"/>
        </w:trPr>
        <w:tc>
          <w:tcPr>
            <w:tcW w:w="14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BE3352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Overall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C38D68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0.32 (0.26–0.41)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14A698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810ED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68%</w:t>
            </w:r>
          </w:p>
        </w:tc>
      </w:tr>
      <w:tr w:rsidR="00695FAD" w:rsidRPr="00695FAD" w14:paraId="65EA196E" w14:textId="77777777" w:rsidTr="00303BF1">
        <w:trPr>
          <w:trHeight w:val="20"/>
        </w:trPr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4291A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Biologic-naïve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9A46F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0.27 (0.2–0.37)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615EF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442FA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73%</w:t>
            </w:r>
          </w:p>
        </w:tc>
      </w:tr>
      <w:tr w:rsidR="00695FAD" w:rsidRPr="00695FAD" w14:paraId="1F8379EF" w14:textId="77777777" w:rsidTr="00303BF1">
        <w:trPr>
          <w:trHeight w:val="20"/>
        </w:trPr>
        <w:tc>
          <w:tcPr>
            <w:tcW w:w="1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E7C08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Biologic-switch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92E66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0.41 (0.3–0.56)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5E3AF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883E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59%</w:t>
            </w:r>
          </w:p>
        </w:tc>
      </w:tr>
      <w:tr w:rsidR="00695FAD" w:rsidRPr="00695FAD" w14:paraId="172AE81F" w14:textId="77777777" w:rsidTr="00303BF1">
        <w:trPr>
          <w:trHeight w:val="20"/>
        </w:trPr>
        <w:tc>
          <w:tcPr>
            <w:tcW w:w="142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1E97D46" w14:textId="77777777" w:rsidR="00695FAD" w:rsidRPr="00695FAD" w:rsidRDefault="00695FAD" w:rsidP="00303BF1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 xml:space="preserve">Allergic 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577A9CA" w14:textId="349E9D10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0.3</w:t>
            </w:r>
            <w:r w:rsidR="00FE65A9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</w:t>
            </w: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 xml:space="preserve"> (0.13–0.4)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AB98F8A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BC45CD9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68%</w:t>
            </w:r>
          </w:p>
        </w:tc>
      </w:tr>
      <w:tr w:rsidR="00695FAD" w:rsidRPr="00695FAD" w14:paraId="4EB77C57" w14:textId="77777777" w:rsidTr="00303BF1">
        <w:trPr>
          <w:trHeight w:val="20"/>
        </w:trPr>
        <w:tc>
          <w:tcPr>
            <w:tcW w:w="142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417A754" w14:textId="77777777" w:rsidR="00695FAD" w:rsidRPr="00695FAD" w:rsidRDefault="00695FAD" w:rsidP="00303BF1">
            <w:pPr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Eosinophilic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A7B38F3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0.28 (0.19–0.41)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444B0A5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A399936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72%</w:t>
            </w:r>
          </w:p>
        </w:tc>
      </w:tr>
      <w:tr w:rsidR="00695FAD" w:rsidRPr="00695FAD" w14:paraId="4B26E6BC" w14:textId="77777777" w:rsidTr="00303BF1">
        <w:trPr>
          <w:trHeight w:val="20"/>
        </w:trPr>
        <w:tc>
          <w:tcPr>
            <w:tcW w:w="1423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9F9A2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T2-low</w:t>
            </w:r>
          </w:p>
        </w:tc>
        <w:tc>
          <w:tcPr>
            <w:tcW w:w="1425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AA880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0.36 (0.25–0.53)</w:t>
            </w:r>
          </w:p>
        </w:tc>
        <w:tc>
          <w:tcPr>
            <w:tcW w:w="1425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EF8A9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965425" w14:textId="77777777" w:rsidR="00695FAD" w:rsidRPr="00695FAD" w:rsidRDefault="00695FAD" w:rsidP="00303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695FAD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64%</w:t>
            </w:r>
          </w:p>
        </w:tc>
      </w:tr>
    </w:tbl>
    <w:p w14:paraId="3D0DE9D8" w14:textId="77777777" w:rsidR="00695FAD" w:rsidRPr="00695FAD" w:rsidRDefault="00695FAD" w:rsidP="00695FAD">
      <w:pPr>
        <w:pStyle w:val="NormalWeb"/>
        <w:spacing w:line="360" w:lineRule="auto"/>
        <w:jc w:val="both"/>
        <w:rPr>
          <w:rStyle w:val="nfasis"/>
          <w:bCs/>
          <w:sz w:val="22"/>
          <w:szCs w:val="22"/>
          <w:lang w:val="en-GB"/>
        </w:rPr>
      </w:pPr>
      <w:r w:rsidRPr="00695FAD">
        <w:rPr>
          <w:rStyle w:val="nfasis"/>
          <w:bCs/>
          <w:sz w:val="22"/>
          <w:szCs w:val="22"/>
          <w:lang w:val="en-GB"/>
        </w:rPr>
        <w:t>Results were obtained using a negative binomial regression model adjusted for exposure time (12-month follow-up per patient). The IRR represents the ratio of the post-treatment exacerbation rate to the pre-treatment rate, with values below 1 indicating a reduction in risk. Confidence intervals (95% CI) are presented for each subgroup.</w:t>
      </w:r>
    </w:p>
    <w:p w14:paraId="33491EBC" w14:textId="22EBE067" w:rsidR="00695FAD" w:rsidRPr="00695FAD" w:rsidRDefault="00695FAD" w:rsidP="00695FAD">
      <w:pPr>
        <w:pStyle w:val="NormalWeb"/>
        <w:spacing w:line="360" w:lineRule="auto"/>
        <w:jc w:val="both"/>
        <w:rPr>
          <w:rStyle w:val="nfasis"/>
          <w:bCs/>
          <w:i w:val="0"/>
          <w:iCs w:val="0"/>
          <w:sz w:val="22"/>
          <w:szCs w:val="22"/>
          <w:lang w:val="en-GB"/>
        </w:rPr>
      </w:pPr>
      <w:r w:rsidRPr="00695FAD">
        <w:rPr>
          <w:rStyle w:val="nfasis"/>
          <w:b/>
          <w:i w:val="0"/>
          <w:iCs w:val="0"/>
          <w:sz w:val="22"/>
          <w:szCs w:val="22"/>
          <w:lang w:val="en-GB"/>
        </w:rPr>
        <w:lastRenderedPageBreak/>
        <w:t>Supplementary Table S2</w:t>
      </w:r>
      <w:r w:rsidRPr="00275964">
        <w:rPr>
          <w:rStyle w:val="nfasis"/>
          <w:b/>
          <w:i w:val="0"/>
          <w:iCs w:val="0"/>
          <w:sz w:val="22"/>
          <w:szCs w:val="22"/>
          <w:lang w:val="en-GB"/>
        </w:rPr>
        <w:t>.</w:t>
      </w:r>
      <w:r w:rsidRPr="00275964">
        <w:rPr>
          <w:rStyle w:val="nfasis"/>
          <w:b/>
          <w:sz w:val="22"/>
          <w:szCs w:val="22"/>
          <w:lang w:val="en-GB"/>
        </w:rPr>
        <w:t xml:space="preserve"> </w:t>
      </w:r>
      <w:r w:rsidRPr="00275964">
        <w:rPr>
          <w:rStyle w:val="nfasis"/>
          <w:b/>
          <w:i w:val="0"/>
          <w:iCs w:val="0"/>
          <w:sz w:val="22"/>
          <w:szCs w:val="22"/>
          <w:lang w:val="en-GB"/>
        </w:rPr>
        <w:t>Baseline characteristics of patients included vs excluded from the strict clinical remission analysis.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9"/>
        <w:gridCol w:w="2929"/>
        <w:gridCol w:w="2079"/>
        <w:gridCol w:w="697"/>
      </w:tblGrid>
      <w:tr w:rsidR="00CB0A0D" w:rsidRPr="00CB0A0D" w14:paraId="166F528C" w14:textId="77777777" w:rsidTr="00DC6A4E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67CFF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A25EF1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Complete information for clinical remission (n = 86)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213B6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Cumulative missing values (n = 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F2032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P value</w:t>
            </w:r>
          </w:p>
        </w:tc>
      </w:tr>
      <w:tr w:rsidR="00CB0A0D" w:rsidRPr="00CB0A0D" w14:paraId="3C4A30A6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BE8FD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Age (y) (mean </w:t>
            </w:r>
            <w:r w:rsidRPr="00CB0A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s-ES"/>
              </w:rPr>
              <w:t>± SD</w:t>
            </w: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A1E44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56.44 ± 15.03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C06812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49 ± 12.95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5250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0.207</w:t>
            </w:r>
          </w:p>
        </w:tc>
      </w:tr>
      <w:tr w:rsidR="00CB0A0D" w:rsidRPr="00CB0A0D" w14:paraId="4953FA62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39162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Female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1321A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60 (69.77%)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FE841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6 (85.71%)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F503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0.669</w:t>
            </w:r>
          </w:p>
        </w:tc>
      </w:tr>
      <w:tr w:rsidR="00CB0A0D" w:rsidRPr="00CB0A0D" w14:paraId="6E269DCE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B95D3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BMI (kg/m²) (mean </w:t>
            </w:r>
            <w:r w:rsidRPr="00CB0A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s-ES"/>
              </w:rPr>
              <w:t>± SD</w:t>
            </w: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3ACC9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30.39 ± 6.63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C8B2F9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30.79 ± 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86D1A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0.876</w:t>
            </w:r>
          </w:p>
        </w:tc>
      </w:tr>
      <w:tr w:rsidR="00CB0A0D" w:rsidRPr="00CB0A0D" w14:paraId="00213E44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80DE5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Smoking: never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FC9F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53 (61.63%)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54C2D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 (71.43%)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329A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0.764</w:t>
            </w:r>
          </w:p>
        </w:tc>
      </w:tr>
      <w:tr w:rsidR="00CB0A0D" w:rsidRPr="00CB0A0D" w14:paraId="2A4010BC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5E675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T2-low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AEFD4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28 (32.56%)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38378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3 (42.86%)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6860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0.682</w:t>
            </w:r>
          </w:p>
        </w:tc>
      </w:tr>
      <w:tr w:rsidR="00CB0A0D" w:rsidRPr="00CB0A0D" w14:paraId="3EE2F8FC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CEC87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T2-high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EEA5EC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58 (67.44%)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603D41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 (57.14%)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ABD75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0.682</w:t>
            </w:r>
          </w:p>
        </w:tc>
      </w:tr>
      <w:tr w:rsidR="00CB0A0D" w:rsidRPr="00CB0A0D" w14:paraId="15D6ED45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76C05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Allergic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BD15C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29 (33.72%)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872A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 (28.57%)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2DC3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</w:tr>
      <w:tr w:rsidR="00CB0A0D" w:rsidRPr="00CB0A0D" w14:paraId="46B80B94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5927E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Eosinophilic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5C15AC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29 (33.72%)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B811AB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 (28.57%)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AB113" w14:textId="77777777" w:rsidR="00CB0A0D" w:rsidRPr="00CB0A0D" w:rsidRDefault="00CB0A0D" w:rsidP="00DC6A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</w:tr>
      <w:tr w:rsidR="00CB0A0D" w:rsidRPr="00CB0A0D" w14:paraId="35C48B1F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A1194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Obesity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52F9C7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46 (53.49%)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452A59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 (57.14%)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771E" w14:textId="77777777" w:rsidR="00CB0A0D" w:rsidRPr="00CB0A0D" w:rsidRDefault="00CB0A0D" w:rsidP="00DC6A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</w:tr>
      <w:tr w:rsidR="00CB0A0D" w:rsidRPr="00CB0A0D" w14:paraId="625D78BC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19FA3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Bronchiectasis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A083D8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19 (22.09%)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EEBEF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 (28.57%)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213791" w14:textId="77777777" w:rsidR="00CB0A0D" w:rsidRPr="00CB0A0D" w:rsidRDefault="00CB0A0D" w:rsidP="00DC6A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0.654</w:t>
            </w:r>
          </w:p>
        </w:tc>
      </w:tr>
      <w:tr w:rsidR="00CB0A0D" w:rsidRPr="00CB0A0D" w14:paraId="39A74EA7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EDB3F1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COPD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1CF0C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10 (11.63%)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4CEB89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 (14.29%)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4D54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</w:tr>
      <w:tr w:rsidR="00CB0A0D" w:rsidRPr="00CB0A0D" w14:paraId="09A3C21D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811D2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Patients with long-term OCS therapy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49569D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33 (38.37%)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8C83E7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 (71.43%)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CF79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0.337</w:t>
            </w:r>
          </w:p>
        </w:tc>
      </w:tr>
      <w:tr w:rsidR="00CB0A0D" w:rsidRPr="00CB0A0D" w14:paraId="52752976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5A8CF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Biologic-naïve (%)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DF46BC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46 (53.49%)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A9741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 (71.43%)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6548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0.451</w:t>
            </w:r>
          </w:p>
        </w:tc>
      </w:tr>
      <w:tr w:rsidR="00CB0A0D" w:rsidRPr="00CB0A0D" w14:paraId="521DD45A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C48814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 Baseline All severe Exacerbations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A55CE7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3.49 ± 2.44 (n=85)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E9EA8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4.71 ± 2.5 (n=7)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60F81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0.207</w:t>
            </w:r>
          </w:p>
        </w:tc>
      </w:tr>
      <w:tr w:rsidR="00CB0A0D" w:rsidRPr="00CB0A0D" w14:paraId="768C5CC4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6870B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FEV1 pre-BD (%)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B8E52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69.23 ± 22.52 (n=86)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3C371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91.33 ± 29.97 (n=6)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9C44C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0.025</w:t>
            </w:r>
          </w:p>
        </w:tc>
      </w:tr>
      <w:tr w:rsidR="00CB0A0D" w:rsidRPr="00CB0A0D" w14:paraId="050DC698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CFBE2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FEV1 pre-BD (mL)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BE5D59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1818.72 ± 740.99 (n=86)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0FD2E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2763.33 ± 1234.08 (n=6)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A17B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0.123</w:t>
            </w:r>
          </w:p>
        </w:tc>
      </w:tr>
      <w:tr w:rsidR="00CB0A0D" w:rsidRPr="00CB0A0D" w14:paraId="3A5D4D19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885E5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ACT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989830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13.76 ± 4.82 (n=80)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1315B8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11 ± 6.28 (n=5)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51B19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0.225</w:t>
            </w:r>
          </w:p>
        </w:tc>
      </w:tr>
      <w:tr w:rsidR="00CB0A0D" w:rsidRPr="00CB0A0D" w14:paraId="4D8CE9FC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6388B5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Eosinophils (n/</w:t>
            </w:r>
            <w:proofErr w:type="gramStart"/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mL)†</w:t>
            </w:r>
            <w:proofErr w:type="gramEnd"/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 xml:space="preserve">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804C51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220.08 ± 320.37 (n=83)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FC7A9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104.29 ± 143.51 (n=7)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8EC45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0.348</w:t>
            </w:r>
          </w:p>
        </w:tc>
      </w:tr>
      <w:tr w:rsidR="00CB0A0D" w:rsidRPr="00CB0A0D" w14:paraId="0CE97670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F936FF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IgE total (IU/mL)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BFB54B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167.95 ± 248.55 (n=75)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9AE43A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58.32 ± 56.5 (n=6)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240B6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0.287</w:t>
            </w:r>
          </w:p>
        </w:tc>
      </w:tr>
      <w:tr w:rsidR="00CB0A0D" w:rsidRPr="00CB0A0D" w14:paraId="7FDEF61E" w14:textId="77777777" w:rsidTr="00DC6A4E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7164F3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s-ES"/>
              </w:rPr>
              <w:t>Baseline FeNO (ppb) (mean ± 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3ABC4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24.34 ± 23.89 (n=82)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56EA1B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24.83 ± 18.67 (n=6)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5FEB9E" w14:textId="77777777" w:rsidR="00CB0A0D" w:rsidRPr="00CB0A0D" w:rsidRDefault="00CB0A0D" w:rsidP="00DC6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</w:pPr>
            <w:r w:rsidRPr="00CB0A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s-ES"/>
              </w:rPr>
              <w:t>0.961</w:t>
            </w:r>
          </w:p>
        </w:tc>
      </w:tr>
    </w:tbl>
    <w:p w14:paraId="38A7258D" w14:textId="68C9783F" w:rsidR="00695FAD" w:rsidRPr="00614EAD" w:rsidRDefault="00695FAD" w:rsidP="00695FAD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614EAD">
        <w:rPr>
          <w:i/>
          <w:iCs/>
          <w:sz w:val="22"/>
          <w:szCs w:val="22"/>
          <w:lang w:val="en-GB"/>
        </w:rPr>
        <w:t>Values are expressed as mean ± SD or n (%). The two groups were broadly comparable across baseline characteristics, suggesting that missingness was unlikely to introduce major selection bias.</w:t>
      </w:r>
    </w:p>
    <w:p w14:paraId="2F0BC0C7" w14:textId="77777777" w:rsidR="002553F4" w:rsidRPr="00695FAD" w:rsidRDefault="002553F4" w:rsidP="001E348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val="en-GB" w:eastAsia="es-ES_tradnl"/>
        </w:rPr>
      </w:pPr>
    </w:p>
    <w:p w14:paraId="6AC23557" w14:textId="6F61C0B0" w:rsidR="001E3483" w:rsidRPr="00695FAD" w:rsidRDefault="001E3483" w:rsidP="001E348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val="en-GB" w:eastAsia="es-ES_tradnl"/>
        </w:rPr>
      </w:pPr>
      <w:r w:rsidRPr="00695FAD">
        <w:rPr>
          <w:rFonts w:ascii="Times New Roman" w:eastAsia="Times New Roman" w:hAnsi="Times New Roman" w:cs="Times New Roman"/>
          <w:b/>
          <w:bCs/>
          <w:lang w:val="en-GB" w:eastAsia="es-ES_tradnl"/>
        </w:rPr>
        <w:t>Abbreviations Used</w:t>
      </w:r>
    </w:p>
    <w:p w14:paraId="378547D0" w14:textId="77777777" w:rsidR="001E3483" w:rsidRPr="00695FAD" w:rsidRDefault="001E3483" w:rsidP="001E3483">
      <w:pPr>
        <w:spacing w:line="360" w:lineRule="auto"/>
        <w:rPr>
          <w:rFonts w:ascii="Times New Roman" w:hAnsi="Times New Roman" w:cs="Times New Roman"/>
          <w:lang w:val="en-GB"/>
        </w:rPr>
      </w:pPr>
      <w:r w:rsidRPr="00695FAD">
        <w:rPr>
          <w:rFonts w:ascii="Times New Roman" w:eastAsia="Times New Roman" w:hAnsi="Times New Roman" w:cs="Times New Roman"/>
          <w:lang w:val="en-GB" w:eastAsia="es-ES_tradnl"/>
        </w:rPr>
        <w:t>ACT – Asthma Control Test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BMI – Body Mass Index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BD – Bronchodilator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CRSwNP – Chronic Rhinosinusitis with Nasal Polyps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FeNO – Fractional Exhaled Nitric Oxide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FEV₁ – Forced Expiratory Volume in 1 Second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FVC – Forced Vital Capacity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</w:r>
      <w:r w:rsidRPr="00695FAD">
        <w:rPr>
          <w:rFonts w:ascii="Times New Roman" w:eastAsia="Times New Roman" w:hAnsi="Times New Roman" w:cs="Times New Roman"/>
          <w:lang w:val="en-GB" w:eastAsia="es-ES_tradnl"/>
        </w:rPr>
        <w:lastRenderedPageBreak/>
        <w:t>IgE – Immunoglobulin E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ICS – Inhaled Corticosteroids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LABA – Long-Acting β₂-Agonist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LAMA – Long-Acting Muscarinic Antagonist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OCS – Oral Corticosteroids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SD – Standard Deviation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SNOT-22 – Sinonasal Outcome Test-22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T2 – Type 2 (Inflammation)</w:t>
      </w:r>
      <w:r w:rsidRPr="00695FAD">
        <w:rPr>
          <w:rFonts w:ascii="Times New Roman" w:eastAsia="Times New Roman" w:hAnsi="Times New Roman" w:cs="Times New Roman"/>
          <w:lang w:val="en-GB" w:eastAsia="es-ES_tradnl"/>
        </w:rPr>
        <w:br/>
        <w:t>TSLP – Thymic Stromal Lymphopoietin</w:t>
      </w:r>
    </w:p>
    <w:p w14:paraId="5AB53C3A" w14:textId="77777777" w:rsidR="001E3483" w:rsidRPr="00695FAD" w:rsidRDefault="001E3483" w:rsidP="00284C38">
      <w:pPr>
        <w:pStyle w:val="NormalWeb"/>
        <w:spacing w:line="360" w:lineRule="auto"/>
        <w:jc w:val="both"/>
        <w:rPr>
          <w:color w:val="000000" w:themeColor="text1"/>
          <w:sz w:val="22"/>
          <w:lang w:val="en-GB"/>
        </w:rPr>
      </w:pPr>
    </w:p>
    <w:p w14:paraId="0BF082EE" w14:textId="77777777" w:rsidR="00174F75" w:rsidRPr="00695FAD" w:rsidRDefault="00174F75" w:rsidP="00284C38">
      <w:pPr>
        <w:rPr>
          <w:rFonts w:ascii="Times New Roman" w:hAnsi="Times New Roman" w:cs="Times New Roman"/>
          <w:sz w:val="20"/>
          <w:lang w:val="en-GB"/>
        </w:rPr>
      </w:pPr>
    </w:p>
    <w:sectPr w:rsidR="00174F75" w:rsidRPr="00695FAD" w:rsidSect="004F3E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F75"/>
    <w:rsid w:val="000C635A"/>
    <w:rsid w:val="00174F75"/>
    <w:rsid w:val="001830A3"/>
    <w:rsid w:val="0019620C"/>
    <w:rsid w:val="001B65BF"/>
    <w:rsid w:val="001E3483"/>
    <w:rsid w:val="00201702"/>
    <w:rsid w:val="002553F4"/>
    <w:rsid w:val="00275964"/>
    <w:rsid w:val="00284C38"/>
    <w:rsid w:val="002B3E5D"/>
    <w:rsid w:val="003872FE"/>
    <w:rsid w:val="003902BA"/>
    <w:rsid w:val="00397735"/>
    <w:rsid w:val="0045021F"/>
    <w:rsid w:val="00461864"/>
    <w:rsid w:val="004B64A8"/>
    <w:rsid w:val="004F3E8E"/>
    <w:rsid w:val="00524FA4"/>
    <w:rsid w:val="005A1369"/>
    <w:rsid w:val="005A3F18"/>
    <w:rsid w:val="00614EAD"/>
    <w:rsid w:val="00654AE6"/>
    <w:rsid w:val="00695FAD"/>
    <w:rsid w:val="006B0F9A"/>
    <w:rsid w:val="006E3203"/>
    <w:rsid w:val="007E0966"/>
    <w:rsid w:val="00970235"/>
    <w:rsid w:val="00982F49"/>
    <w:rsid w:val="009D1748"/>
    <w:rsid w:val="00A32F11"/>
    <w:rsid w:val="00B624D1"/>
    <w:rsid w:val="00BE7811"/>
    <w:rsid w:val="00BF26B6"/>
    <w:rsid w:val="00C300DA"/>
    <w:rsid w:val="00C45B47"/>
    <w:rsid w:val="00C6741A"/>
    <w:rsid w:val="00C917ED"/>
    <w:rsid w:val="00CA1B19"/>
    <w:rsid w:val="00CB0A0D"/>
    <w:rsid w:val="00DB236B"/>
    <w:rsid w:val="00E5639D"/>
    <w:rsid w:val="00EE65C1"/>
    <w:rsid w:val="00F33B88"/>
    <w:rsid w:val="00F71AE7"/>
    <w:rsid w:val="00F73E76"/>
    <w:rsid w:val="00F82F82"/>
    <w:rsid w:val="00FE65A9"/>
    <w:rsid w:val="00FF139F"/>
    <w:rsid w:val="00FF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4C4A"/>
  <w15:chartTrackingRefBased/>
  <w15:docId w15:val="{E96D52F9-A150-4E01-8979-0BF28EDE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3E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4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3E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Ttulo1"/>
    <w:autoRedefine/>
    <w:uiPriority w:val="1"/>
    <w:qFormat/>
    <w:rsid w:val="002B3E5D"/>
    <w:pPr>
      <w:keepNext w:val="0"/>
      <w:keepLines w:val="0"/>
      <w:widowControl w:val="0"/>
      <w:autoSpaceDE w:val="0"/>
      <w:autoSpaceDN w:val="0"/>
      <w:spacing w:before="0" w:line="240" w:lineRule="auto"/>
      <w:ind w:left="101"/>
      <w:jc w:val="center"/>
    </w:pPr>
    <w:rPr>
      <w:rFonts w:ascii="Calibri" w:eastAsia="Calibri" w:hAnsi="Calibri" w:cs="Calibri"/>
      <w:b/>
      <w:bCs/>
      <w:color w:val="auto"/>
      <w:sz w:val="22"/>
      <w:szCs w:val="22"/>
      <w:lang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2B3E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3E8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F3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Fuerte">
    <w:name w:val="Strong"/>
    <w:basedOn w:val="Fuentedeprrafopredeter"/>
    <w:uiPriority w:val="22"/>
    <w:qFormat/>
    <w:rsid w:val="004F3E8E"/>
    <w:rPr>
      <w:b/>
      <w:bCs/>
    </w:rPr>
  </w:style>
  <w:style w:type="character" w:styleId="nfasis">
    <w:name w:val="Emphasis"/>
    <w:basedOn w:val="Fuentedeprrafopredeter"/>
    <w:uiPriority w:val="20"/>
    <w:qFormat/>
    <w:rsid w:val="004F3E8E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B624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183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1830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web2">
    <w:name w:val="Table Web 2"/>
    <w:basedOn w:val="Tablanormal"/>
    <w:uiPriority w:val="99"/>
    <w:rsid w:val="00F71AE7"/>
    <w:pPr>
      <w:spacing w:after="0" w:line="240" w:lineRule="auto"/>
    </w:pPr>
    <w:rPr>
      <w:kern w:val="2"/>
      <w:sz w:val="24"/>
      <w:szCs w:val="24"/>
      <w14:ligatures w14:val="standardContextu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Cantabria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Santibañez Margüello, Miguel</dc:creator>
  <cp:keywords/>
  <dc:description/>
  <cp:lastModifiedBy>Juan Luis Garcia Rivero</cp:lastModifiedBy>
  <cp:revision>25</cp:revision>
  <dcterms:created xsi:type="dcterms:W3CDTF">2025-10-21T17:15:00Z</dcterms:created>
  <dcterms:modified xsi:type="dcterms:W3CDTF">2026-02-19T21:10:00Z</dcterms:modified>
</cp:coreProperties>
</file>