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C97" w:rsidRDefault="00200C97" w:rsidP="00200C97">
      <w:pPr>
        <w:spacing w:line="480" w:lineRule="auto"/>
        <w:rPr>
          <w:rFonts w:ascii="Times New Roman" w:hAnsi="Times New Roman" w:cs="Times New Roman"/>
          <w:szCs w:val="21"/>
        </w:rPr>
      </w:pPr>
      <w:proofErr w:type="gramStart"/>
      <w:r>
        <w:rPr>
          <w:rFonts w:ascii="Times New Roman Bold" w:hAnsi="Times New Roman Bold" w:cs="Times New Roman Bold"/>
          <w:b/>
          <w:bCs/>
          <w:szCs w:val="21"/>
        </w:rPr>
        <w:t>Supplementary figure 1.</w:t>
      </w:r>
      <w:proofErr w:type="gramEnd"/>
      <w:r>
        <w:rPr>
          <w:rFonts w:ascii="Times New Roman Bold" w:hAnsi="Times New Roman Bold" w:cs="Times New Roman Bold"/>
          <w:b/>
          <w:bCs/>
          <w:szCs w:val="21"/>
        </w:rPr>
        <w:t xml:space="preserve"> </w:t>
      </w:r>
      <w:proofErr w:type="gramStart"/>
      <w:r>
        <w:rPr>
          <w:rFonts w:ascii="Times New Roman Bold" w:hAnsi="Times New Roman Bold" w:cs="Times New Roman Bold"/>
          <w:b/>
          <w:bCs/>
          <w:szCs w:val="21"/>
        </w:rPr>
        <w:t>Expression localization analysis of RS1 in lung cells.</w:t>
      </w:r>
      <w:proofErr w:type="gramEnd"/>
      <w:r>
        <w:rPr>
          <w:rFonts w:ascii="Times New Roman Bold" w:hAnsi="Times New Roman Bold" w:cs="Times New Roman Bold"/>
          <w:b/>
          <w:bCs/>
          <w:szCs w:val="21"/>
        </w:rPr>
        <w:t> </w:t>
      </w:r>
      <w:r>
        <w:rPr>
          <w:rFonts w:ascii="Times New Roman" w:hAnsi="Times New Roman" w:cs="Times New Roman"/>
          <w:szCs w:val="21"/>
        </w:rPr>
        <w:t>(A-C) UMAP visualizations based on the public single-cell transcriptomic dataset (GSE136831), showing the distribution of major lung cell populations. Dot color intensity represents the expression level of the RS1 gene (log-normalized counts).</w:t>
      </w:r>
    </w:p>
    <w:p w:rsidR="00200C97" w:rsidRDefault="00200C97" w:rsidP="00200C97">
      <w:pPr>
        <w:spacing w:line="480" w:lineRule="auto"/>
        <w:rPr>
          <w:rFonts w:ascii="Times New Roman Bold" w:hAnsi="Times New Roman Bold" w:cs="Times New Roman Bold"/>
          <w:b/>
          <w:bCs/>
          <w:szCs w:val="21"/>
          <w:highlight w:val="yellow"/>
        </w:rPr>
      </w:pPr>
      <w:r>
        <w:rPr>
          <w:rFonts w:ascii="Times New Roman Bold" w:hAnsi="Times New Roman Bold" w:cs="Times New Roman Bold"/>
          <w:b/>
          <w:bCs/>
          <w:noProof/>
          <w:szCs w:val="21"/>
          <w:highlight w:val="yellow"/>
          <w:lang w:eastAsia="en-US"/>
        </w:rPr>
        <w:drawing>
          <wp:anchor distT="0" distB="0" distL="114300" distR="114300" simplePos="0" relativeHeight="251659264" behindDoc="0" locked="0" layoutInCell="1" allowOverlap="1" wp14:anchorId="546BE4FF" wp14:editId="4A3CE23A">
            <wp:simplePos x="0" y="0"/>
            <wp:positionH relativeFrom="column">
              <wp:posOffset>0</wp:posOffset>
            </wp:positionH>
            <wp:positionV relativeFrom="paragraph">
              <wp:posOffset>50800</wp:posOffset>
            </wp:positionV>
            <wp:extent cx="5273040" cy="1868805"/>
            <wp:effectExtent l="0" t="0" r="10160" b="10795"/>
            <wp:wrapNone/>
            <wp:docPr id="8" name="图片 8" descr="Supplement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 figure 1"/>
                    <pic:cNvPicPr>
                      <a:picLocks noChangeAspect="1"/>
                    </pic:cNvPicPr>
                  </pic:nvPicPr>
                  <pic:blipFill>
                    <a:blip r:embed="rId5"/>
                    <a:stretch>
                      <a:fillRect/>
                    </a:stretch>
                  </pic:blipFill>
                  <pic:spPr>
                    <a:xfrm>
                      <a:off x="0" y="0"/>
                      <a:ext cx="5273040" cy="1868805"/>
                    </a:xfrm>
                    <a:prstGeom prst="rect">
                      <a:avLst/>
                    </a:prstGeom>
                  </pic:spPr>
                </pic:pic>
              </a:graphicData>
            </a:graphic>
          </wp:anchor>
        </w:drawing>
      </w: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bookmarkStart w:id="0" w:name="_GoBack"/>
      <w:bookmarkEnd w:id="0"/>
    </w:p>
    <w:p w:rsidR="00200C97" w:rsidRDefault="00200C97" w:rsidP="00200C97">
      <w:pPr>
        <w:spacing w:line="480" w:lineRule="auto"/>
        <w:rPr>
          <w:rFonts w:ascii="Times New Roman Regular" w:eastAsia="Helvetica Neue" w:hAnsi="Times New Roman Regular" w:cs="Times New Roman Regular"/>
          <w:color w:val="0F1115"/>
          <w:kern w:val="0"/>
          <w:szCs w:val="21"/>
          <w:highlight w:val="yellow"/>
          <w:shd w:val="clear" w:color="auto" w:fill="FFFFFF"/>
          <w:lang w:bidi="ar"/>
        </w:rPr>
      </w:pPr>
      <w:r>
        <w:rPr>
          <w:rFonts w:ascii="Times New Roman Bold" w:hAnsi="Times New Roman Bold" w:cs="Times New Roman Bold"/>
          <w:b/>
          <w:bCs/>
          <w:szCs w:val="21"/>
          <w:highlight w:val="yellow"/>
        </w:rPr>
        <w:lastRenderedPageBreak/>
        <w:t>S</w:t>
      </w:r>
      <w:r>
        <w:rPr>
          <w:rFonts w:ascii="Times New Roman Bold" w:hAnsi="Times New Roman Bold" w:cs="Times New Roman Bold" w:hint="eastAsia"/>
          <w:b/>
          <w:bCs/>
          <w:szCs w:val="21"/>
          <w:highlight w:val="yellow"/>
        </w:rPr>
        <w:t>upplement</w:t>
      </w:r>
      <w:r>
        <w:rPr>
          <w:rFonts w:ascii="Times New Roman Bold" w:hAnsi="Times New Roman Bold" w:cs="Times New Roman Bold"/>
          <w:b/>
          <w:bCs/>
          <w:szCs w:val="21"/>
          <w:highlight w:val="yellow"/>
        </w:rPr>
        <w:t xml:space="preserve"> figure 2. RS1 deficiency in AT2 cells attenuates cigarette smoke-induced inflammatory cell infiltration in the lung.</w:t>
      </w:r>
      <w:r>
        <w:rPr>
          <w:rFonts w:ascii="Times New Roman" w:hAnsi="Times New Roman" w:cs="Times New Roman"/>
          <w:szCs w:val="21"/>
          <w:highlight w:val="yellow"/>
        </w:rPr>
        <w:t> </w:t>
      </w:r>
      <w:proofErr w:type="spellStart"/>
      <w:r>
        <w:rPr>
          <w:rFonts w:ascii="Times New Roman" w:hAnsi="Times New Roman" w:cs="Times New Roman"/>
          <w:szCs w:val="21"/>
          <w:highlight w:val="yellow"/>
        </w:rPr>
        <w:t>Bronchoalveolar</w:t>
      </w:r>
      <w:proofErr w:type="spellEnd"/>
      <w:r>
        <w:rPr>
          <w:rFonts w:ascii="Times New Roman" w:hAnsi="Times New Roman" w:cs="Times New Roman"/>
          <w:szCs w:val="21"/>
          <w:highlight w:val="yellow"/>
        </w:rPr>
        <w:t xml:space="preserve"> lavage fluid (BALF) was collected from the indicated mouse groups for cell counting and differential analysis. The total cell counts</w:t>
      </w:r>
      <w:r>
        <w:rPr>
          <w:rFonts w:ascii="Times New Roman" w:hAnsi="Times New Roman" w:cs="Times New Roman" w:hint="eastAsia"/>
          <w:szCs w:val="21"/>
          <w:highlight w:val="yellow"/>
        </w:rPr>
        <w:t xml:space="preserve"> </w:t>
      </w:r>
      <w:r>
        <w:rPr>
          <w:rFonts w:ascii="Times New Roman" w:hAnsi="Times New Roman" w:cs="Times New Roman"/>
          <w:szCs w:val="21"/>
          <w:highlight w:val="yellow"/>
        </w:rPr>
        <w:t>(A), as well as the numbers of macrophages (B), lymphocytes (C), and neutrophils (D), were significantly increased in the BALF of RS1</w:t>
      </w:r>
      <w:r>
        <w:rPr>
          <w:rFonts w:ascii="Times New Roman" w:hAnsi="Times New Roman" w:cs="Times New Roman"/>
          <w:szCs w:val="21"/>
          <w:highlight w:val="yellow"/>
          <w:vertAlign w:val="superscript"/>
        </w:rPr>
        <w:t>fl/</w:t>
      </w:r>
      <w:proofErr w:type="spellStart"/>
      <w:r>
        <w:rPr>
          <w:rFonts w:ascii="Times New Roman" w:hAnsi="Times New Roman" w:cs="Times New Roman"/>
          <w:szCs w:val="21"/>
          <w:highlight w:val="yellow"/>
          <w:vertAlign w:val="superscript"/>
        </w:rPr>
        <w:t>fl</w:t>
      </w:r>
      <w:r>
        <w:rPr>
          <w:rFonts w:ascii="Times New Roman" w:hAnsi="Times New Roman" w:cs="Times New Roman"/>
          <w:szCs w:val="21"/>
          <w:highlight w:val="yellow"/>
        </w:rPr>
        <w:t>+CS</w:t>
      </w:r>
      <w:proofErr w:type="spellEnd"/>
      <w:r>
        <w:rPr>
          <w:rFonts w:ascii="Times New Roman" w:hAnsi="Times New Roman" w:cs="Times New Roman"/>
          <w:szCs w:val="21"/>
          <w:highlight w:val="yellow"/>
        </w:rPr>
        <w:t xml:space="preserve"> mice compared to controls. In contrast, AT2 cell-specific knockout of RS1 (</w:t>
      </w:r>
      <w:proofErr w:type="spellStart"/>
      <w:r>
        <w:rPr>
          <w:rFonts w:ascii="Times New Roman" w:hAnsi="Times New Roman" w:cs="Times New Roman"/>
          <w:szCs w:val="21"/>
          <w:highlight w:val="yellow"/>
        </w:rPr>
        <w:t>Sftpccre</w:t>
      </w:r>
      <w:proofErr w:type="spellEnd"/>
      <w:r>
        <w:rPr>
          <w:rFonts w:ascii="Times New Roman" w:hAnsi="Times New Roman" w:cs="Times New Roman"/>
          <w:szCs w:val="21"/>
          <w:highlight w:val="yellow"/>
        </w:rPr>
        <w:t>; RS1</w:t>
      </w:r>
      <w:r>
        <w:rPr>
          <w:rFonts w:ascii="Times New Roman" w:hAnsi="Times New Roman" w:cs="Times New Roman"/>
          <w:szCs w:val="21"/>
          <w:highlight w:val="yellow"/>
          <w:vertAlign w:val="superscript"/>
        </w:rPr>
        <w:t>fl/</w:t>
      </w:r>
      <w:proofErr w:type="spellStart"/>
      <w:r>
        <w:rPr>
          <w:rFonts w:ascii="Times New Roman" w:hAnsi="Times New Roman" w:cs="Times New Roman"/>
          <w:szCs w:val="21"/>
          <w:highlight w:val="yellow"/>
          <w:vertAlign w:val="superscript"/>
        </w:rPr>
        <w:t>fl</w:t>
      </w:r>
      <w:r>
        <w:rPr>
          <w:rFonts w:ascii="Times New Roman" w:hAnsi="Times New Roman" w:cs="Times New Roman"/>
          <w:szCs w:val="21"/>
          <w:highlight w:val="yellow"/>
        </w:rPr>
        <w:t>+CS</w:t>
      </w:r>
      <w:proofErr w:type="spellEnd"/>
      <w:r>
        <w:rPr>
          <w:rFonts w:ascii="Times New Roman" w:hAnsi="Times New Roman" w:cs="Times New Roman"/>
          <w:szCs w:val="21"/>
          <w:highlight w:val="yellow"/>
        </w:rPr>
        <w:t>) significantly reduced the total cell, macrophage, and lymphocyte counts, while neutrophil numbers were not significantly altered. Data are presented as mean ± SEM; *</w:t>
      </w:r>
      <w:r>
        <w:rPr>
          <w:rFonts w:ascii="Times New Roman Italic" w:hAnsi="Times New Roman Italic" w:cs="Times New Roman Italic"/>
          <w:i/>
          <w:iCs/>
          <w:szCs w:val="21"/>
          <w:highlight w:val="yellow"/>
        </w:rPr>
        <w:t>P</w:t>
      </w:r>
      <w:r>
        <w:rPr>
          <w:rFonts w:ascii="Times New Roman" w:hAnsi="Times New Roman" w:cs="Times New Roman"/>
          <w:szCs w:val="21"/>
          <w:highlight w:val="yellow"/>
        </w:rPr>
        <w:t xml:space="preserve"> &lt; 0.05, **</w:t>
      </w:r>
      <w:r>
        <w:rPr>
          <w:rFonts w:ascii="Times New Roman Italic" w:hAnsi="Times New Roman Italic" w:cs="Times New Roman Italic"/>
          <w:i/>
          <w:iCs/>
          <w:szCs w:val="21"/>
          <w:highlight w:val="yellow"/>
        </w:rPr>
        <w:t>P</w:t>
      </w:r>
      <w:r>
        <w:rPr>
          <w:rFonts w:ascii="Times New Roman" w:hAnsi="Times New Roman" w:cs="Times New Roman"/>
          <w:szCs w:val="21"/>
          <w:highlight w:val="yellow"/>
        </w:rPr>
        <w:t xml:space="preserve"> &lt; 0.01, ***</w:t>
      </w:r>
      <w:r>
        <w:rPr>
          <w:rFonts w:ascii="Times New Roman Italic" w:hAnsi="Times New Roman Italic" w:cs="Times New Roman Italic"/>
          <w:i/>
          <w:iCs/>
          <w:szCs w:val="21"/>
          <w:highlight w:val="yellow"/>
        </w:rPr>
        <w:t>P</w:t>
      </w:r>
      <w:r>
        <w:rPr>
          <w:rFonts w:ascii="Times New Roman" w:hAnsi="Times New Roman" w:cs="Times New Roman"/>
          <w:szCs w:val="21"/>
          <w:highlight w:val="yellow"/>
        </w:rPr>
        <w:t xml:space="preserve"> &lt; 0.001, ****</w:t>
      </w:r>
      <w:r>
        <w:rPr>
          <w:rFonts w:ascii="Times New Roman Italic" w:hAnsi="Times New Roman Italic" w:cs="Times New Roman Italic"/>
          <w:i/>
          <w:iCs/>
          <w:szCs w:val="21"/>
          <w:highlight w:val="yellow"/>
        </w:rPr>
        <w:t>P</w:t>
      </w:r>
      <w:r>
        <w:rPr>
          <w:rFonts w:ascii="Times New Roman" w:hAnsi="Times New Roman" w:cs="Times New Roman"/>
          <w:szCs w:val="21"/>
          <w:highlight w:val="yellow"/>
        </w:rPr>
        <w:t xml:space="preserve"> &lt; 0.0001 (two-tailed t-test).</w:t>
      </w:r>
    </w:p>
    <w:p w:rsidR="00200C97" w:rsidRDefault="00200C97" w:rsidP="00200C97">
      <w:pPr>
        <w:spacing w:line="480" w:lineRule="auto"/>
        <w:rPr>
          <w:rFonts w:ascii="Times New Roman Bold" w:hAnsi="Times New Roman Bold" w:cs="Times New Roman Bold"/>
          <w:b/>
          <w:bCs/>
          <w:szCs w:val="21"/>
        </w:rPr>
      </w:pPr>
      <w:r>
        <w:rPr>
          <w:rFonts w:ascii="Times New Roman Bold" w:hAnsi="Times New Roman Bold" w:cs="Times New Roman Bold"/>
          <w:b/>
          <w:bCs/>
          <w:noProof/>
          <w:szCs w:val="21"/>
          <w:lang w:eastAsia="en-US"/>
        </w:rPr>
        <w:drawing>
          <wp:anchor distT="0" distB="0" distL="114300" distR="114300" simplePos="0" relativeHeight="251660288" behindDoc="0" locked="0" layoutInCell="1" allowOverlap="1" wp14:anchorId="1CBFB1E0" wp14:editId="011799F2">
            <wp:simplePos x="0" y="0"/>
            <wp:positionH relativeFrom="column">
              <wp:posOffset>0</wp:posOffset>
            </wp:positionH>
            <wp:positionV relativeFrom="paragraph">
              <wp:posOffset>78740</wp:posOffset>
            </wp:positionV>
            <wp:extent cx="5261610" cy="1602740"/>
            <wp:effectExtent l="0" t="0" r="21590" b="22860"/>
            <wp:wrapNone/>
            <wp:docPr id="9" name="图片 9" descr="Supplement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 figure 2"/>
                    <pic:cNvPicPr>
                      <a:picLocks noChangeAspect="1"/>
                    </pic:cNvPicPr>
                  </pic:nvPicPr>
                  <pic:blipFill>
                    <a:blip r:embed="rId6"/>
                    <a:stretch>
                      <a:fillRect/>
                    </a:stretch>
                  </pic:blipFill>
                  <pic:spPr>
                    <a:xfrm>
                      <a:off x="0" y="0"/>
                      <a:ext cx="5261610" cy="1602740"/>
                    </a:xfrm>
                    <a:prstGeom prst="rect">
                      <a:avLst/>
                    </a:prstGeom>
                  </pic:spPr>
                </pic:pic>
              </a:graphicData>
            </a:graphic>
          </wp:anchor>
        </w:drawing>
      </w: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w:hAnsi="Times New Roman" w:cs="Times New Roman"/>
          <w:szCs w:val="21"/>
          <w:highlight w:val="yellow"/>
        </w:rPr>
      </w:pPr>
      <w:proofErr w:type="gramStart"/>
      <w:r>
        <w:rPr>
          <w:rFonts w:ascii="Times New Roman Bold" w:hAnsi="Times New Roman Bold" w:cs="Times New Roman Bold"/>
          <w:b/>
          <w:bCs/>
          <w:szCs w:val="21"/>
          <w:highlight w:val="yellow"/>
        </w:rPr>
        <w:lastRenderedPageBreak/>
        <w:t>Supplementary figure 3.</w:t>
      </w:r>
      <w:proofErr w:type="gramEnd"/>
      <w:r>
        <w:rPr>
          <w:rFonts w:ascii="Times New Roman Bold" w:hAnsi="Times New Roman Bold" w:cs="Times New Roman Bold"/>
          <w:b/>
          <w:bCs/>
          <w:szCs w:val="21"/>
          <w:highlight w:val="yellow"/>
        </w:rPr>
        <w:t xml:space="preserve"> </w:t>
      </w:r>
      <w:proofErr w:type="gramStart"/>
      <w:r>
        <w:rPr>
          <w:rFonts w:ascii="Times New Roman Bold" w:hAnsi="Times New Roman Bold" w:cs="Times New Roman Bold"/>
          <w:b/>
          <w:bCs/>
          <w:szCs w:val="21"/>
          <w:highlight w:val="yellow"/>
        </w:rPr>
        <w:t>Negative control.</w:t>
      </w:r>
      <w:proofErr w:type="gramEnd"/>
      <w:r>
        <w:rPr>
          <w:rFonts w:ascii="Times New Roman Bold" w:hAnsi="Times New Roman Bold" w:cs="Times New Roman Bold"/>
          <w:b/>
          <w:bCs/>
          <w:szCs w:val="21"/>
          <w:highlight w:val="yellow"/>
        </w:rPr>
        <w:t> </w:t>
      </w:r>
      <w:r>
        <w:rPr>
          <w:rFonts w:ascii="Times New Roman" w:hAnsi="Times New Roman" w:cs="Times New Roman"/>
          <w:szCs w:val="21"/>
          <w:highlight w:val="yellow"/>
        </w:rPr>
        <w:t xml:space="preserve">(A) In the negative control group, PBS was used in place of </w:t>
      </w:r>
      <w:proofErr w:type="spellStart"/>
      <w:r>
        <w:rPr>
          <w:rFonts w:ascii="Times New Roman" w:hAnsi="Times New Roman" w:cs="Times New Roman"/>
          <w:szCs w:val="21"/>
          <w:highlight w:val="yellow"/>
        </w:rPr>
        <w:t>EdU</w:t>
      </w:r>
      <w:proofErr w:type="spellEnd"/>
      <w:r>
        <w:rPr>
          <w:rFonts w:ascii="Times New Roman" w:hAnsi="Times New Roman" w:cs="Times New Roman"/>
          <w:szCs w:val="21"/>
          <w:highlight w:val="yellow"/>
        </w:rPr>
        <w:t xml:space="preserve"> staining, and only DAPI nuclear staining (blue) was visible, Scale bar: 50 </w:t>
      </w:r>
      <w:proofErr w:type="spellStart"/>
      <w:r>
        <w:rPr>
          <w:rFonts w:ascii="Times New Roman" w:hAnsi="Times New Roman" w:cs="Times New Roman"/>
          <w:szCs w:val="21"/>
          <w:highlight w:val="yellow"/>
        </w:rPr>
        <w:t>μm</w:t>
      </w:r>
      <w:proofErr w:type="spellEnd"/>
      <w:r>
        <w:rPr>
          <w:rFonts w:ascii="Times New Roman" w:hAnsi="Times New Roman" w:cs="Times New Roman"/>
          <w:szCs w:val="21"/>
          <w:highlight w:val="yellow"/>
        </w:rPr>
        <w:t>. (B-D) Negative control staining was performed with PBS substituted for the primary antibody, followed by incubation with the secondary antibody. Only DAPI nuclear staining was visible, confirming the specificity of the immunostaining</w:t>
      </w:r>
      <w:r>
        <w:rPr>
          <w:rFonts w:ascii="Times New Roman" w:hAnsi="Times New Roman" w:cs="Times New Roman" w:hint="eastAsia"/>
          <w:szCs w:val="21"/>
          <w:highlight w:val="yellow"/>
        </w:rPr>
        <w:t xml:space="preserve"> </w:t>
      </w:r>
      <w:r>
        <w:rPr>
          <w:rFonts w:ascii="Times New Roman" w:hAnsi="Times New Roman" w:cs="Times New Roman"/>
          <w:szCs w:val="21"/>
          <w:highlight w:val="yellow"/>
        </w:rPr>
        <w:t xml:space="preserve">(Supplementary </w:t>
      </w:r>
      <w:r>
        <w:rPr>
          <w:rFonts w:ascii="Times New Roman" w:hAnsi="Times New Roman" w:cs="Times New Roman" w:hint="eastAsia"/>
          <w:szCs w:val="21"/>
          <w:highlight w:val="yellow"/>
        </w:rPr>
        <w:t>f</w:t>
      </w:r>
      <w:r>
        <w:rPr>
          <w:rFonts w:ascii="Times New Roman" w:hAnsi="Times New Roman" w:cs="Times New Roman"/>
          <w:szCs w:val="21"/>
          <w:highlight w:val="yellow"/>
        </w:rPr>
        <w:t xml:space="preserve">igure 3B, D, Scale bar: 200 </w:t>
      </w:r>
      <w:proofErr w:type="spellStart"/>
      <w:r>
        <w:rPr>
          <w:rFonts w:ascii="Times New Roman" w:hAnsi="Times New Roman" w:cs="Times New Roman"/>
          <w:szCs w:val="21"/>
          <w:highlight w:val="yellow"/>
        </w:rPr>
        <w:t>μm</w:t>
      </w:r>
      <w:proofErr w:type="spellEnd"/>
      <w:r>
        <w:rPr>
          <w:rFonts w:ascii="Times New Roman" w:hAnsi="Times New Roman" w:cs="Times New Roman"/>
          <w:szCs w:val="21"/>
          <w:highlight w:val="yellow"/>
        </w:rPr>
        <w:t xml:space="preserve">; Supplementary </w:t>
      </w:r>
      <w:r>
        <w:rPr>
          <w:rFonts w:ascii="Times New Roman" w:hAnsi="Times New Roman" w:cs="Times New Roman" w:hint="eastAsia"/>
          <w:szCs w:val="21"/>
          <w:highlight w:val="yellow"/>
        </w:rPr>
        <w:t>f</w:t>
      </w:r>
      <w:r>
        <w:rPr>
          <w:rFonts w:ascii="Times New Roman" w:hAnsi="Times New Roman" w:cs="Times New Roman"/>
          <w:szCs w:val="21"/>
          <w:highlight w:val="yellow"/>
        </w:rPr>
        <w:t xml:space="preserve">igure 3C, Scale bar: </w:t>
      </w:r>
      <w:r>
        <w:rPr>
          <w:rFonts w:ascii="Times New Roman" w:hAnsi="Times New Roman" w:cs="Times New Roman" w:hint="eastAsia"/>
          <w:szCs w:val="21"/>
          <w:highlight w:val="yellow"/>
        </w:rPr>
        <w:t>20</w:t>
      </w:r>
      <w:r>
        <w:rPr>
          <w:rFonts w:ascii="Times New Roman" w:hAnsi="Times New Roman" w:cs="Times New Roman"/>
          <w:szCs w:val="21"/>
          <w:highlight w:val="yellow"/>
        </w:rPr>
        <w:t xml:space="preserve">0 </w:t>
      </w:r>
      <w:proofErr w:type="spellStart"/>
      <w:r>
        <w:rPr>
          <w:rFonts w:ascii="Times New Roman" w:hAnsi="Times New Roman" w:cs="Times New Roman"/>
          <w:szCs w:val="21"/>
          <w:highlight w:val="yellow"/>
        </w:rPr>
        <w:t>μm</w:t>
      </w:r>
      <w:proofErr w:type="spellEnd"/>
      <w:r>
        <w:rPr>
          <w:rFonts w:ascii="Times New Roman" w:hAnsi="Times New Roman" w:cs="Times New Roman"/>
          <w:szCs w:val="21"/>
          <w:highlight w:val="yellow"/>
        </w:rPr>
        <w:t xml:space="preserve">). </w:t>
      </w:r>
    </w:p>
    <w:p w:rsidR="00200C97" w:rsidRDefault="00200C97" w:rsidP="00200C97">
      <w:pPr>
        <w:spacing w:line="480" w:lineRule="auto"/>
        <w:rPr>
          <w:rFonts w:ascii="Times New Roman" w:hAnsi="Times New Roman" w:cs="Times New Roman"/>
          <w:szCs w:val="21"/>
          <w:highlight w:val="yellow"/>
        </w:rPr>
      </w:pPr>
      <w:r>
        <w:rPr>
          <w:rFonts w:ascii="Times New Roman" w:hAnsi="Times New Roman" w:cs="Times New Roman"/>
          <w:noProof/>
          <w:szCs w:val="21"/>
          <w:highlight w:val="yellow"/>
          <w:lang w:eastAsia="en-US"/>
        </w:rPr>
        <w:drawing>
          <wp:anchor distT="0" distB="0" distL="114300" distR="114300" simplePos="0" relativeHeight="251661312" behindDoc="0" locked="0" layoutInCell="1" allowOverlap="1" wp14:anchorId="01799BE7" wp14:editId="315EAF3B">
            <wp:simplePos x="0" y="0"/>
            <wp:positionH relativeFrom="column">
              <wp:posOffset>0</wp:posOffset>
            </wp:positionH>
            <wp:positionV relativeFrom="paragraph">
              <wp:posOffset>15240</wp:posOffset>
            </wp:positionV>
            <wp:extent cx="5263515" cy="3714750"/>
            <wp:effectExtent l="0" t="0" r="19685" b="19050"/>
            <wp:wrapNone/>
            <wp:docPr id="10" name="图片 10" descr="Supplement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 figure 3"/>
                    <pic:cNvPicPr>
                      <a:picLocks noChangeAspect="1"/>
                    </pic:cNvPicPr>
                  </pic:nvPicPr>
                  <pic:blipFill>
                    <a:blip r:embed="rId7"/>
                    <a:stretch>
                      <a:fillRect/>
                    </a:stretch>
                  </pic:blipFill>
                  <pic:spPr>
                    <a:xfrm>
                      <a:off x="0" y="0"/>
                      <a:ext cx="5263515" cy="3714750"/>
                    </a:xfrm>
                    <a:prstGeom prst="rect">
                      <a:avLst/>
                    </a:prstGeom>
                  </pic:spPr>
                </pic:pic>
              </a:graphicData>
            </a:graphic>
          </wp:anchor>
        </w:drawing>
      </w: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Default="00200C97" w:rsidP="00200C97">
      <w:pPr>
        <w:spacing w:line="480" w:lineRule="auto"/>
        <w:rPr>
          <w:rFonts w:ascii="Times New Roman Bold" w:hAnsi="Times New Roman Bold" w:cs="Times New Roman Bold"/>
          <w:b/>
          <w:bCs/>
          <w:szCs w:val="21"/>
          <w:highlight w:val="yellow"/>
        </w:rPr>
      </w:pPr>
    </w:p>
    <w:p w:rsidR="00200C97" w:rsidRPr="00200C97" w:rsidRDefault="00200C97" w:rsidP="00200C97">
      <w:pPr>
        <w:widowControl/>
        <w:jc w:val="left"/>
        <w:rPr>
          <w:rFonts w:ascii="Times New Roman Bold" w:hAnsi="Times New Roman Bold" w:cs="Times New Roman Bold"/>
          <w:b/>
          <w:bCs/>
          <w:szCs w:val="21"/>
          <w:highlight w:val="yellow"/>
        </w:rPr>
      </w:pPr>
      <w:r>
        <w:rPr>
          <w:rFonts w:ascii="Times New Roman Bold" w:hAnsi="Times New Roman Bold" w:cs="Times New Roman Bold"/>
          <w:b/>
          <w:bCs/>
          <w:szCs w:val="21"/>
          <w:highlight w:val="yellow"/>
        </w:rPr>
        <w:br w:type="page"/>
      </w:r>
      <w:proofErr w:type="gramStart"/>
      <w:r>
        <w:rPr>
          <w:rFonts w:ascii="Times New Roman Bold" w:hAnsi="Times New Roman Bold" w:cs="Times New Roman Bold"/>
          <w:b/>
          <w:bCs/>
          <w:szCs w:val="21"/>
          <w:highlight w:val="yellow"/>
        </w:rPr>
        <w:lastRenderedPageBreak/>
        <w:t>Supplementary figure 4.</w:t>
      </w:r>
      <w:proofErr w:type="gramEnd"/>
      <w:r>
        <w:rPr>
          <w:rFonts w:ascii="Times New Roman Bold" w:hAnsi="Times New Roman Bold" w:cs="Times New Roman Bold"/>
          <w:b/>
          <w:bCs/>
          <w:szCs w:val="21"/>
          <w:highlight w:val="yellow"/>
        </w:rPr>
        <w:t xml:space="preserve"> </w:t>
      </w:r>
      <w:proofErr w:type="gramStart"/>
      <w:r>
        <w:rPr>
          <w:rFonts w:ascii="Times New Roman" w:hAnsi="Times New Roman" w:cs="Times New Roman"/>
          <w:szCs w:val="21"/>
          <w:highlight w:val="yellow"/>
        </w:rPr>
        <w:t>Gating strategy for pulmonary immune cells and AT2 cells.</w:t>
      </w:r>
      <w:proofErr w:type="gramEnd"/>
    </w:p>
    <w:p w:rsidR="00200C97" w:rsidRDefault="00200C97" w:rsidP="00200C97">
      <w:pPr>
        <w:spacing w:line="480" w:lineRule="auto"/>
        <w:rPr>
          <w:rFonts w:ascii="Times New Roman" w:hAnsi="Times New Roman" w:cs="Times New Roman"/>
          <w:szCs w:val="21"/>
          <w:highlight w:val="yellow"/>
        </w:rPr>
      </w:pPr>
      <w:r>
        <w:rPr>
          <w:rFonts w:ascii="Times New Roman" w:hAnsi="Times New Roman" w:cs="Times New Roman"/>
          <w:noProof/>
          <w:szCs w:val="21"/>
          <w:highlight w:val="yellow"/>
          <w:lang w:eastAsia="en-US"/>
        </w:rPr>
        <w:drawing>
          <wp:anchor distT="0" distB="0" distL="114300" distR="114300" simplePos="0" relativeHeight="251662336" behindDoc="0" locked="0" layoutInCell="1" allowOverlap="1" wp14:anchorId="18754642" wp14:editId="661518AB">
            <wp:simplePos x="0" y="0"/>
            <wp:positionH relativeFrom="column">
              <wp:posOffset>0</wp:posOffset>
            </wp:positionH>
            <wp:positionV relativeFrom="paragraph">
              <wp:posOffset>86360</wp:posOffset>
            </wp:positionV>
            <wp:extent cx="5264150" cy="2982595"/>
            <wp:effectExtent l="0" t="0" r="19050" b="14605"/>
            <wp:wrapNone/>
            <wp:docPr id="11" name="图片 11" descr="Supplement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plement figure 4"/>
                    <pic:cNvPicPr>
                      <a:picLocks noChangeAspect="1"/>
                    </pic:cNvPicPr>
                  </pic:nvPicPr>
                  <pic:blipFill>
                    <a:blip r:embed="rId8"/>
                    <a:stretch>
                      <a:fillRect/>
                    </a:stretch>
                  </pic:blipFill>
                  <pic:spPr>
                    <a:xfrm>
                      <a:off x="0" y="0"/>
                      <a:ext cx="5264150" cy="2982595"/>
                    </a:xfrm>
                    <a:prstGeom prst="rect">
                      <a:avLst/>
                    </a:prstGeom>
                  </pic:spPr>
                </pic:pic>
              </a:graphicData>
            </a:graphic>
          </wp:anchor>
        </w:drawing>
      </w:r>
    </w:p>
    <w:p w:rsidR="000778DA" w:rsidRDefault="000778DA"/>
    <w:sectPr w:rsidR="000778DA" w:rsidSect="00200C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00000000" w:usb1="00007843" w:usb2="00000001" w:usb3="00000000" w:csb0="400001BF" w:csb1="DFF70000"/>
  </w:font>
  <w:font w:name="Helvetica Neue">
    <w:charset w:val="00"/>
    <w:family w:val="auto"/>
    <w:pitch w:val="default"/>
    <w:sig w:usb0="E50002FF" w:usb1="500079DB" w:usb2="00000010" w:usb3="00000000" w:csb0="00000000" w:csb1="00000000"/>
  </w:font>
  <w:font w:name="Times New Roman Italic">
    <w:panose1 w:val="02020503050405090304"/>
    <w:charset w:val="00"/>
    <w:family w:val="auto"/>
    <w:pitch w:val="default"/>
    <w:sig w:usb0="E0000AFF"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drawingGridHorizontalSpacing w:val="105"/>
  <w:drawingGridVerticalSpacing w:val="156"/>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97"/>
    <w:rsid w:val="000778DA"/>
    <w:rsid w:val="00200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97"/>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00C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97"/>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00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257</Words>
  <Characters>1469</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Gueen Pis-an</dc:creator>
  <cp:lastModifiedBy>Gueen Pis-an</cp:lastModifiedBy>
  <cp:revision>1</cp:revision>
  <dcterms:created xsi:type="dcterms:W3CDTF">2026-05-15T07:46:00Z</dcterms:created>
  <dcterms:modified xsi:type="dcterms:W3CDTF">2026-05-15T07:46:00Z</dcterms:modified>
</cp:coreProperties>
</file>