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78B1E">
      <w:pPr>
        <w:jc w:val="left"/>
      </w:pPr>
      <w:r>
        <w:rPr>
          <w:rFonts w:ascii="Arial" w:hAnsi="Arial" w:eastAsia="Arial"/>
          <w:b/>
          <w:sz w:val="21"/>
          <w:szCs w:val="21"/>
        </w:rPr>
        <w:t xml:space="preserve">Supplementary Table </w:t>
      </w:r>
      <w:r>
        <w:rPr>
          <w:rFonts w:hint="eastAsia" w:eastAsia="SimSun"/>
          <w:b/>
          <w:sz w:val="21"/>
          <w:szCs w:val="21"/>
          <w:lang w:val="en-US" w:eastAsia="zh-CN"/>
        </w:rPr>
        <w:t>1.</w:t>
      </w:r>
      <w:r>
        <w:rPr>
          <w:rFonts w:hint="eastAsia" w:eastAsia="SimSun"/>
          <w:b/>
          <w:sz w:val="30"/>
          <w:lang w:val="en-US" w:eastAsia="zh-CN"/>
        </w:rPr>
        <w:t xml:space="preserve"> </w:t>
      </w:r>
      <w:r>
        <w:rPr>
          <w:i/>
          <w:sz w:val="21"/>
        </w:rPr>
        <w:t>Development principles, physiological rationale, and clinical caveats of the REALVENT rule-based feedback system</w:t>
      </w:r>
    </w:p>
    <w:p w14:paraId="6D0E5490">
      <w:pPr>
        <w:spacing w:after="160"/>
      </w:pPr>
      <w:r>
        <w:rPr>
          <w:sz w:val="20"/>
        </w:rPr>
        <w:t xml:space="preserve">This table summarizes the main decision-support rules embedded in the REALVENT platform. All rules are advisory prompts designed for patients with </w:t>
      </w:r>
      <w:r>
        <w:rPr>
          <w:rFonts w:hint="eastAsia" w:eastAsia="SimSun"/>
          <w:sz w:val="20"/>
          <w:lang w:val="en-US" w:eastAsia="zh-CN"/>
        </w:rPr>
        <w:t>ARDS/</w:t>
      </w:r>
      <w:r>
        <w:rPr>
          <w:sz w:val="20"/>
        </w:rPr>
        <w:t>acute hypoxemic respiratory failure and must be interpreted by the treating clinician in light of the full clinical context. The platform does not autonomously modify ventilator settings.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1365"/>
        <w:gridCol w:w="1967"/>
        <w:gridCol w:w="1763"/>
        <w:gridCol w:w="1617"/>
        <w:gridCol w:w="2385"/>
      </w:tblGrid>
      <w:tr w14:paraId="26CF1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44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C55C01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Rule domain</w:t>
            </w:r>
          </w:p>
        </w:tc>
        <w:tc>
          <w:tcPr>
            <w:tcW w:w="151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B81616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Trigger threshold</w:t>
            </w:r>
          </w:p>
        </w:tc>
        <w:tc>
          <w:tcPr>
            <w:tcW w:w="244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BE5094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Suggested platform prompt</w:t>
            </w:r>
          </w:p>
        </w:tc>
        <w:tc>
          <w:tcPr>
            <w:tcW w:w="208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9713F6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Physiological rationale</w:t>
            </w:r>
          </w:p>
        </w:tc>
        <w:tc>
          <w:tcPr>
            <w:tcW w:w="1800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F01A8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Development basis</w:t>
            </w:r>
          </w:p>
        </w:tc>
        <w:tc>
          <w:tcPr>
            <w:tcW w:w="3096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B87A7E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Clinical caveats / override considerations</w:t>
            </w:r>
          </w:p>
        </w:tc>
      </w:tr>
      <w:tr w14:paraId="2D73B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7E8107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Oxygenation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1B1D4E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SpO₂ sustained at 100%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BB41C6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Reassess oxygen therapy and consider reducing FiO₂ in small increments to maintain the target range.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8751BB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Avoid unnecessary hyperoxia while maintaining adequate oxygen delivery.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64519C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Conservative oxygenation practice; platform development review; expert consensus.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3FD847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May be deferred when rapid FiO₂ changes are not clinically desirable, when pulse oximetry is unreliable, or when transient hyperoxia is intentionally accepted during instability or procedures.</w:t>
            </w:r>
          </w:p>
        </w:tc>
      </w:tr>
      <w:tr w14:paraId="01DE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86CC99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Respiratory rate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35110E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&gt;22 breaths/min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50E39D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Reassess ventilator mode, inspiratory flow, inspiratory time, trigger settings, and patient comfort.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F7DF12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Persistent tachypnea may indicate high respiratory drive, dyssynchrony, insufficient support, metabolic s</w:t>
            </w:r>
            <w:bookmarkStart w:id="0" w:name="_GoBack"/>
            <w:bookmarkEnd w:id="0"/>
            <w:r>
              <w:rPr>
                <w:rFonts w:ascii="Arial" w:hAnsi="Arial"/>
                <w:sz w:val="17"/>
              </w:rPr>
              <w:t>tress, or evolving respiratory deterioration.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AC1EBE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Respiratory mechanics principles; observational platform experience; multidisciplinary expert review.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CF6DBE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May reflect metabolic acidosis, pain, fever, agitation, or neurological injury rather than ventilator mis-setting alone; requires integrated bedside assessment.</w:t>
            </w:r>
          </w:p>
        </w:tc>
      </w:tr>
      <w:tr w14:paraId="24002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2633FC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Minute ventilation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74795B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&gt;9-10 L/min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57F129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Reassess dead space, CO₂ production, respiratory drive, and the overall ventilatory strategy.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567961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High minute ventilation may reflect compensatory physiology and may increase mechanical stress if achieved through excessive VT or respiratory rate.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0B50E8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Lung-protective ventilation concepts; expert consensus.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1D2942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May be clinically necessary in severe metabolic acidosis, hyperthermia, seizures, or other high-CO₂-production states.</w:t>
            </w:r>
          </w:p>
        </w:tc>
      </w:tr>
      <w:tr w14:paraId="3C00D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BB5F2E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PEEP / FiO₂ balance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B2869E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PEEP &lt;=5 cmH₂O with FiO₂ &gt;40%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CFE743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Reassess oxygenation strategy and consider individualized PEEP titration where appropriate.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3CF483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Encourages avoidance of unnecessarily low PEEP when oxygen requirement remains elevated.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7C8F4D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ARDS and acute hypoxemic respiratory failure physiology; clinician consensus.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71D874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Not intended as a fixed PEEP mandate; caution in hemodynamic instability, suspected overdistension, obstructive physiology, right ventricular dysfunction, or low recruitability.</w:t>
            </w:r>
          </w:p>
        </w:tc>
      </w:tr>
      <w:tr w14:paraId="0D87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1C3224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Tidal volume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1EE8F3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&gt;8 mL/kg PBW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3AA1C2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Prompt reassessment of respiratory mechanics and consideration of reducing VT toward a lung-protective range, where clinically appropriate.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F25837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Limit volutrauma and excessive strain in injured lungs.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881A84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Established lung-protective ventilation literature; prior platform development; multidisciplinary review.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72525E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May be modified or deferred in severe metabolic acidosis, pronounced dyssynchrony, elevated intracranial pressure, or other situations requiring individualized ventilatory targets.</w:t>
            </w:r>
          </w:p>
        </w:tc>
      </w:tr>
      <w:tr w14:paraId="6CBF3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923904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Plateau pressure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8A46B3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&gt;30 cmH₂O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06ACAF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Prompt reassessment of VT, respiratory mechanics, and the overall ventilatory strategy, with consideration of VT reduction where appropriate.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DAC38C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Reduce excessive static stress applied to the respiratory system.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178D1C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Lung-protective ventilation principles; ARDS literature; expert review.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F98F37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Interpretation should consider chest wall mechanics, obesity, abdominal hypertension, prone positioning, and situations in which plateau pressure may not reflect lung stress alone.</w:t>
            </w:r>
          </w:p>
        </w:tc>
      </w:tr>
      <w:tr w14:paraId="14A11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8539ED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Driving pressure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6768DE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&gt;15 cmH₂O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98A09C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Prompt reassessment of delivered VT, pressure support or pressure control level, and possible recruitability; consider individualized PEEP adjustment where clinically appropriate.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8BAF1C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High driving pressure may indicate low functional compliance and increased risk of injurious dynamic strain.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229FD2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Driving-pressure-focused literature; physiological rationale; expert review.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6548BC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Should not be interpreted in isolation; elevated PEEP with acceptable lung mechanics, spontaneous effort, or inaccurate end-inspiratory holds may complicate interpretation.</w:t>
            </w:r>
          </w:p>
        </w:tc>
      </w:tr>
      <w:tr w14:paraId="62E3C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B1EF56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Mechanical power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923340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&gt;17 J/min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95DFBF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Prompt reassessment of VT, respiratory rate, and overall ventilatory load to reduce potentially injurious energy transfer, where feasible.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F7464E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Mechanical power integrates multiple contributors to ventilator-related energy delivery and may capture cumulative injurious load.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8FDC4F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Mechanical power literature; platform methodology work; expert consensus.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2BB575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Thresholds are intended as decision-support prompts rather than absolute treatment cutoffs; clinicians may prioritize competing physiological needs.</w:t>
            </w:r>
          </w:p>
        </w:tc>
      </w:tr>
      <w:tr w14:paraId="28724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D64BB2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Patient-ventilator asynchrony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40C3BF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Asynchrony index &gt;=15% or recurrent high-risk events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430610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Prompt focused review of flow starvation, reverse triggering, ineffective efforts, and delayed cycling, with clinician-directed consideration of ventilator adjustment, sedation reassessment, or further bedside evaluation.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B6C2FC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Frequent asynchrony may worsen discomfort, increase respiratory effort, amplify lung stress, and impair effective ventilation.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C04C28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PVA literature; platform waveform recognition studies; expert consensus.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C46CCE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Requires bedside interpretation because some waveform abnormalities may reflect transient events, secretion burden, coughing, inadequate sedation, or clinically intentional spontaneous effort.</w:t>
            </w:r>
          </w:p>
        </w:tc>
      </w:tr>
      <w:tr w14:paraId="2DEA5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536946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Compliance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19F3BE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&lt;40 mL/cmH₂O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4D669A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Prompt intensified review of lung mechanics and consideration of a more protective ventilatory strategy.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6343D0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Low compliance may indicate increased susceptibility to injurious stress and reduced aerated lung volume.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39A7D7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Physiological principles; expert review.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3D51B4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Compliance values should be interpreted cautiously in spontaneous breathing, altered chest wall mechanics, obesity, abdominal hypertension, or measurement artifact.</w:t>
            </w:r>
          </w:p>
        </w:tc>
      </w:tr>
      <w:tr w14:paraId="0D789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D9F705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Resistance</w:t>
            </w:r>
          </w:p>
        </w:tc>
        <w:tc>
          <w:tcPr>
            <w:tcW w:w="15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98A105">
            <w:pPr>
              <w:spacing w:after="20" w:line="240" w:lineRule="auto"/>
              <w:jc w:val="center"/>
            </w:pPr>
            <w:r>
              <w:rPr>
                <w:rFonts w:ascii="Arial" w:hAnsi="Arial"/>
                <w:sz w:val="17"/>
              </w:rPr>
              <w:t>&gt;=15 cmH₂O/L/s</w:t>
            </w:r>
          </w:p>
        </w:tc>
        <w:tc>
          <w:tcPr>
            <w:tcW w:w="244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6A5DA8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Prompt evaluation for airway obstruction, secretion burden, bronchospasm, or circuit factors.</w:t>
            </w:r>
          </w:p>
        </w:tc>
        <w:tc>
          <w:tcPr>
            <w:tcW w:w="2088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E62CCC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Elevated resistance may signal airflow limitation that affects ventilation quality and patient-ventilator interaction.</w:t>
            </w:r>
          </w:p>
        </w:tc>
        <w:tc>
          <w:tcPr>
            <w:tcW w:w="1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8A89A2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Respiratory mechanics principles; engineering validation; expert review.</w:t>
            </w:r>
          </w:p>
        </w:tc>
        <w:tc>
          <w:tcPr>
            <w:tcW w:w="30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B8AB06">
            <w:pPr>
              <w:spacing w:after="20" w:line="240" w:lineRule="auto"/>
              <w:jc w:val="left"/>
            </w:pPr>
            <w:r>
              <w:rPr>
                <w:rFonts w:ascii="Arial" w:hAnsi="Arial"/>
                <w:sz w:val="17"/>
              </w:rPr>
              <w:t>Resistance estimates may be less reliable outside appropriate ventilator modes or in the presence of spontaneous effort; findings should be confirmed clinically.</w:t>
            </w:r>
          </w:p>
        </w:tc>
      </w:tr>
    </w:tbl>
    <w:p w14:paraId="526CC1EF"/>
    <w:p w14:paraId="32A482DA">
      <w:r>
        <w:rPr>
          <w:b/>
          <w:sz w:val="18"/>
        </w:rPr>
        <w:t xml:space="preserve">Abbreviations: </w:t>
      </w:r>
      <w:r>
        <w:rPr>
          <w:sz w:val="18"/>
        </w:rPr>
        <w:t>FiO₂, fraction of inspired oxygen; PBW, predicted body weight; PEEP, positive end-expiratory pressure; PVA, patient-ventilator asynchrony; SpO₂, peripheral oxygen saturation; VT, tidal volume.</w:t>
      </w:r>
    </w:p>
    <w:sectPr>
      <w:pgSz w:w="12240" w:h="15840"/>
      <w:pgMar w:top="1008" w:right="1008" w:bottom="1008" w:left="100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E011B18"/>
    <w:rsid w:val="17F80687"/>
    <w:rsid w:val="376F7A7E"/>
    <w:rsid w:val="41916F22"/>
    <w:rsid w:val="7D8C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Arial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781</Words>
  <Characters>5702</Characters>
  <Lines>0</Lines>
  <Paragraphs>0</Paragraphs>
  <TotalTime>4540</TotalTime>
  <ScaleCrop>false</ScaleCrop>
  <LinksUpToDate>false</LinksUpToDate>
  <CharactersWithSpaces>6408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PP</cp:lastModifiedBy>
  <dcterms:modified xsi:type="dcterms:W3CDTF">2026-04-29T22:44:31Z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B0BCD73F5D3449B5B4391BFA2DD659B3_13</vt:lpwstr>
  </property>
  <property fmtid="{D5CDD505-2E9C-101B-9397-08002B2CF9AE}" pid="4" name="KSOTemplateDocerSaveRecord">
    <vt:lpwstr>eyJoZGlkIjoiODE3YTRhYzliMGM0YzYzYTg4ZTA3MmQ5OWQ4ODZjZjIiLCJ1c2VySWQiOiI0MjcyMDAxMzQifQ==</vt:lpwstr>
  </property>
</Properties>
</file>