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5B1B6" w14:textId="623C0DF3" w:rsidR="00414C92" w:rsidRDefault="008F1A99" w:rsidP="0062788F">
      <w:pPr>
        <w:jc w:val="left"/>
        <w:rPr>
          <w:rFonts w:hint="eastAsia"/>
          <w:noProof/>
        </w:rPr>
      </w:pPr>
      <w:r>
        <w:rPr>
          <w:noProof/>
        </w:rPr>
        <w:drawing>
          <wp:inline distT="0" distB="0" distL="0" distR="0" wp14:anchorId="37B5B11D" wp14:editId="715A6CFE">
            <wp:extent cx="5273951" cy="6383020"/>
            <wp:effectExtent l="0" t="0" r="3175" b="0"/>
            <wp:docPr id="6876380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38008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51" cy="638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798CA" w14:textId="097D00C1" w:rsidR="00D57888" w:rsidRPr="00D57888" w:rsidRDefault="00D57888" w:rsidP="00D60A24">
      <w:pPr>
        <w:rPr>
          <w:rFonts w:ascii="Times New Roman" w:hAnsi="Times New Roman" w:cs="Times New Roman" w:hint="eastAsia"/>
          <w:noProof/>
          <w:sz w:val="24"/>
          <w:szCs w:val="24"/>
        </w:rPr>
      </w:pPr>
      <w:r w:rsidRPr="00D57888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t>Supplementary Figure.</w:t>
      </w:r>
      <w:r w:rsidRPr="00D57888">
        <w:rPr>
          <w:rFonts w:ascii="Times New Roman" w:eastAsia="宋体" w:hAnsi="Times New Roman" w:cs="Times New Roman"/>
          <w:noProof/>
          <w:sz w:val="24"/>
          <w:szCs w:val="24"/>
        </w:rPr>
        <w:t> A. Circular plot showing the chromosomal locations of the 18 GRGs; B, C. Comparison of overall survival between high- and low-risk groups in GSE31210 and GSE50081; D, E. ROC curves validating the risk model in GSE31210 and GSE50081; F, G. Risk factor plots for GSE31210 and GSE50081; H-M. Comparison of TIDE, Exclusion, and Dysfunction scores between high- and low-risk groups in GSE31210 and GSE50081</w:t>
      </w:r>
      <w:r w:rsidR="00D60A24">
        <w:rPr>
          <w:rFonts w:ascii="Times New Roman" w:eastAsia="宋体" w:hAnsi="Times New Roman" w:cs="Times New Roman" w:hint="eastAsia"/>
          <w:noProof/>
          <w:sz w:val="24"/>
          <w:szCs w:val="24"/>
        </w:rPr>
        <w:t>; N.</w:t>
      </w:r>
      <w:r w:rsidR="00D60A24" w:rsidRPr="00D60A24">
        <w:rPr>
          <w:rFonts w:hint="eastAsia"/>
        </w:rPr>
        <w:t xml:space="preserve"> </w:t>
      </w:r>
      <w:r w:rsidR="00D60A24" w:rsidRPr="00D60A24">
        <w:rPr>
          <w:rFonts w:ascii="Times New Roman" w:eastAsia="宋体" w:hAnsi="Times New Roman" w:cs="Times New Roman"/>
          <w:noProof/>
          <w:sz w:val="24"/>
          <w:szCs w:val="24"/>
        </w:rPr>
        <w:t>Multivariate Cox analysis of clinical characteristics, OSTC, and TUBA1C</w:t>
      </w:r>
      <w:r w:rsidR="00D60A24">
        <w:rPr>
          <w:rFonts w:ascii="Times New Roman" w:eastAsia="宋体" w:hAnsi="Times New Roman" w:cs="Times New Roman" w:hint="eastAsia"/>
          <w:noProof/>
          <w:sz w:val="24"/>
          <w:szCs w:val="24"/>
        </w:rPr>
        <w:t>.</w:t>
      </w:r>
    </w:p>
    <w:sectPr w:rsidR="00D57888" w:rsidRPr="00D57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43"/>
    <w:rsid w:val="00345F43"/>
    <w:rsid w:val="0037435F"/>
    <w:rsid w:val="003B1143"/>
    <w:rsid w:val="00414C92"/>
    <w:rsid w:val="00433A34"/>
    <w:rsid w:val="004F32FC"/>
    <w:rsid w:val="0062788F"/>
    <w:rsid w:val="006C7231"/>
    <w:rsid w:val="008066B8"/>
    <w:rsid w:val="008F1A99"/>
    <w:rsid w:val="00D57888"/>
    <w:rsid w:val="00D6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4DB431"/>
  <w14:defaultImageDpi w14:val="32767"/>
  <w15:chartTrackingRefBased/>
  <w15:docId w15:val="{43BB2B06-8C33-46D3-9CD9-AEE32563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F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5F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5F4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5F4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5F4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5F4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5F4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5F4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F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45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45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45F4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45F4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45F4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45F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45F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45F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45F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45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5F4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45F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5F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45F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5F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5F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5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45F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5F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78</Words>
  <Characters>425</Characters>
  <Application>Microsoft Office Word</Application>
  <DocSecurity>0</DocSecurity>
  <Lines>8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 z</dc:creator>
  <cp:keywords/>
  <dc:description/>
  <cp:lastModifiedBy>xy z</cp:lastModifiedBy>
  <cp:revision>4</cp:revision>
  <dcterms:created xsi:type="dcterms:W3CDTF">2026-03-22T06:28:00Z</dcterms:created>
  <dcterms:modified xsi:type="dcterms:W3CDTF">2026-06-07T13:29:00Z</dcterms:modified>
</cp:coreProperties>
</file>