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F1A" w:rsidRDefault="001F2F1A" w:rsidP="001F2F1A">
      <w:pPr>
        <w:spacing w:line="276" w:lineRule="auto"/>
        <w:jc w:val="both"/>
        <w:rPr>
          <w:rFonts w:ascii="Times New Roman"/>
          <w:b/>
          <w:sz w:val="20"/>
          <w:szCs w:val="20"/>
        </w:rPr>
      </w:pPr>
      <w:bookmarkStart w:id="0" w:name="_GoBack"/>
      <w:r>
        <w:rPr>
          <w:rFonts w:ascii="Times New Roman"/>
          <w:b/>
          <w:sz w:val="20"/>
          <w:szCs w:val="20"/>
        </w:rPr>
        <w:t>Supplementary Figures</w:t>
      </w:r>
    </w:p>
    <w:p w:rsidR="001F2F1A" w:rsidRPr="003B7322" w:rsidRDefault="001F2F1A" w:rsidP="001F2F1A">
      <w:pPr>
        <w:spacing w:line="276" w:lineRule="auto"/>
        <w:jc w:val="both"/>
        <w:rPr>
          <w:rFonts w:ascii="Times New Roman"/>
          <w:b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2989866" wp14:editId="231B5DF8">
            <wp:extent cx="5934974" cy="65763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068" cy="658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F1A" w:rsidRDefault="001F2F1A" w:rsidP="001F2F1A">
      <w:pPr>
        <w:spacing w:line="276" w:lineRule="auto"/>
        <w:jc w:val="both"/>
        <w:rPr>
          <w:rFonts w:ascii="Times New Roman"/>
          <w:sz w:val="20"/>
          <w:szCs w:val="20"/>
        </w:rPr>
      </w:pPr>
      <w:proofErr w:type="gramStart"/>
      <w:r>
        <w:rPr>
          <w:rFonts w:ascii="Times New Roman"/>
          <w:b/>
          <w:sz w:val="20"/>
          <w:szCs w:val="20"/>
        </w:rPr>
        <w:t>Supplementary figure 1.</w:t>
      </w:r>
      <w:proofErr w:type="gramEnd"/>
      <w:r>
        <w:rPr>
          <w:rFonts w:ascii="Times New Roman"/>
          <w:sz w:val="20"/>
          <w:szCs w:val="20"/>
        </w:rPr>
        <w:t xml:space="preserve"> </w:t>
      </w:r>
      <w:r>
        <w:rPr>
          <w:rFonts w:ascii="Times New Roman"/>
          <w:b/>
          <w:sz w:val="20"/>
          <w:szCs w:val="20"/>
        </w:rPr>
        <w:t>Immunomodulatory drugs increase pneumococcal adherence to and invasion of mouse PCLS whilst decreasing cytokine responses. (A)</w:t>
      </w:r>
      <w:r>
        <w:rPr>
          <w:rFonts w:ascii="Times New Roman"/>
          <w:bCs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Association of </w:t>
      </w:r>
      <w:r>
        <w:rPr>
          <w:rFonts w:ascii="Times New Roman"/>
          <w:i/>
          <w:iCs/>
          <w:sz w:val="20"/>
          <w:szCs w:val="20"/>
        </w:rPr>
        <w:t>S. pneumoniae</w:t>
      </w:r>
      <w:r>
        <w:rPr>
          <w:rFonts w:ascii="Times New Roman"/>
          <w:sz w:val="20"/>
          <w:szCs w:val="20"/>
        </w:rPr>
        <w:t xml:space="preserve"> (</w:t>
      </w:r>
      <w:proofErr w:type="spellStart"/>
      <w:r>
        <w:rPr>
          <w:rFonts w:ascii="Times New Roman"/>
          <w:sz w:val="20"/>
          <w:szCs w:val="20"/>
        </w:rPr>
        <w:t>Spn</w:t>
      </w:r>
      <w:proofErr w:type="spellEnd"/>
      <w:r>
        <w:rPr>
          <w:rFonts w:ascii="Times New Roman"/>
          <w:sz w:val="20"/>
          <w:szCs w:val="20"/>
        </w:rPr>
        <w:t xml:space="preserve">) at 6 h with PCLS in the presence of </w:t>
      </w:r>
      <w:proofErr w:type="spellStart"/>
      <w:r>
        <w:rPr>
          <w:rFonts w:ascii="Times New Roman"/>
          <w:sz w:val="20"/>
          <w:szCs w:val="20"/>
        </w:rPr>
        <w:t>Anakinra</w:t>
      </w:r>
      <w:proofErr w:type="spellEnd"/>
      <w:r>
        <w:rPr>
          <w:rFonts w:ascii="Times New Roman"/>
          <w:sz w:val="20"/>
          <w:szCs w:val="20"/>
        </w:rPr>
        <w:t xml:space="preserve"> and </w:t>
      </w:r>
      <w:proofErr w:type="spellStart"/>
      <w:r>
        <w:rPr>
          <w:rFonts w:ascii="Times New Roman"/>
          <w:sz w:val="20"/>
          <w:szCs w:val="20"/>
        </w:rPr>
        <w:t>Tofacitinib</w:t>
      </w:r>
      <w:proofErr w:type="spellEnd"/>
      <w:r>
        <w:rPr>
          <w:rFonts w:ascii="Times New Roman"/>
          <w:bCs/>
          <w:sz w:val="20"/>
          <w:szCs w:val="20"/>
        </w:rPr>
        <w:t xml:space="preserve">. </w:t>
      </w:r>
      <w:r>
        <w:rPr>
          <w:rFonts w:ascii="Times New Roman"/>
          <w:b/>
          <w:sz w:val="20"/>
          <w:szCs w:val="20"/>
        </w:rPr>
        <w:t>(B-G)</w:t>
      </w:r>
      <w:r>
        <w:rPr>
          <w:rFonts w:ascii="Times New Roman"/>
          <w:bCs/>
          <w:sz w:val="20"/>
          <w:szCs w:val="20"/>
        </w:rPr>
        <w:t xml:space="preserve"> Cytokines released from PCLS in response to </w:t>
      </w:r>
      <w:r>
        <w:rPr>
          <w:rFonts w:ascii="Times New Roman"/>
          <w:bCs/>
          <w:i/>
          <w:iCs/>
          <w:sz w:val="20"/>
          <w:szCs w:val="20"/>
        </w:rPr>
        <w:t>S. pneumoniae</w:t>
      </w:r>
      <w:r>
        <w:rPr>
          <w:rFonts w:ascii="Times New Roman"/>
          <w:bCs/>
          <w:sz w:val="20"/>
          <w:szCs w:val="20"/>
        </w:rPr>
        <w:t xml:space="preserve"> (6 h) in the presence of increasing doses of </w:t>
      </w:r>
      <w:proofErr w:type="spellStart"/>
      <w:r>
        <w:rPr>
          <w:rFonts w:ascii="Times New Roman"/>
          <w:bCs/>
          <w:sz w:val="20"/>
          <w:szCs w:val="20"/>
        </w:rPr>
        <w:t>Anakinra</w:t>
      </w:r>
      <w:proofErr w:type="spellEnd"/>
      <w:r>
        <w:rPr>
          <w:rFonts w:ascii="Times New Roman"/>
          <w:bCs/>
          <w:sz w:val="20"/>
          <w:szCs w:val="20"/>
        </w:rPr>
        <w:t xml:space="preserve"> or </w:t>
      </w:r>
      <w:proofErr w:type="spellStart"/>
      <w:r>
        <w:rPr>
          <w:rFonts w:ascii="Times New Roman"/>
          <w:bCs/>
          <w:sz w:val="20"/>
          <w:szCs w:val="20"/>
        </w:rPr>
        <w:t>Tofacitinib</w:t>
      </w:r>
      <w:proofErr w:type="spellEnd"/>
      <w:r>
        <w:rPr>
          <w:rFonts w:ascii="Times New Roman"/>
          <w:bCs/>
          <w:sz w:val="20"/>
          <w:szCs w:val="20"/>
        </w:rPr>
        <w:t xml:space="preserve">. </w:t>
      </w:r>
      <w:r>
        <w:rPr>
          <w:rFonts w:ascii="Times New Roman"/>
          <w:b/>
          <w:sz w:val="20"/>
          <w:szCs w:val="20"/>
        </w:rPr>
        <w:t xml:space="preserve">(H) </w:t>
      </w:r>
      <w:r>
        <w:rPr>
          <w:rFonts w:ascii="Times New Roman"/>
          <w:bCs/>
          <w:sz w:val="20"/>
          <w:szCs w:val="20"/>
        </w:rPr>
        <w:t xml:space="preserve">LDH release from PCLS at 6 h post infection with </w:t>
      </w:r>
      <w:r>
        <w:rPr>
          <w:rFonts w:ascii="Times New Roman"/>
          <w:bCs/>
          <w:i/>
          <w:iCs/>
          <w:sz w:val="20"/>
          <w:szCs w:val="20"/>
        </w:rPr>
        <w:t>S. pneumoniae</w:t>
      </w:r>
      <w:r>
        <w:rPr>
          <w:rFonts w:ascii="Times New Roman"/>
          <w:bCs/>
          <w:sz w:val="20"/>
          <w:szCs w:val="20"/>
        </w:rPr>
        <w:t xml:space="preserve"> in the presence of </w:t>
      </w:r>
      <w:proofErr w:type="spellStart"/>
      <w:r>
        <w:rPr>
          <w:rFonts w:ascii="Times New Roman"/>
          <w:bCs/>
          <w:sz w:val="20"/>
          <w:szCs w:val="20"/>
        </w:rPr>
        <w:t>Anakinra</w:t>
      </w:r>
      <w:proofErr w:type="spellEnd"/>
      <w:r>
        <w:rPr>
          <w:rFonts w:ascii="Times New Roman"/>
          <w:bCs/>
          <w:sz w:val="20"/>
          <w:szCs w:val="20"/>
        </w:rPr>
        <w:t xml:space="preserve"> or </w:t>
      </w:r>
      <w:proofErr w:type="spellStart"/>
      <w:r>
        <w:rPr>
          <w:rFonts w:ascii="Times New Roman"/>
          <w:bCs/>
          <w:sz w:val="20"/>
          <w:szCs w:val="20"/>
        </w:rPr>
        <w:t>Tofacitinib</w:t>
      </w:r>
      <w:proofErr w:type="spellEnd"/>
      <w:r>
        <w:rPr>
          <w:rFonts w:ascii="Times New Roman"/>
          <w:bCs/>
          <w:sz w:val="20"/>
          <w:szCs w:val="20"/>
        </w:rPr>
        <w:t xml:space="preserve">. </w:t>
      </w:r>
      <w:r>
        <w:rPr>
          <w:rFonts w:ascii="Times New Roman"/>
          <w:sz w:val="20"/>
          <w:szCs w:val="20"/>
        </w:rPr>
        <w:t xml:space="preserve">Data in figures are shown as mean ± SD of three or more independent experiments </w:t>
      </w:r>
      <w:r>
        <w:rPr>
          <w:rFonts w:ascii="Times New Roman"/>
          <w:bCs/>
          <w:sz w:val="20"/>
          <w:szCs w:val="20"/>
        </w:rPr>
        <w:t xml:space="preserve">(three technical replicates per treatment with two lung slices per well) </w:t>
      </w:r>
      <w:r>
        <w:rPr>
          <w:rFonts w:ascii="Times New Roman"/>
          <w:sz w:val="20"/>
          <w:szCs w:val="20"/>
        </w:rPr>
        <w:t xml:space="preserve">and </w:t>
      </w:r>
      <w:proofErr w:type="spellStart"/>
      <w:r>
        <w:rPr>
          <w:rFonts w:ascii="Times New Roman"/>
          <w:sz w:val="20"/>
          <w:szCs w:val="20"/>
        </w:rPr>
        <w:t>analysed</w:t>
      </w:r>
      <w:proofErr w:type="spellEnd"/>
      <w:r>
        <w:rPr>
          <w:rFonts w:asci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lastRenderedPageBreak/>
        <w:t xml:space="preserve">using two-way ANOVA </w:t>
      </w:r>
      <w:proofErr w:type="spellStart"/>
      <w:r>
        <w:rPr>
          <w:rFonts w:ascii="Times New Roman"/>
          <w:sz w:val="20"/>
          <w:szCs w:val="20"/>
        </w:rPr>
        <w:t>Dunnett’s</w:t>
      </w:r>
      <w:proofErr w:type="spellEnd"/>
      <w:r>
        <w:rPr>
          <w:rFonts w:ascii="Times New Roman"/>
          <w:sz w:val="20"/>
          <w:szCs w:val="20"/>
        </w:rPr>
        <w:t xml:space="preserve"> multiple tests in comparison with vehicle control in the presence of infection. *p &lt; 0.05, **p &lt; 0.01, ***p &lt; 0.001, ****p &lt; 0.0001</w:t>
      </w:r>
    </w:p>
    <w:p w:rsidR="001F2F1A" w:rsidRDefault="001F2F1A" w:rsidP="001F2F1A">
      <w:pPr>
        <w:spacing w:line="276" w:lineRule="auto"/>
        <w:jc w:val="both"/>
        <w:rPr>
          <w:rFonts w:ascii="Times New Roman"/>
          <w:sz w:val="20"/>
          <w:szCs w:val="20"/>
        </w:rPr>
      </w:pPr>
    </w:p>
    <w:p w:rsidR="001F2F1A" w:rsidRPr="003B7322" w:rsidRDefault="001F2F1A" w:rsidP="001F2F1A">
      <w:pPr>
        <w:spacing w:line="276" w:lineRule="auto"/>
        <w:jc w:val="both"/>
        <w:rPr>
          <w:rFonts w:ascii="Times New Roman"/>
          <w:b/>
          <w:sz w:val="20"/>
          <w:szCs w:val="20"/>
        </w:rPr>
      </w:pPr>
      <w:r>
        <w:rPr>
          <w:rFonts w:ascii="Times New Roman"/>
          <w:b/>
          <w:noProof/>
          <w:sz w:val="20"/>
          <w:szCs w:val="20"/>
        </w:rPr>
        <w:drawing>
          <wp:inline distT="0" distB="0" distL="0" distR="0">
            <wp:extent cx="6232525" cy="468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F1A" w:rsidRDefault="001F2F1A" w:rsidP="001F2F1A">
      <w:pPr>
        <w:spacing w:line="276" w:lineRule="auto"/>
        <w:jc w:val="both"/>
        <w:rPr>
          <w:rFonts w:ascii="Times New Roman" w:eastAsia="Times New Roman"/>
          <w:sz w:val="20"/>
          <w:szCs w:val="20"/>
        </w:rPr>
      </w:pPr>
      <w:proofErr w:type="gramStart"/>
      <w:r>
        <w:rPr>
          <w:rFonts w:ascii="Times New Roman"/>
          <w:b/>
          <w:bCs/>
          <w:sz w:val="20"/>
          <w:szCs w:val="20"/>
        </w:rPr>
        <w:t>Supplementary figure 2.</w:t>
      </w:r>
      <w:proofErr w:type="gramEnd"/>
      <w:r>
        <w:rPr>
          <w:rFonts w:ascii="Times New Roman"/>
          <w:sz w:val="20"/>
          <w:szCs w:val="20"/>
        </w:rPr>
        <w:t xml:space="preserve"> </w:t>
      </w:r>
      <w:r>
        <w:rPr>
          <w:rFonts w:ascii="Times New Roman" w:eastAsia="Times New Roman"/>
          <w:b/>
          <w:bCs/>
          <w:sz w:val="20"/>
          <w:szCs w:val="20"/>
        </w:rPr>
        <w:t>Top 10 up- and downregulated pathways</w:t>
      </w:r>
      <w:r>
        <w:rPr>
          <w:rFonts w:ascii="Times New Roman" w:eastAsia="Times New Roman"/>
          <w:sz w:val="20"/>
          <w:szCs w:val="20"/>
        </w:rPr>
        <w:t xml:space="preserve"> in response to </w:t>
      </w:r>
      <w:proofErr w:type="spellStart"/>
      <w:r>
        <w:rPr>
          <w:rFonts w:ascii="Times New Roman" w:eastAsia="Times New Roman"/>
          <w:sz w:val="20"/>
          <w:szCs w:val="20"/>
        </w:rPr>
        <w:t>Idelalisib</w:t>
      </w:r>
      <w:proofErr w:type="spellEnd"/>
      <w:r>
        <w:rPr>
          <w:rFonts w:ascii="Times New Roman" w:eastAsia="Times New Roman"/>
          <w:sz w:val="20"/>
          <w:szCs w:val="20"/>
        </w:rPr>
        <w:t xml:space="preserve"> vs vehicle in absence and presence of </w:t>
      </w:r>
      <w:r>
        <w:rPr>
          <w:rFonts w:ascii="Times New Roman" w:eastAsia="Times New Roman"/>
          <w:i/>
          <w:iCs/>
          <w:sz w:val="20"/>
          <w:szCs w:val="20"/>
        </w:rPr>
        <w:t>S. pneumoniae</w:t>
      </w:r>
      <w:r>
        <w:rPr>
          <w:rFonts w:ascii="Times New Roman" w:eastAsia="Times New Roman"/>
          <w:sz w:val="20"/>
          <w:szCs w:val="20"/>
        </w:rPr>
        <w:t xml:space="preserve"> infection in mouse PCLS.</w:t>
      </w:r>
    </w:p>
    <w:p w:rsidR="001F2F1A" w:rsidRDefault="001F2F1A" w:rsidP="001F2F1A">
      <w:pPr>
        <w:spacing w:line="276" w:lineRule="auto"/>
        <w:jc w:val="both"/>
        <w:rPr>
          <w:rFonts w:ascii="Times New Roman"/>
          <w:sz w:val="20"/>
          <w:szCs w:val="20"/>
        </w:rPr>
      </w:pPr>
      <w:r>
        <w:rPr>
          <w:rFonts w:ascii="Times New Roman"/>
          <w:noProof/>
          <w:sz w:val="20"/>
          <w:szCs w:val="20"/>
        </w:rPr>
        <w:lastRenderedPageBreak/>
        <w:drawing>
          <wp:inline distT="0" distB="0" distL="0" distR="0" wp14:anchorId="5602D1F4" wp14:editId="453D5F59">
            <wp:extent cx="4785341" cy="6891246"/>
            <wp:effectExtent l="0" t="0" r="0" b="5080"/>
            <wp:docPr id="271980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80217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755" cy="69667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F1A" w:rsidRDefault="001F2F1A" w:rsidP="001F2F1A">
      <w:pPr>
        <w:spacing w:line="276" w:lineRule="auto"/>
        <w:jc w:val="both"/>
        <w:rPr>
          <w:rFonts w:ascii="Times New Roman" w:eastAsia="Times New Roman"/>
          <w:sz w:val="20"/>
          <w:szCs w:val="20"/>
        </w:rPr>
      </w:pPr>
      <w:proofErr w:type="gramStart"/>
      <w:r>
        <w:rPr>
          <w:rFonts w:ascii="Times New Roman"/>
          <w:b/>
          <w:bCs/>
          <w:sz w:val="20"/>
          <w:szCs w:val="20"/>
        </w:rPr>
        <w:t>Supplementary figure 3.</w:t>
      </w:r>
      <w:proofErr w:type="gramEnd"/>
      <w:r>
        <w:rPr>
          <w:rFonts w:ascii="Times New Roman"/>
          <w:sz w:val="20"/>
          <w:szCs w:val="20"/>
        </w:rPr>
        <w:t xml:space="preserve"> </w:t>
      </w:r>
      <w:r>
        <w:rPr>
          <w:rFonts w:ascii="Times New Roman" w:eastAsia="Times New Roman"/>
          <w:b/>
          <w:bCs/>
          <w:sz w:val="20"/>
          <w:szCs w:val="20"/>
        </w:rPr>
        <w:t xml:space="preserve">Top 10 </w:t>
      </w:r>
      <w:proofErr w:type="gramStart"/>
      <w:r>
        <w:rPr>
          <w:rFonts w:ascii="Times New Roman" w:eastAsia="Times New Roman"/>
          <w:b/>
          <w:bCs/>
          <w:sz w:val="20"/>
          <w:szCs w:val="20"/>
        </w:rPr>
        <w:t>up-</w:t>
      </w:r>
      <w:proofErr w:type="gramEnd"/>
      <w:r>
        <w:rPr>
          <w:rFonts w:ascii="Times New Roman" w:eastAsia="Times New Roman"/>
          <w:b/>
          <w:bCs/>
          <w:sz w:val="20"/>
          <w:szCs w:val="20"/>
        </w:rPr>
        <w:t xml:space="preserve"> and downregulated differentially expressed genes (DEGs)</w:t>
      </w:r>
      <w:r>
        <w:rPr>
          <w:rFonts w:ascii="Times New Roman" w:eastAsia="Times New Roman"/>
          <w:sz w:val="20"/>
          <w:szCs w:val="20"/>
        </w:rPr>
        <w:t xml:space="preserve"> in response to </w:t>
      </w:r>
      <w:proofErr w:type="spellStart"/>
      <w:r>
        <w:rPr>
          <w:rFonts w:ascii="Times New Roman" w:eastAsia="Times New Roman"/>
          <w:sz w:val="20"/>
          <w:szCs w:val="20"/>
        </w:rPr>
        <w:t>Idelalisib</w:t>
      </w:r>
      <w:proofErr w:type="spellEnd"/>
      <w:r>
        <w:rPr>
          <w:rFonts w:ascii="Times New Roman" w:eastAsia="Times New Roman"/>
          <w:sz w:val="20"/>
          <w:szCs w:val="20"/>
        </w:rPr>
        <w:t xml:space="preserve"> vs vehicle in absence and presence of </w:t>
      </w:r>
      <w:r>
        <w:rPr>
          <w:rFonts w:ascii="Times New Roman" w:eastAsia="Times New Roman"/>
          <w:i/>
          <w:iCs/>
          <w:sz w:val="20"/>
          <w:szCs w:val="20"/>
        </w:rPr>
        <w:t>S. pneumoniae</w:t>
      </w:r>
      <w:r>
        <w:rPr>
          <w:rFonts w:ascii="Times New Roman" w:eastAsia="Times New Roman"/>
          <w:sz w:val="20"/>
          <w:szCs w:val="20"/>
        </w:rPr>
        <w:t xml:space="preserve"> infection in mouse PCLS. DEGs identified over pairwise differential expression analyses at a significance threshold of log2 fold change &gt; 1 or &lt; -1, and false discovery rate &lt; 0.01. No or limited number of significantly downregulated genes have been identified upon infection conditions.</w:t>
      </w:r>
    </w:p>
    <w:bookmarkEnd w:id="0"/>
    <w:p w:rsidR="008E7A4E" w:rsidRDefault="008E7A4E"/>
    <w:sectPr w:rsidR="008E7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1A"/>
    <w:rsid w:val="001F2F1A"/>
    <w:rsid w:val="008E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F1A"/>
    <w:pPr>
      <w:spacing w:after="160" w:line="259" w:lineRule="auto"/>
    </w:pPr>
    <w:rPr>
      <w:rFonts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F1A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F1A"/>
    <w:pPr>
      <w:spacing w:after="160" w:line="259" w:lineRule="auto"/>
    </w:pPr>
    <w:rPr>
      <w:rFonts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F1A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Sairah Diala</dc:creator>
  <cp:lastModifiedBy>Sairah Diala</cp:lastModifiedBy>
  <cp:revision>1</cp:revision>
  <dcterms:created xsi:type="dcterms:W3CDTF">2026-07-29T10:09:00Z</dcterms:created>
  <dcterms:modified xsi:type="dcterms:W3CDTF">2026-07-29T10:09:00Z</dcterms:modified>
</cp:coreProperties>
</file>