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69D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textAlignment w:val="auto"/>
        <w:rPr>
          <w:rFonts w:hint="default" w:ascii="Times New Roman" w:hAnsi="Times New Roman" w:eastAsia="Segoe UI" w:cs="Times New Roman"/>
          <w:b/>
          <w:bCs/>
          <w:sz w:val="24"/>
          <w:szCs w:val="24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 xml:space="preserve">: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shd w:val="clear" w:color="auto" w:fill="FFFFFF"/>
          <w:lang w:val="en-US" w:eastAsia="zh-CN"/>
        </w:rPr>
        <w:t xml:space="preserve">Clinical profiles of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  <w:lang w:val="en-US" w:eastAsia="zh-CN"/>
        </w:rPr>
        <w:t xml:space="preserve">mild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shd w:val="clear" w:color="auto" w:fill="FFFFFF"/>
          <w:lang w:val="en-US" w:eastAsia="zh-CN"/>
        </w:rPr>
        <w:t xml:space="preserve">BPD and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shd w:val="clear" w:color="auto" w:fill="FFFFFF"/>
          <w:lang w:val="en-US" w:eastAsia="zh-CN"/>
        </w:rPr>
        <w:t xml:space="preserve">moderate-to-severe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shd w:val="clear" w:color="auto" w:fill="FFFFFF"/>
          <w:lang w:val="en-US" w:eastAsia="zh-CN"/>
        </w:rPr>
        <w:t>BPD groups</w:t>
      </w: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bCs w:val="0"/>
          <w:i/>
          <w:iCs/>
          <w:sz w:val="24"/>
          <w:szCs w:val="24"/>
        </w:rPr>
        <w:t xml:space="preserve"> </w:t>
      </w:r>
    </w:p>
    <w:tbl>
      <w:tblPr>
        <w:tblStyle w:val="5"/>
        <w:tblW w:w="9288" w:type="dxa"/>
        <w:jc w:val="center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03"/>
        <w:gridCol w:w="1900"/>
        <w:gridCol w:w="2448"/>
        <w:gridCol w:w="1109"/>
        <w:gridCol w:w="928"/>
      </w:tblGrid>
      <w:tr w14:paraId="0F6026B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903" w:type="dxa"/>
            <w:tcBorders>
              <w:top w:val="single" w:color="000000" w:sz="12" w:space="0"/>
              <w:bottom w:val="single" w:color="auto" w:sz="6" w:space="0"/>
            </w:tcBorders>
            <w:vAlign w:val="center"/>
          </w:tcPr>
          <w:p w14:paraId="60654DA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C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</w:rPr>
              <w:t xml:space="preserve">linical 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F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</w:rPr>
              <w:t>eature</w:t>
            </w:r>
          </w:p>
        </w:tc>
        <w:tc>
          <w:tcPr>
            <w:tcW w:w="1900" w:type="dxa"/>
            <w:tcBorders>
              <w:top w:val="single" w:color="000000" w:sz="12" w:space="0"/>
              <w:bottom w:val="single" w:color="auto" w:sz="6" w:space="0"/>
            </w:tcBorders>
            <w:vAlign w:val="center"/>
          </w:tcPr>
          <w:p w14:paraId="0E69BDE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Mild BPD </w:t>
            </w:r>
          </w:p>
          <w:p w14:paraId="295FDDE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</w:rPr>
              <w:t>n=19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448" w:type="dxa"/>
            <w:tcBorders>
              <w:top w:val="single" w:color="000000" w:sz="12" w:space="0"/>
              <w:bottom w:val="single" w:color="auto" w:sz="6" w:space="0"/>
            </w:tcBorders>
            <w:vAlign w:val="center"/>
          </w:tcPr>
          <w:p w14:paraId="6D1DA56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Moderate-to-severe BPD Group </w:t>
            </w:r>
          </w:p>
          <w:p w14:paraId="5DD0942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</w:rPr>
              <w:t>n=12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109" w:type="dxa"/>
            <w:tcBorders>
              <w:top w:val="single" w:color="000000" w:sz="12" w:space="0"/>
              <w:bottom w:val="single" w:color="auto" w:sz="6" w:space="0"/>
            </w:tcBorders>
            <w:shd w:val="clear" w:color="auto" w:fill="auto"/>
            <w:vAlign w:val="center"/>
          </w:tcPr>
          <w:p w14:paraId="25D1511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pacing w:val="3"/>
                <w:sz w:val="24"/>
                <w:szCs w:val="24"/>
                <w:lang w:eastAsia="zh-CN"/>
              </w:rPr>
              <w:t>t/</w:t>
            </w: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24"/>
                <w:szCs w:val="24"/>
                <w:lang w:eastAsia="zh-CN"/>
              </w:rPr>
              <w:t>x</w:t>
            </w: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24"/>
                <w:szCs w:val="24"/>
                <w:vertAlign w:val="superscript"/>
                <w:lang w:eastAsia="zh-CN"/>
              </w:rPr>
              <w:t xml:space="preserve">2 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value</w:t>
            </w:r>
          </w:p>
        </w:tc>
        <w:tc>
          <w:tcPr>
            <w:tcW w:w="928" w:type="dxa"/>
            <w:tcBorders>
              <w:top w:val="single" w:color="000000" w:sz="12" w:space="0"/>
              <w:bottom w:val="single" w:color="auto" w:sz="6" w:space="0"/>
            </w:tcBorders>
            <w:shd w:val="clear" w:color="auto" w:fill="auto"/>
            <w:vAlign w:val="center"/>
          </w:tcPr>
          <w:p w14:paraId="6A21023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pacing w:val="3"/>
                <w:sz w:val="24"/>
                <w:szCs w:val="24"/>
                <w:lang w:eastAsia="zh-CN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 value</w:t>
            </w:r>
          </w:p>
        </w:tc>
      </w:tr>
      <w:tr w14:paraId="26C5B4D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op w:val="single" w:color="auto" w:sz="6" w:space="0"/>
              <w:bottom w:val="nil"/>
            </w:tcBorders>
            <w:vAlign w:val="center"/>
          </w:tcPr>
          <w:p w14:paraId="76BB2A8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BW (</w:t>
            </w:r>
            <m:oMath>
              <m:acc>
                <m:accPr>
                  <m:chr m:val="̅"/>
                  <m:ctrlPr>
                    <w:rPr>
                      <w:rFonts w:hint="default" w:ascii="Cambria Math" w:hAnsi="Cambria Math" w:eastAsia="宋体" w:cs="Times New Roman"/>
                      <w:sz w:val="24"/>
                      <w:szCs w:val="24"/>
                      <w:lang w:eastAsia="zh-CN"/>
                    </w:rPr>
                  </m:ctrlPr>
                </m:accPr>
                <m:e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eastAsia="宋体" w:cs="Times New Roman"/>
                      <w:b w:val="0"/>
                      <w:i w:val="0"/>
                      <w:sz w:val="24"/>
                      <w:szCs w:val="24"/>
                      <w:lang w:eastAsia="zh-CN"/>
                    </w:rPr>
                    <m:t>x</m:t>
                  </m:r>
                  <m:ctrlPr>
                    <w:rPr>
                      <w:rFonts w:hint="default" w:ascii="Cambria Math" w:hAnsi="Cambria Math" w:eastAsia="宋体" w:cs="Times New Roman"/>
                      <w:sz w:val="24"/>
                      <w:szCs w:val="24"/>
                      <w:lang w:eastAsia="zh-CN"/>
                    </w:rPr>
                  </m:ctrlPr>
                </m:e>
              </m:acc>
            </m:oMath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±s, g)</w:t>
            </w:r>
          </w:p>
        </w:tc>
        <w:tc>
          <w:tcPr>
            <w:tcW w:w="1900" w:type="dxa"/>
            <w:tcBorders>
              <w:top w:val="single" w:color="auto" w:sz="6" w:space="0"/>
              <w:bottom w:val="nil"/>
            </w:tcBorders>
            <w:vAlign w:val="center"/>
          </w:tcPr>
          <w:p w14:paraId="055B5F4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2"/>
                <w:position w:val="1"/>
                <w:sz w:val="24"/>
                <w:szCs w:val="24"/>
              </w:rPr>
              <w:t>1177.4</w:t>
            </w:r>
            <w:r>
              <w:rPr>
                <w:rFonts w:hint="default" w:ascii="Times New Roman" w:hAnsi="Times New Roman" w:eastAsia="宋体" w:cs="Times New Roman"/>
                <w:spacing w:val="2"/>
                <w:position w:val="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2"/>
                <w:position w:val="1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宋体" w:cs="Times New Roman"/>
                <w:spacing w:val="2"/>
                <w:position w:val="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2"/>
                <w:position w:val="1"/>
                <w:sz w:val="24"/>
                <w:szCs w:val="24"/>
              </w:rPr>
              <w:t>249.3</w:t>
            </w:r>
          </w:p>
        </w:tc>
        <w:tc>
          <w:tcPr>
            <w:tcW w:w="2448" w:type="dxa"/>
            <w:tcBorders>
              <w:top w:val="single" w:color="auto" w:sz="6" w:space="0"/>
              <w:bottom w:val="nil"/>
            </w:tcBorders>
            <w:vAlign w:val="center"/>
          </w:tcPr>
          <w:p w14:paraId="1D62DF5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</w:rPr>
              <w:t>905.8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</w:rPr>
              <w:t>236.3</w:t>
            </w:r>
          </w:p>
        </w:tc>
        <w:tc>
          <w:tcPr>
            <w:tcW w:w="1109" w:type="dxa"/>
            <w:tcBorders>
              <w:top w:val="single" w:color="auto" w:sz="6" w:space="0"/>
              <w:bottom w:val="nil"/>
            </w:tcBorders>
            <w:vAlign w:val="center"/>
          </w:tcPr>
          <w:p w14:paraId="751FD1F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3.013</w:t>
            </w:r>
          </w:p>
        </w:tc>
        <w:tc>
          <w:tcPr>
            <w:tcW w:w="928" w:type="dxa"/>
            <w:tcBorders>
              <w:top w:val="single" w:color="auto" w:sz="6" w:space="0"/>
              <w:bottom w:val="nil"/>
            </w:tcBorders>
            <w:vAlign w:val="center"/>
          </w:tcPr>
          <w:p w14:paraId="60C5FE9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0.005</w:t>
            </w:r>
          </w:p>
        </w:tc>
      </w:tr>
      <w:tr w14:paraId="2C2CD0B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op w:val="nil"/>
              <w:bottom w:val="nil"/>
            </w:tcBorders>
            <w:vAlign w:val="center"/>
          </w:tcPr>
          <w:p w14:paraId="09B658F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GA (</w:t>
            </w:r>
            <m:oMath>
              <m:acc>
                <m:accPr>
                  <m:chr m:val="̅"/>
                  <m:ctrlPr>
                    <w:rPr>
                      <w:rFonts w:hint="default" w:ascii="Cambria Math" w:hAnsi="Cambria Math" w:eastAsia="宋体" w:cs="Times New Roman"/>
                      <w:sz w:val="24"/>
                      <w:szCs w:val="24"/>
                      <w:lang w:eastAsia="zh-CN"/>
                    </w:rPr>
                  </m:ctrlPr>
                </m:accPr>
                <m:e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eastAsia="宋体" w:cs="Times New Roman"/>
                      <w:b w:val="0"/>
                      <w:i w:val="0"/>
                      <w:sz w:val="24"/>
                      <w:szCs w:val="24"/>
                      <w:lang w:eastAsia="zh-CN"/>
                    </w:rPr>
                    <m:t>x</m:t>
                  </m:r>
                  <m:ctrlPr>
                    <w:rPr>
                      <w:rFonts w:hint="default" w:ascii="Cambria Math" w:hAnsi="Cambria Math" w:eastAsia="宋体" w:cs="Times New Roman"/>
                      <w:sz w:val="24"/>
                      <w:szCs w:val="24"/>
                      <w:lang w:eastAsia="zh-CN"/>
                    </w:rPr>
                  </m:ctrlPr>
                </m:e>
              </m:acc>
            </m:oMath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±s, weeks)</w:t>
            </w:r>
          </w:p>
        </w:tc>
        <w:tc>
          <w:tcPr>
            <w:tcW w:w="1900" w:type="dxa"/>
            <w:tcBorders>
              <w:top w:val="nil"/>
              <w:bottom w:val="nil"/>
            </w:tcBorders>
            <w:vAlign w:val="center"/>
          </w:tcPr>
          <w:p w14:paraId="3380E26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</w:rPr>
              <w:t>29.05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</w:rPr>
              <w:t>1.16</w:t>
            </w:r>
          </w:p>
        </w:tc>
        <w:tc>
          <w:tcPr>
            <w:tcW w:w="2448" w:type="dxa"/>
            <w:tcBorders>
              <w:top w:val="nil"/>
              <w:bottom w:val="nil"/>
            </w:tcBorders>
            <w:vAlign w:val="center"/>
          </w:tcPr>
          <w:p w14:paraId="727AC3B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</w:rPr>
              <w:t>28.93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</w:rPr>
              <w:t>±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4"/>
                <w:position w:val="1"/>
                <w:sz w:val="24"/>
                <w:szCs w:val="24"/>
              </w:rPr>
              <w:t>1.28</w:t>
            </w:r>
          </w:p>
        </w:tc>
        <w:tc>
          <w:tcPr>
            <w:tcW w:w="1109" w:type="dxa"/>
            <w:tcBorders>
              <w:top w:val="nil"/>
              <w:bottom w:val="nil"/>
            </w:tcBorders>
            <w:vAlign w:val="center"/>
          </w:tcPr>
          <w:p w14:paraId="6AB2263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2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0.279</w:t>
            </w:r>
          </w:p>
        </w:tc>
        <w:tc>
          <w:tcPr>
            <w:tcW w:w="928" w:type="dxa"/>
            <w:tcBorders>
              <w:top w:val="nil"/>
              <w:bottom w:val="nil"/>
            </w:tcBorders>
            <w:vAlign w:val="center"/>
          </w:tcPr>
          <w:p w14:paraId="4F708F0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2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0.782</w:t>
            </w:r>
          </w:p>
        </w:tc>
      </w:tr>
      <w:tr w14:paraId="257D0A9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500B5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Male [Cases (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%)]</w:t>
            </w:r>
          </w:p>
        </w:tc>
        <w:tc>
          <w:tcPr>
            <w:tcW w:w="1900" w:type="dxa"/>
            <w:tcBorders>
              <w:top w:val="nil"/>
              <w:bottom w:val="nil"/>
            </w:tcBorders>
            <w:vAlign w:val="center"/>
          </w:tcPr>
          <w:p w14:paraId="6FD0FDE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</w:rPr>
              <w:t>13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  <w:lang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</w:rPr>
              <w:t>68.4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448" w:type="dxa"/>
            <w:tcBorders>
              <w:top w:val="nil"/>
              <w:bottom w:val="nil"/>
            </w:tcBorders>
            <w:vAlign w:val="center"/>
          </w:tcPr>
          <w:p w14:paraId="3FA937D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  <w:lang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</w:rPr>
              <w:t>66.7</w:t>
            </w: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109" w:type="dxa"/>
            <w:tcBorders>
              <w:top w:val="nil"/>
              <w:bottom w:val="nil"/>
            </w:tcBorders>
            <w:vAlign w:val="center"/>
          </w:tcPr>
          <w:p w14:paraId="59D04AD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2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0.010</w:t>
            </w:r>
          </w:p>
        </w:tc>
        <w:tc>
          <w:tcPr>
            <w:tcW w:w="928" w:type="dxa"/>
            <w:tcBorders>
              <w:top w:val="nil"/>
              <w:bottom w:val="nil"/>
            </w:tcBorders>
            <w:vAlign w:val="center"/>
          </w:tcPr>
          <w:p w14:paraId="26D3C6C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2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0.919</w:t>
            </w:r>
          </w:p>
        </w:tc>
      </w:tr>
      <w:tr w14:paraId="5EAE8DA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C6918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Cesarean section</w:t>
            </w:r>
          </w:p>
          <w:p w14:paraId="490B53D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[Cases (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%)]</w:t>
            </w:r>
          </w:p>
        </w:tc>
        <w:tc>
          <w:tcPr>
            <w:tcW w:w="1900" w:type="dxa"/>
            <w:tcBorders>
              <w:top w:val="nil"/>
              <w:bottom w:val="nil"/>
            </w:tcBorders>
            <w:vAlign w:val="center"/>
          </w:tcPr>
          <w:p w14:paraId="529B250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</w:rPr>
              <w:t>13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  <w:lang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</w:rPr>
              <w:t>68.4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448" w:type="dxa"/>
            <w:tcBorders>
              <w:top w:val="nil"/>
              <w:bottom w:val="nil"/>
            </w:tcBorders>
            <w:vAlign w:val="center"/>
          </w:tcPr>
          <w:p w14:paraId="24E989C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</w:rPr>
              <w:t>10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  <w:lang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</w:rPr>
              <w:t>83.3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109" w:type="dxa"/>
            <w:tcBorders>
              <w:top w:val="nil"/>
              <w:bottom w:val="nil"/>
            </w:tcBorders>
            <w:vAlign w:val="center"/>
          </w:tcPr>
          <w:p w14:paraId="2E56EB7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0.253</w:t>
            </w:r>
          </w:p>
        </w:tc>
        <w:tc>
          <w:tcPr>
            <w:tcW w:w="928" w:type="dxa"/>
            <w:tcBorders>
              <w:top w:val="nil"/>
              <w:bottom w:val="nil"/>
            </w:tcBorders>
            <w:vAlign w:val="center"/>
          </w:tcPr>
          <w:p w14:paraId="5793DDB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6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0.615</w:t>
            </w:r>
          </w:p>
        </w:tc>
      </w:tr>
      <w:tr w14:paraId="2905007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04C1D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 w:colFirst="0" w:colLast="4"/>
            <w:r>
              <w:rPr>
                <w:rFonts w:hint="eastAsia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AIS 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[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(%)]</w:t>
            </w:r>
          </w:p>
        </w:tc>
        <w:tc>
          <w:tcPr>
            <w:tcW w:w="19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1F574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(47.4)</w:t>
            </w:r>
          </w:p>
        </w:tc>
        <w:tc>
          <w:tcPr>
            <w:tcW w:w="24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8F9D4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 (33.3)</w:t>
            </w:r>
          </w:p>
        </w:tc>
        <w:tc>
          <w:tcPr>
            <w:tcW w:w="11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5C081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0.473</w:t>
            </w:r>
          </w:p>
        </w:tc>
        <w:tc>
          <w:tcPr>
            <w:tcW w:w="9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D5740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0.484</w:t>
            </w:r>
          </w:p>
        </w:tc>
      </w:tr>
      <w:tr w14:paraId="36D7D72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op w:val="nil"/>
              <w:bottom w:val="nil"/>
            </w:tcBorders>
            <w:vAlign w:val="center"/>
          </w:tcPr>
          <w:p w14:paraId="697C178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5 min Apgar</w:t>
            </w:r>
          </w:p>
          <w:p w14:paraId="589F7F2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[M (Q1, Q3), points]</w:t>
            </w:r>
          </w:p>
        </w:tc>
        <w:tc>
          <w:tcPr>
            <w:tcW w:w="1900" w:type="dxa"/>
            <w:tcBorders>
              <w:top w:val="nil"/>
              <w:bottom w:val="nil"/>
            </w:tcBorders>
            <w:vAlign w:val="center"/>
          </w:tcPr>
          <w:p w14:paraId="6457A10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5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448" w:type="dxa"/>
            <w:tcBorders>
              <w:top w:val="nil"/>
              <w:bottom w:val="nil"/>
            </w:tcBorders>
            <w:vAlign w:val="center"/>
          </w:tcPr>
          <w:p w14:paraId="05F1135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5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9" w:type="dxa"/>
            <w:tcBorders>
              <w:top w:val="nil"/>
              <w:bottom w:val="nil"/>
            </w:tcBorders>
            <w:vAlign w:val="center"/>
          </w:tcPr>
          <w:p w14:paraId="2E8C050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58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-2.151</w:t>
            </w:r>
          </w:p>
        </w:tc>
        <w:tc>
          <w:tcPr>
            <w:tcW w:w="928" w:type="dxa"/>
            <w:tcBorders>
              <w:top w:val="nil"/>
              <w:bottom w:val="nil"/>
            </w:tcBorders>
            <w:vAlign w:val="center"/>
          </w:tcPr>
          <w:p w14:paraId="26B6333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58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0.031</w:t>
            </w:r>
          </w:p>
        </w:tc>
      </w:tr>
      <w:tr w14:paraId="1FFA9EE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op w:val="nil"/>
              <w:bottom w:val="nil"/>
            </w:tcBorders>
            <w:vAlign w:val="center"/>
          </w:tcPr>
          <w:p w14:paraId="11664EB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1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hsPDA [Cases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%)]</w:t>
            </w:r>
          </w:p>
        </w:tc>
        <w:tc>
          <w:tcPr>
            <w:tcW w:w="1900" w:type="dxa"/>
            <w:tcBorders>
              <w:top w:val="nil"/>
              <w:bottom w:val="nil"/>
            </w:tcBorders>
            <w:vAlign w:val="center"/>
          </w:tcPr>
          <w:p w14:paraId="1CE6578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21.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2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448" w:type="dxa"/>
            <w:tcBorders>
              <w:top w:val="nil"/>
              <w:bottom w:val="nil"/>
            </w:tcBorders>
            <w:vAlign w:val="center"/>
          </w:tcPr>
          <w:p w14:paraId="4BB8FE2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9" w:type="dxa"/>
            <w:tcBorders>
              <w:top w:val="nil"/>
              <w:bottom w:val="nil"/>
            </w:tcBorders>
            <w:vAlign w:val="center"/>
          </w:tcPr>
          <w:p w14:paraId="12FC1BA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7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2.820</w:t>
            </w:r>
          </w:p>
        </w:tc>
        <w:tc>
          <w:tcPr>
            <w:tcW w:w="928" w:type="dxa"/>
            <w:tcBorders>
              <w:top w:val="nil"/>
              <w:bottom w:val="nil"/>
            </w:tcBorders>
            <w:vAlign w:val="center"/>
          </w:tcPr>
          <w:p w14:paraId="6CBCBF0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7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0.093</w:t>
            </w:r>
          </w:p>
        </w:tc>
      </w:tr>
      <w:tr w14:paraId="57A49DC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op w:val="nil"/>
              <w:bottom w:val="nil"/>
            </w:tcBorders>
            <w:vAlign w:val="center"/>
          </w:tcPr>
          <w:p w14:paraId="6DC205D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1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PH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[Cases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%)]</w:t>
            </w:r>
          </w:p>
        </w:tc>
        <w:tc>
          <w:tcPr>
            <w:tcW w:w="1900" w:type="dxa"/>
            <w:tcBorders>
              <w:top w:val="nil"/>
              <w:bottom w:val="nil"/>
            </w:tcBorders>
            <w:vAlign w:val="center"/>
          </w:tcPr>
          <w:p w14:paraId="0FE48C2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21.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2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448" w:type="dxa"/>
            <w:tcBorders>
              <w:top w:val="nil"/>
              <w:bottom w:val="nil"/>
            </w:tcBorders>
            <w:vAlign w:val="center"/>
          </w:tcPr>
          <w:p w14:paraId="54FEE20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2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宋体" w:cs="Times New Roman"/>
                <w:color w:val="000000" w:themeColor="text1"/>
                <w:spacing w:val="-2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9" w:type="dxa"/>
            <w:tcBorders>
              <w:top w:val="nil"/>
              <w:bottom w:val="nil"/>
            </w:tcBorders>
            <w:vAlign w:val="center"/>
          </w:tcPr>
          <w:p w14:paraId="33C9053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7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0.191</w:t>
            </w:r>
          </w:p>
        </w:tc>
        <w:tc>
          <w:tcPr>
            <w:tcW w:w="928" w:type="dxa"/>
            <w:tcBorders>
              <w:top w:val="nil"/>
              <w:bottom w:val="nil"/>
            </w:tcBorders>
            <w:vAlign w:val="center"/>
          </w:tcPr>
          <w:p w14:paraId="4E7FA1B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7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0.662</w:t>
            </w:r>
          </w:p>
        </w:tc>
      </w:tr>
      <w:tr w14:paraId="4296157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op w:val="nil"/>
              <w:bottom w:val="nil"/>
            </w:tcBorders>
            <w:vAlign w:val="center"/>
          </w:tcPr>
          <w:p w14:paraId="6CAEF8E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8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IVH [Cases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%)]</w:t>
            </w:r>
          </w:p>
        </w:tc>
        <w:tc>
          <w:tcPr>
            <w:tcW w:w="1900" w:type="dxa"/>
            <w:tcBorders>
              <w:top w:val="nil"/>
              <w:bottom w:val="nil"/>
            </w:tcBorders>
            <w:vAlign w:val="center"/>
          </w:tcPr>
          <w:p w14:paraId="0F8EBE5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7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42.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2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448" w:type="dxa"/>
            <w:tcBorders>
              <w:top w:val="nil"/>
              <w:bottom w:val="nil"/>
            </w:tcBorders>
            <w:vAlign w:val="center"/>
          </w:tcPr>
          <w:p w14:paraId="7228A09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7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9" w:type="dxa"/>
            <w:tcBorders>
              <w:top w:val="nil"/>
              <w:bottom w:val="nil"/>
            </w:tcBorders>
            <w:vAlign w:val="center"/>
          </w:tcPr>
          <w:p w14:paraId="1BA689C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0.185</w:t>
            </w:r>
          </w:p>
        </w:tc>
        <w:tc>
          <w:tcPr>
            <w:tcW w:w="928" w:type="dxa"/>
            <w:tcBorders>
              <w:top w:val="nil"/>
              <w:bottom w:val="nil"/>
            </w:tcBorders>
            <w:vAlign w:val="center"/>
          </w:tcPr>
          <w:p w14:paraId="5F00F3C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0.667</w:t>
            </w:r>
          </w:p>
        </w:tc>
      </w:tr>
      <w:tr w14:paraId="01DAD17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op w:val="nil"/>
              <w:bottom w:val="nil"/>
            </w:tcBorders>
            <w:vAlign w:val="center"/>
          </w:tcPr>
          <w:p w14:paraId="12C2DBE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MV time</w:t>
            </w:r>
          </w:p>
          <w:p w14:paraId="587A62E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[M (Q1, Q3) , d]</w:t>
            </w:r>
          </w:p>
        </w:tc>
        <w:tc>
          <w:tcPr>
            <w:tcW w:w="1900" w:type="dxa"/>
            <w:tcBorders>
              <w:top w:val="nil"/>
              <w:bottom w:val="nil"/>
            </w:tcBorders>
            <w:vAlign w:val="center"/>
          </w:tcPr>
          <w:p w14:paraId="639D765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5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448" w:type="dxa"/>
            <w:tcBorders>
              <w:top w:val="nil"/>
              <w:bottom w:val="nil"/>
            </w:tcBorders>
            <w:vAlign w:val="center"/>
          </w:tcPr>
          <w:p w14:paraId="25ACFD1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65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7.0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109" w:type="dxa"/>
            <w:tcBorders>
              <w:top w:val="nil"/>
              <w:bottom w:val="nil"/>
            </w:tcBorders>
            <w:vAlign w:val="center"/>
          </w:tcPr>
          <w:p w14:paraId="65D8BF6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58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-2.073</w:t>
            </w:r>
          </w:p>
        </w:tc>
        <w:tc>
          <w:tcPr>
            <w:tcW w:w="928" w:type="dxa"/>
            <w:tcBorders>
              <w:top w:val="nil"/>
              <w:bottom w:val="nil"/>
            </w:tcBorders>
            <w:vAlign w:val="center"/>
          </w:tcPr>
          <w:p w14:paraId="16F64C5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58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0.038</w:t>
            </w:r>
          </w:p>
        </w:tc>
      </w:tr>
      <w:tr w14:paraId="2ED6F28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50732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Oxygen days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m:oMath>
              <m:acc>
                <m:accPr>
                  <m:chr m:val="̅"/>
                  <m:ctrlPr>
                    <w:rPr>
                      <w:rFonts w:hint="default" w:ascii="Cambria Math" w:hAnsi="Cambria Math" w:eastAsia="宋体" w:cs="Times New Roman"/>
                      <w:color w:val="000000" w:themeColor="text1"/>
                      <w:sz w:val="24"/>
                      <w:szCs w:val="24"/>
                      <w:highlight w:val="no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accPr>
                <m:e>
                  <m:r>
                    <m:rPr>
                      <m:nor/>
                      <m:sty m:val="p"/>
                    </m:rPr>
                    <w:rPr>
                      <w:rFonts w:hint="default" w:ascii="Times New Roman" w:hAnsi="Times New Roman" w:eastAsia="宋体" w:cs="Times New Roman"/>
                      <w:b w:val="0"/>
                      <w:i w:val="0"/>
                      <w:color w:val="000000" w:themeColor="text1"/>
                      <w:sz w:val="24"/>
                      <w:szCs w:val="24"/>
                      <w:highlight w:val="no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m:t>x</m:t>
                  </m:r>
                  <m:ctrlPr>
                    <w:rPr>
                      <w:rFonts w:hint="default" w:ascii="Cambria Math" w:hAnsi="Cambria Math" w:eastAsia="宋体" w:cs="Times New Roman"/>
                      <w:color w:val="000000" w:themeColor="text1"/>
                      <w:sz w:val="24"/>
                      <w:szCs w:val="24"/>
                      <w:highlight w:val="no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</m:acc>
            </m:oMath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±s,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days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9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CB3D6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54.7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± </w:t>
            </w:r>
            <w:r>
              <w:rPr>
                <w:rFonts w:hint="eastAsia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4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9A5B9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68.3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± </w:t>
            </w:r>
            <w:r>
              <w:rPr>
                <w:rFonts w:hint="eastAsia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3942A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cs="Times New Roman"/>
                <w:color w:val="000000" w:themeColor="text1"/>
                <w:spacing w:val="3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3.932</w:t>
            </w:r>
          </w:p>
        </w:tc>
        <w:tc>
          <w:tcPr>
            <w:tcW w:w="9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A9DA9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3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bookmarkEnd w:id="0"/>
      <w:tr w14:paraId="409CCBD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03" w:type="dxa"/>
            <w:tcBorders>
              <w:top w:val="nil"/>
              <w:bottom w:val="single" w:color="000000" w:sz="12" w:space="0"/>
            </w:tcBorders>
            <w:vAlign w:val="center"/>
          </w:tcPr>
          <w:p w14:paraId="42A2766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Use of PS [Cases (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n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%)]</w:t>
            </w:r>
          </w:p>
        </w:tc>
        <w:tc>
          <w:tcPr>
            <w:tcW w:w="1900" w:type="dxa"/>
            <w:tcBorders>
              <w:top w:val="nil"/>
              <w:bottom w:val="single" w:color="000000" w:sz="12" w:space="0"/>
            </w:tcBorders>
            <w:vAlign w:val="center"/>
          </w:tcPr>
          <w:p w14:paraId="6DA4514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</w:rPr>
              <w:t>17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  <w:lang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</w:rPr>
              <w:t>89.5</w:t>
            </w:r>
            <w:r>
              <w:rPr>
                <w:rFonts w:hint="default" w:ascii="Times New Roman" w:hAnsi="Times New Roman" w:eastAsia="宋体" w:cs="Times New Roman"/>
                <w:spacing w:val="1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2448" w:type="dxa"/>
            <w:tcBorders>
              <w:top w:val="nil"/>
              <w:bottom w:val="single" w:color="000000" w:sz="12" w:space="0"/>
            </w:tcBorders>
            <w:vAlign w:val="center"/>
          </w:tcPr>
          <w:p w14:paraId="53CE690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9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</w:rPr>
              <w:t>12</w:t>
            </w: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  <w:lang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</w:rPr>
              <w:t>100.0</w:t>
            </w: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109" w:type="dxa"/>
            <w:tcBorders>
              <w:top w:val="nil"/>
              <w:bottom w:val="single" w:color="000000" w:sz="12" w:space="0"/>
            </w:tcBorders>
            <w:vAlign w:val="center"/>
          </w:tcPr>
          <w:p w14:paraId="309F3A5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5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2"/>
                <w:sz w:val="24"/>
                <w:szCs w:val="24"/>
              </w:rPr>
              <w:t>0.169</w:t>
            </w:r>
          </w:p>
        </w:tc>
        <w:tc>
          <w:tcPr>
            <w:tcW w:w="928" w:type="dxa"/>
            <w:tcBorders>
              <w:top w:val="nil"/>
              <w:bottom w:val="single" w:color="000000" w:sz="12" w:space="0"/>
            </w:tcBorders>
            <w:vAlign w:val="center"/>
          </w:tcPr>
          <w:p w14:paraId="678DA91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5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</w:rPr>
              <w:t>0.681</w:t>
            </w:r>
          </w:p>
        </w:tc>
      </w:tr>
    </w:tbl>
    <w:p w14:paraId="7EE67E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240" w:lineRule="auto"/>
        <w:jc w:val="both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sectPr>
      <w:pgSz w:w="11906" w:h="16838"/>
      <w:pgMar w:top="1701" w:right="1134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empus Sans ITC">
    <w:panose1 w:val="04020404030D07020202"/>
    <w:charset w:val="00"/>
    <w:family w:val="decorative"/>
    <w:pitch w:val="default"/>
    <w:sig w:usb0="00000003" w:usb1="00000000" w:usb2="00000000" w:usb3="00000000" w:csb0="2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706BE8"/>
    <w:rsid w:val="0030341D"/>
    <w:rsid w:val="01373FC9"/>
    <w:rsid w:val="0C985340"/>
    <w:rsid w:val="108B685B"/>
    <w:rsid w:val="13AB401E"/>
    <w:rsid w:val="15706BE8"/>
    <w:rsid w:val="237A70F6"/>
    <w:rsid w:val="276F6846"/>
    <w:rsid w:val="31040EF1"/>
    <w:rsid w:val="36850A9B"/>
    <w:rsid w:val="39B715C2"/>
    <w:rsid w:val="3E1B5DAD"/>
    <w:rsid w:val="48117BB5"/>
    <w:rsid w:val="49C16F51"/>
    <w:rsid w:val="63715C78"/>
    <w:rsid w:val="68E00D76"/>
    <w:rsid w:val="6BC5626B"/>
    <w:rsid w:val="6E1A75BC"/>
    <w:rsid w:val="6F736864"/>
    <w:rsid w:val="7F79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cs="Tempus Sans ITC" w:asciiTheme="minorHAnsi" w:hAnsiTheme="minorHAns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en-US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667</Characters>
  <Lines>0</Lines>
  <Paragraphs>0</Paragraphs>
  <TotalTime>11</TotalTime>
  <ScaleCrop>false</ScaleCrop>
  <LinksUpToDate>false</LinksUpToDate>
  <CharactersWithSpaces>763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2025-09-19T06:21:00Z</dcterms:created>
  <dc:creator>夏夜听风</dc:creator>
  <cp:lastModifiedBy>mnsy77982</cp:lastModifiedBy>
  <dcterms:modified xsi:type="dcterms:W3CDTF">2026-06-05T10:38:19Z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BA20E1ED8278437AA41159808CAD24C4_11</vt:lpwstr>
  </property>
  <property fmtid="{D5CDD505-2E9C-101B-9397-08002B2CF9AE}" pid="4" name="KSOTemplateDocerSaveRecord">
    <vt:lpwstr>eyJoZGlkIjoiZmE4ODU2MjM2YjIwZGUyM2Y1YWUzYjU0YjY4MzA3ZjYiLCJ1c2VySWQiOiIxNzc1NTEwODMzIn0=</vt:lpwstr>
  </property>
</Properties>
</file>