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48234" w14:textId="77777777" w:rsidR="002666E2" w:rsidRPr="00B90A2C" w:rsidRDefault="002666E2" w:rsidP="002666E2">
      <w:pPr>
        <w:pStyle w:val="Heading3"/>
        <w:spacing w:line="480" w:lineRule="auto"/>
        <w:jc w:val="center"/>
        <w:rPr>
          <w:rFonts w:ascii="Calibri" w:eastAsiaTheme="minorHAnsi" w:hAnsi="Calibri" w:cs="Calibri"/>
          <w:b/>
          <w:bCs/>
          <w:color w:val="auto"/>
          <w:sz w:val="24"/>
          <w:szCs w:val="24"/>
        </w:rPr>
      </w:pPr>
      <w:r w:rsidRPr="00B90A2C">
        <w:rPr>
          <w:rFonts w:ascii="Calibri" w:eastAsiaTheme="minorHAnsi" w:hAnsi="Calibri" w:cs="Calibri"/>
          <w:b/>
          <w:bCs/>
          <w:color w:val="auto"/>
          <w:sz w:val="24"/>
          <w:szCs w:val="24"/>
        </w:rPr>
        <w:t>Nicotine Formulation and Tobacco Flavour in Electronic Cigarette Aerosols Differentially Regulate Alveolar Epithelial Barrier Function and Gene Expression</w:t>
      </w:r>
    </w:p>
    <w:p w14:paraId="3423CDF2" w14:textId="77777777" w:rsidR="002666E2" w:rsidRPr="00B90A2C" w:rsidRDefault="002666E2" w:rsidP="002666E2">
      <w:pPr>
        <w:pStyle w:val="Heading3"/>
        <w:spacing w:line="480" w:lineRule="auto"/>
        <w:rPr>
          <w:rFonts w:ascii="Calibri" w:eastAsiaTheme="minorHAnsi" w:hAnsi="Calibri" w:cs="Calibri"/>
          <w:b/>
          <w:bCs/>
          <w:color w:val="auto"/>
          <w:sz w:val="24"/>
          <w:szCs w:val="24"/>
        </w:rPr>
      </w:pPr>
    </w:p>
    <w:p w14:paraId="2A97CC70" w14:textId="77777777" w:rsidR="002666E2" w:rsidRPr="00B90A2C" w:rsidRDefault="002666E2" w:rsidP="002666E2">
      <w:pPr>
        <w:pStyle w:val="Heading3"/>
        <w:rPr>
          <w:rFonts w:ascii="Calibri" w:hAnsi="Calibri" w:cs="Calibri"/>
          <w:sz w:val="24"/>
          <w:szCs w:val="24"/>
        </w:rPr>
      </w:pPr>
      <w:r w:rsidRPr="00B90A2C">
        <w:rPr>
          <w:rFonts w:ascii="Calibri" w:hAnsi="Calibri" w:cs="Calibri"/>
          <w:sz w:val="24"/>
          <w:szCs w:val="24"/>
        </w:rPr>
        <w:t>Evaluation of ECAM-cell chamber device</w:t>
      </w:r>
    </w:p>
    <w:p w14:paraId="19DF208A" w14:textId="272A01A7" w:rsidR="005B68EB" w:rsidRDefault="00EF5948" w:rsidP="00EF5948">
      <w:pPr>
        <w:spacing w:line="480" w:lineRule="auto"/>
        <w:jc w:val="both"/>
        <w:rPr>
          <w:rFonts w:ascii="Calibri" w:eastAsiaTheme="majorEastAsia" w:hAnsi="Calibri" w:cs="Calibri"/>
        </w:rPr>
      </w:pPr>
      <w:r w:rsidRPr="00B90A2C">
        <w:rPr>
          <w:rFonts w:ascii="Calibri" w:eastAsiaTheme="majorEastAsia" w:hAnsi="Calibri" w:cs="Calibri"/>
        </w:rPr>
        <w:t xml:space="preserve">To verify the reproducible delivery of the aerosol dose provided to each Transwell during the </w:t>
      </w:r>
      <w:r w:rsidRPr="00B90A2C">
        <w:rPr>
          <w:rFonts w:ascii="Calibri" w:eastAsiaTheme="majorEastAsia" w:hAnsi="Calibri" w:cs="Calibri"/>
          <w:i/>
          <w:iCs/>
        </w:rPr>
        <w:t>in vitro</w:t>
      </w:r>
      <w:r w:rsidRPr="00B90A2C">
        <w:rPr>
          <w:rFonts w:ascii="Calibri" w:eastAsiaTheme="majorEastAsia" w:hAnsi="Calibri" w:cs="Calibri"/>
        </w:rPr>
        <w:t xml:space="preserve"> biological exposure runs, mass deposition was quantified in a series of independent validation </w:t>
      </w:r>
      <w:proofErr w:type="gramStart"/>
      <w:r w:rsidRPr="00B90A2C">
        <w:rPr>
          <w:rFonts w:ascii="Calibri" w:eastAsiaTheme="majorEastAsia" w:hAnsi="Calibri" w:cs="Calibri"/>
        </w:rPr>
        <w:t>experiments.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>.</w:t>
      </w:r>
      <w:proofErr w:type="gramEnd"/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</w:t>
      </w:r>
      <w:r w:rsidR="0047647A" w:rsidRPr="00B90A2C">
        <w:rPr>
          <w:rFonts w:ascii="Calibri" w:eastAsiaTheme="majorEastAsia" w:hAnsi="Calibri" w:cs="Calibri"/>
        </w:rPr>
        <w:t>For this validation, a custom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3 mm thick piece of acrylic was placed into the base of each transwell in the BAT cell chamber. </w:t>
      </w:r>
      <w:r w:rsidR="005B68EB" w:rsidRPr="00B90A2C">
        <w:rPr>
          <w:rFonts w:ascii="Calibri" w:eastAsiaTheme="majorEastAsia" w:hAnsi="Calibri" w:cs="Calibri"/>
        </w:rPr>
        <w:t>The exposure chamber setup houses six standard 12-well Transwell inserts (</w:t>
      </w:r>
      <w:proofErr w:type="spellStart"/>
      <w:r w:rsidR="005B68EB" w:rsidRPr="00B90A2C">
        <w:rPr>
          <w:rFonts w:ascii="Calibri" w:eastAsiaTheme="majorEastAsia" w:hAnsi="Calibri" w:cs="Calibri"/>
        </w:rPr>
        <w:t>Costar</w:t>
      </w:r>
      <w:proofErr w:type="spellEnd"/>
      <w:r w:rsidR="005B68EB" w:rsidRPr="00B90A2C">
        <w:rPr>
          <w:rFonts w:ascii="Calibri" w:eastAsiaTheme="majorEastAsia" w:hAnsi="Calibri" w:cs="Calibri"/>
        </w:rPr>
        <w:t xml:space="preserve"> 3460, Corning, New York, USA), each featuring a growth surface area of 1.12 cm</w:t>
      </w:r>
      <w:r w:rsidR="005B68EB" w:rsidRPr="00B90A2C">
        <w:rPr>
          <w:rFonts w:ascii="Calibri" w:eastAsiaTheme="majorEastAsia" w:hAnsi="Calibri" w:cs="Calibri"/>
          <w:vertAlign w:val="superscript"/>
        </w:rPr>
        <w:t>2</w:t>
      </w:r>
      <w:r w:rsidR="005B68EB" w:rsidRPr="00B90A2C">
        <w:rPr>
          <w:rFonts w:ascii="Calibri" w:eastAsiaTheme="majorEastAsia" w:hAnsi="Calibri" w:cs="Calibri"/>
        </w:rPr>
        <w:t xml:space="preserve"> per insert.</w:t>
      </w:r>
    </w:p>
    <w:p w14:paraId="308BA5E0" w14:textId="77777777" w:rsidR="000B0712" w:rsidRPr="00B90A2C" w:rsidRDefault="000B0712" w:rsidP="00EF5948">
      <w:pPr>
        <w:spacing w:line="480" w:lineRule="auto"/>
        <w:jc w:val="both"/>
        <w:rPr>
          <w:rFonts w:ascii="Calibri" w:eastAsiaTheme="majorEastAsia" w:hAnsi="Calibri" w:cs="Calibri"/>
        </w:rPr>
      </w:pPr>
    </w:p>
    <w:p w14:paraId="7BDB1B81" w14:textId="188439C8" w:rsidR="00D66442" w:rsidRDefault="008E4D6D" w:rsidP="005206E4">
      <w:pPr>
        <w:spacing w:line="480" w:lineRule="auto"/>
        <w:jc w:val="both"/>
        <w:rPr>
          <w:rStyle w:val="Strong"/>
          <w:rFonts w:ascii="Calibri" w:eastAsiaTheme="majorEastAsia" w:hAnsi="Calibri" w:cs="Calibri"/>
          <w:b w:val="0"/>
          <w:bCs w:val="0"/>
        </w:rPr>
      </w:pPr>
      <w:r w:rsidRPr="00B90A2C">
        <w:rPr>
          <w:rFonts w:ascii="Calibri" w:eastAsiaTheme="majorEastAsia" w:hAnsi="Calibri" w:cs="Calibri"/>
        </w:rPr>
        <w:t xml:space="preserve">To capture the falling aerosol, 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200 </w:t>
      </w:r>
      <w:proofErr w:type="spellStart"/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>μL</w:t>
      </w:r>
      <w:proofErr w:type="spellEnd"/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of </w:t>
      </w:r>
      <w:r w:rsidRPr="00B90A2C">
        <w:rPr>
          <w:rFonts w:ascii="Calibri" w:eastAsiaTheme="majorEastAsia" w:hAnsi="Calibri" w:cs="Calibri"/>
        </w:rPr>
        <w:t>dimethyl sulfoxide (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>DMSO</w:t>
      </w:r>
      <w:r w:rsidRPr="00B90A2C">
        <w:rPr>
          <w:rStyle w:val="Strong"/>
          <w:rFonts w:ascii="Calibri" w:eastAsiaTheme="majorEastAsia" w:hAnsi="Calibri" w:cs="Calibri"/>
          <w:b w:val="0"/>
          <w:bCs w:val="0"/>
        </w:rPr>
        <w:t>)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was pipetted into each transwell. Aerosol deposition on Transwells was measured by collecting DMSO </w:t>
      </w:r>
      <w:r w:rsidR="00FB2C2F" w:rsidRPr="00B90A2C">
        <w:rPr>
          <w:rStyle w:val="Strong"/>
          <w:rFonts w:ascii="Calibri" w:eastAsiaTheme="majorEastAsia" w:hAnsi="Calibri" w:cs="Calibri"/>
          <w:b w:val="0"/>
          <w:bCs w:val="0"/>
        </w:rPr>
        <w:t>fluid</w:t>
      </w:r>
      <w:r w:rsidR="004861BE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</w:t>
      </w:r>
      <w:proofErr w:type="gramStart"/>
      <w:r w:rsidR="004861BE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layer 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after</w:t>
      </w:r>
      <w:proofErr w:type="gramEnd"/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30 puffs of PG/VG &amp; Nic e-liquid </w:t>
      </w:r>
      <w:r w:rsidR="00E74373" w:rsidRPr="00B90A2C">
        <w:rPr>
          <w:rFonts w:ascii="Calibri" w:eastAsiaTheme="majorEastAsia" w:hAnsi="Calibri" w:cs="Calibri"/>
        </w:rPr>
        <w:t xml:space="preserve">inside </w:t>
      </w:r>
      <w:proofErr w:type="spellStart"/>
      <w:r w:rsidR="00E74373" w:rsidRPr="00B90A2C">
        <w:rPr>
          <w:rFonts w:ascii="Calibri" w:eastAsiaTheme="majorEastAsia" w:hAnsi="Calibri" w:cs="Calibri"/>
        </w:rPr>
        <w:t>the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>ECAM</w:t>
      </w:r>
      <w:proofErr w:type="spellEnd"/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-cell chamber device. </w:t>
      </w:r>
    </w:p>
    <w:p w14:paraId="307A5974" w14:textId="77777777" w:rsidR="000B0712" w:rsidRPr="00B90A2C" w:rsidRDefault="000B0712" w:rsidP="005206E4">
      <w:pPr>
        <w:spacing w:line="480" w:lineRule="auto"/>
        <w:jc w:val="both"/>
        <w:rPr>
          <w:rStyle w:val="Strong"/>
          <w:rFonts w:ascii="Calibri" w:eastAsiaTheme="majorEastAsia" w:hAnsi="Calibri" w:cs="Calibri"/>
          <w:b w:val="0"/>
          <w:bCs w:val="0"/>
        </w:rPr>
      </w:pPr>
    </w:p>
    <w:p w14:paraId="1643E6CE" w14:textId="7E9B411C" w:rsidR="00712F4B" w:rsidRDefault="00D66442" w:rsidP="00712F4B">
      <w:pPr>
        <w:spacing w:line="480" w:lineRule="auto"/>
        <w:jc w:val="both"/>
        <w:rPr>
          <w:rFonts w:ascii="Calibri" w:eastAsiaTheme="majorEastAsia" w:hAnsi="Calibri" w:cs="Calibri"/>
        </w:rPr>
      </w:pPr>
      <w:r w:rsidRPr="00B90A2C">
        <w:rPr>
          <w:rFonts w:ascii="Calibri" w:eastAsiaTheme="majorEastAsia" w:hAnsi="Calibri" w:cs="Calibri"/>
        </w:rPr>
        <w:t xml:space="preserve">The dosimetry tracking framework was adapted from the fluorometric methodologies established by Davis et al. (2017) </w:t>
      </w:r>
      <w:sdt>
        <w:sdtPr>
          <w:rPr>
            <w:rStyle w:val="Strong"/>
            <w:rFonts w:ascii="Calibri" w:eastAsiaTheme="majorEastAsia" w:hAnsi="Calibri" w:cs="Calibri"/>
            <w:b w:val="0"/>
            <w:bCs w:val="0"/>
            <w:color w:val="000000"/>
          </w:rPr>
          <w:tag w:val="MENDELEY_CITATION_v3_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"/>
          <w:id w:val="143238989"/>
          <w:placeholder>
            <w:docPart w:val="A664A61E577D46C98D36013AE3D90D63"/>
          </w:placeholder>
        </w:sdtPr>
        <w:sdtContent>
          <w:r w:rsidRPr="00B90A2C">
            <w:rPr>
              <w:rStyle w:val="Strong"/>
              <w:rFonts w:ascii="Calibri" w:eastAsiaTheme="majorEastAsia" w:hAnsi="Calibri" w:cs="Calibri"/>
              <w:b w:val="0"/>
              <w:bCs w:val="0"/>
              <w:color w:val="000000"/>
            </w:rPr>
            <w:t>[1]</w:t>
          </w:r>
        </w:sdtContent>
      </w:sdt>
      <w:r w:rsidRPr="00B90A2C">
        <w:rPr>
          <w:rStyle w:val="Strong"/>
          <w:rFonts w:ascii="Calibri" w:eastAsiaTheme="majorEastAsia" w:hAnsi="Calibri" w:cs="Calibri"/>
          <w:b w:val="0"/>
          <w:bCs w:val="0"/>
        </w:rPr>
        <w:t>.</w:t>
      </w:r>
      <w:r w:rsidRPr="00B90A2C">
        <w:rPr>
          <w:rFonts w:ascii="Calibri" w:eastAsiaTheme="majorEastAsia" w:hAnsi="Calibri" w:cs="Calibri"/>
        </w:rPr>
        <w:t xml:space="preserve"> </w:t>
      </w:r>
      <w:r w:rsidR="00712F4B" w:rsidRPr="00B90A2C">
        <w:rPr>
          <w:rFonts w:ascii="Calibri" w:eastAsiaTheme="majorEastAsia" w:hAnsi="Calibri" w:cs="Calibri"/>
        </w:rPr>
        <w:t xml:space="preserve">Initial method development phases were conducted to ascertain whether raw e-liquids and their generated aerosol condensates possessed sufficient intrinsic autofluorescence to facilitate chemical-free mass tracking. Spectrophotometric scanning confirmed that both the raw liquid phase and the generated ECAM aerosol condensates exhibited highly robust </w:t>
      </w:r>
      <w:proofErr w:type="spellStart"/>
      <w:r w:rsidR="00712F4B" w:rsidRPr="00B90A2C">
        <w:rPr>
          <w:rFonts w:ascii="Calibri" w:eastAsiaTheme="majorEastAsia" w:hAnsi="Calibri" w:cs="Calibri"/>
        </w:rPr>
        <w:t>autofluorescent</w:t>
      </w:r>
      <w:proofErr w:type="spellEnd"/>
      <w:r w:rsidR="00712F4B" w:rsidRPr="00B90A2C">
        <w:rPr>
          <w:rFonts w:ascii="Calibri" w:eastAsiaTheme="majorEastAsia" w:hAnsi="Calibri" w:cs="Calibri"/>
        </w:rPr>
        <w:t xml:space="preserve"> signal profiles when evaluated across the </w:t>
      </w:r>
      <w:r w:rsidR="00712F4B" w:rsidRPr="00B90A2C">
        <w:rPr>
          <w:rFonts w:ascii="Calibri" w:eastAsiaTheme="majorEastAsia" w:hAnsi="Calibri" w:cs="Calibri"/>
        </w:rPr>
        <w:lastRenderedPageBreak/>
        <w:t xml:space="preserve">300 nm, $350 nm, and 405 nm excitation bands, aligning precisely with the historical ranges validated by Davis et al. </w:t>
      </w:r>
      <w:sdt>
        <w:sdtPr>
          <w:rPr>
            <w:rStyle w:val="Strong"/>
            <w:rFonts w:ascii="Calibri" w:eastAsiaTheme="majorEastAsia" w:hAnsi="Calibri" w:cs="Calibri"/>
            <w:b w:val="0"/>
            <w:bCs w:val="0"/>
            <w:color w:val="000000"/>
          </w:rPr>
          <w:tag w:val="MENDELEY_CITATION_v3_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"/>
          <w:id w:val="7341625"/>
          <w:placeholder>
            <w:docPart w:val="54B3E5FA08D34DB0B77CBDC74EA2266B"/>
          </w:placeholder>
        </w:sdtPr>
        <w:sdtContent>
          <w:r w:rsidR="00712F4B" w:rsidRPr="00B90A2C">
            <w:rPr>
              <w:rStyle w:val="Strong"/>
              <w:rFonts w:ascii="Calibri" w:eastAsiaTheme="majorEastAsia" w:hAnsi="Calibri" w:cs="Calibri"/>
              <w:b w:val="0"/>
              <w:bCs w:val="0"/>
              <w:color w:val="000000"/>
            </w:rPr>
            <w:t>[1]</w:t>
          </w:r>
        </w:sdtContent>
      </w:sdt>
      <w:r w:rsidR="00712F4B" w:rsidRPr="00B90A2C">
        <w:rPr>
          <w:rStyle w:val="Strong"/>
          <w:rFonts w:ascii="Calibri" w:eastAsiaTheme="majorEastAsia" w:hAnsi="Calibri" w:cs="Calibri"/>
          <w:b w:val="0"/>
          <w:bCs w:val="0"/>
        </w:rPr>
        <w:t>.</w:t>
      </w:r>
      <w:r w:rsidR="00712F4B" w:rsidRPr="00B90A2C">
        <w:rPr>
          <w:rFonts w:ascii="Calibri" w:eastAsiaTheme="majorEastAsia" w:hAnsi="Calibri" w:cs="Calibri"/>
        </w:rPr>
        <w:t xml:space="preserve">  </w:t>
      </w:r>
    </w:p>
    <w:p w14:paraId="3DA633FE" w14:textId="77777777" w:rsidR="000B0712" w:rsidRPr="00B90A2C" w:rsidRDefault="000B0712" w:rsidP="00712F4B">
      <w:pPr>
        <w:spacing w:line="480" w:lineRule="auto"/>
        <w:jc w:val="both"/>
        <w:rPr>
          <w:rFonts w:ascii="Calibri" w:eastAsiaTheme="majorEastAsia" w:hAnsi="Calibri" w:cs="Calibri"/>
        </w:rPr>
      </w:pPr>
    </w:p>
    <w:p w14:paraId="1C8AA906" w14:textId="396B96F7" w:rsidR="002666E2" w:rsidRDefault="007B5B49" w:rsidP="007B5B49">
      <w:pPr>
        <w:spacing w:line="480" w:lineRule="auto"/>
        <w:jc w:val="both"/>
        <w:rPr>
          <w:rStyle w:val="Strong"/>
          <w:rFonts w:ascii="Calibri" w:eastAsiaTheme="majorEastAsia" w:hAnsi="Calibri" w:cs="Calibri"/>
          <w:b w:val="0"/>
          <w:bCs w:val="0"/>
        </w:rPr>
      </w:pPr>
      <w:r w:rsidRPr="00B90A2C">
        <w:rPr>
          <w:rFonts w:ascii="Calibri" w:eastAsiaTheme="majorEastAsia" w:hAnsi="Calibri" w:cs="Calibri"/>
        </w:rPr>
        <w:t xml:space="preserve">Consequently, standard mass validation exposures were conducted using 30 continuous puffs of a baseline unflavoured PG/VG and freebase nicotine e-liquid inside the integrated ECAM-cell chamber system. Following exposure, the apical DMSO collection layers were sampled and analysed using a PerkinElmer </w:t>
      </w:r>
      <w:proofErr w:type="spellStart"/>
      <w:r w:rsidRPr="00B90A2C">
        <w:rPr>
          <w:rFonts w:ascii="Calibri" w:eastAsiaTheme="majorEastAsia" w:hAnsi="Calibri" w:cs="Calibri"/>
        </w:rPr>
        <w:t>EnSpire</w:t>
      </w:r>
      <w:proofErr w:type="spellEnd"/>
      <w:r w:rsidRPr="00B90A2C">
        <w:rPr>
          <w:rFonts w:ascii="Calibri" w:eastAsiaTheme="majorEastAsia" w:hAnsi="Calibri" w:cs="Calibri"/>
        </w:rPr>
        <w:t xml:space="preserve"> Multi-Mode Plate Reader configured to an optimized excitation wavelength of 350 nm and an emission wavelength of 440 nm. This specific optical configuration leverages the natural </w:t>
      </w:r>
      <w:proofErr w:type="spellStart"/>
      <w:r w:rsidRPr="00B90A2C">
        <w:rPr>
          <w:rFonts w:ascii="Calibri" w:eastAsiaTheme="majorEastAsia" w:hAnsi="Calibri" w:cs="Calibri"/>
        </w:rPr>
        <w:t>autofluorophore</w:t>
      </w:r>
      <w:proofErr w:type="spellEnd"/>
      <w:r w:rsidRPr="00B90A2C">
        <w:rPr>
          <w:rFonts w:ascii="Calibri" w:eastAsiaTheme="majorEastAsia" w:hAnsi="Calibri" w:cs="Calibri"/>
        </w:rPr>
        <w:t xml:space="preserve"> properties of the thermalized humectant-nicotine matrix, permitting precise quantitative mass determination via a pre-established standard calibration curve without requiring destructive chemical tags or artificial dye tracing </w:t>
      </w:r>
      <w:sdt>
        <w:sdtPr>
          <w:rPr>
            <w:rStyle w:val="Strong"/>
            <w:rFonts w:ascii="Calibri" w:eastAsiaTheme="majorEastAsia" w:hAnsi="Calibri" w:cs="Calibri"/>
            <w:b w:val="0"/>
            <w:bCs w:val="0"/>
            <w:color w:val="000000"/>
          </w:rPr>
          <w:tag w:val="MENDELEY_CITATION_v3_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"/>
          <w:id w:val="-36594351"/>
          <w:placeholder>
            <w:docPart w:val="29146D3E2DF541329E7950A1B79E614F"/>
          </w:placeholder>
        </w:sdtPr>
        <w:sdtContent>
          <w:r w:rsidR="00886EC5" w:rsidRPr="00B90A2C">
            <w:rPr>
              <w:rStyle w:val="Strong"/>
              <w:rFonts w:ascii="Calibri" w:eastAsiaTheme="majorEastAsia" w:hAnsi="Calibri" w:cs="Calibri"/>
              <w:b w:val="0"/>
              <w:bCs w:val="0"/>
              <w:color w:val="000000"/>
            </w:rPr>
            <w:t>[1]</w:t>
          </w:r>
        </w:sdtContent>
      </w:sdt>
      <w:r w:rsidR="00886EC5" w:rsidRPr="00B90A2C">
        <w:rPr>
          <w:rStyle w:val="Strong"/>
          <w:rFonts w:ascii="Calibri" w:eastAsiaTheme="majorEastAsia" w:hAnsi="Calibri" w:cs="Calibri"/>
          <w:b w:val="0"/>
          <w:bCs w:val="0"/>
        </w:rPr>
        <w:t>.</w:t>
      </w:r>
    </w:p>
    <w:p w14:paraId="333D7989" w14:textId="77777777" w:rsidR="000B0712" w:rsidRPr="00B90A2C" w:rsidRDefault="000B0712" w:rsidP="007B5B49">
      <w:pPr>
        <w:spacing w:line="480" w:lineRule="auto"/>
        <w:jc w:val="both"/>
        <w:rPr>
          <w:rStyle w:val="Strong"/>
          <w:rFonts w:ascii="Calibri" w:eastAsiaTheme="majorEastAsia" w:hAnsi="Calibri" w:cs="Calibri"/>
          <w:b w:val="0"/>
          <w:bCs w:val="0"/>
        </w:rPr>
      </w:pPr>
    </w:p>
    <w:p w14:paraId="71B1C29D" w14:textId="50759F83" w:rsidR="005424D9" w:rsidRDefault="005424D9" w:rsidP="005424D9">
      <w:pPr>
        <w:spacing w:line="480" w:lineRule="auto"/>
        <w:jc w:val="both"/>
        <w:rPr>
          <w:rFonts w:ascii="Calibri" w:eastAsiaTheme="majorEastAsia" w:hAnsi="Calibri" w:cs="Calibri"/>
        </w:rPr>
      </w:pPr>
      <w:r w:rsidRPr="00B90A2C">
        <w:rPr>
          <w:rFonts w:ascii="Calibri" w:eastAsiaTheme="majorEastAsia" w:hAnsi="Calibri" w:cs="Calibri"/>
        </w:rPr>
        <w:t xml:space="preserve">Based on these fluorometric measurements, the average mass deposition per individual Transwell insert was determined to be 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>2.1×10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  <w:vertAlign w:val="superscript"/>
        </w:rPr>
        <w:t>−3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± 7.7 ×10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  <w:vertAlign w:val="superscript"/>
        </w:rPr>
        <w:t>−4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mg </w:t>
      </w:r>
      <w:r w:rsidR="00F44C5F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of aerosols 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>per puff</w:t>
      </w:r>
      <w:r w:rsidRPr="00B90A2C">
        <w:rPr>
          <w:rStyle w:val="Strong"/>
          <w:rFonts w:ascii="Calibri" w:eastAsiaTheme="majorEastAsia" w:hAnsi="Calibri" w:cs="Calibri"/>
          <w:b w:val="0"/>
          <w:bCs w:val="0"/>
        </w:rPr>
        <w:t>.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</w:t>
      </w:r>
      <w:r w:rsidRPr="00B90A2C">
        <w:rPr>
          <w:rFonts w:ascii="Calibri" w:eastAsiaTheme="majorEastAsia" w:hAnsi="Calibri" w:cs="Calibri"/>
        </w:rPr>
        <w:t>This mass yields a direct particle deposition concentration of approximately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1.8</w:t>
      </w:r>
      <w:r w:rsidR="00AB5969" w:rsidRPr="00B90A2C">
        <w:rPr>
          <w:rStyle w:val="Strong"/>
          <w:rFonts w:ascii="Calibri" w:eastAsiaTheme="majorEastAsia" w:hAnsi="Calibri" w:cs="Calibri"/>
          <w:b w:val="0"/>
          <w:bCs w:val="0"/>
        </w:rPr>
        <w:t>7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×10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  <w:vertAlign w:val="superscript"/>
        </w:rPr>
        <w:t>−3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mg/cm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  <w:vertAlign w:val="superscript"/>
        </w:rPr>
        <w:t>3</w:t>
      </w:r>
      <w:r w:rsidR="00E8714F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</w:t>
      </w:r>
      <w:r w:rsidRPr="00B90A2C">
        <w:rPr>
          <w:rFonts w:ascii="Calibri" w:eastAsiaTheme="majorEastAsia" w:hAnsi="Calibri" w:cs="Calibri"/>
        </w:rPr>
        <w:t>across the active Transwell surface area.</w:t>
      </w:r>
    </w:p>
    <w:p w14:paraId="4ED07584" w14:textId="77777777" w:rsidR="000B0712" w:rsidRPr="00B90A2C" w:rsidRDefault="000B0712" w:rsidP="005424D9">
      <w:pPr>
        <w:spacing w:line="480" w:lineRule="auto"/>
        <w:jc w:val="both"/>
        <w:rPr>
          <w:rFonts w:ascii="Calibri" w:eastAsiaTheme="majorEastAsia" w:hAnsi="Calibri" w:cs="Calibri"/>
        </w:rPr>
      </w:pPr>
    </w:p>
    <w:p w14:paraId="0E8317D6" w14:textId="1C938188" w:rsidR="002666E2" w:rsidRPr="00B90A2C" w:rsidRDefault="009C05F1" w:rsidP="00D94004">
      <w:pPr>
        <w:spacing w:line="480" w:lineRule="auto"/>
        <w:jc w:val="both"/>
        <w:rPr>
          <w:rFonts w:ascii="Calibri" w:eastAsiaTheme="majorEastAsia" w:hAnsi="Calibri" w:cs="Calibri"/>
          <w:color w:val="000000" w:themeColor="text1"/>
        </w:rPr>
      </w:pPr>
      <w:r w:rsidRPr="00B90A2C">
        <w:rPr>
          <w:rFonts w:ascii="Calibri" w:eastAsiaTheme="majorEastAsia" w:hAnsi="Calibri" w:cs="Calibri"/>
          <w:color w:val="000000" w:themeColor="text1"/>
        </w:rPr>
        <w:t>For system context, the primary aerosol condensate mass generated per puff at the outlet of the vaping device was measured to be</w:t>
      </w:r>
      <w:r w:rsidR="004146D3" w:rsidRPr="00B90A2C">
        <w:rPr>
          <w:rFonts w:ascii="Calibri" w:eastAsiaTheme="majorEastAsia" w:hAnsi="Calibri" w:cs="Calibri"/>
          <w:color w:val="000000" w:themeColor="text1"/>
        </w:rPr>
        <w:t xml:space="preserve"> </w:t>
      </w:r>
      <w:r w:rsidR="002666E2" w:rsidRPr="00B90A2C">
        <w:rPr>
          <w:rStyle w:val="Strong"/>
          <w:rFonts w:ascii="Calibri" w:eastAsiaTheme="majorEastAsia" w:hAnsi="Calibri" w:cs="Calibri"/>
          <w:b w:val="0"/>
          <w:bCs w:val="0"/>
          <w:color w:val="000000" w:themeColor="text1"/>
        </w:rPr>
        <w:t>22.5 ± 1.8 mg</w:t>
      </w:r>
      <w:r w:rsidR="00C705FC" w:rsidRPr="00B90A2C">
        <w:rPr>
          <w:rStyle w:val="Strong"/>
          <w:rFonts w:ascii="Calibri" w:eastAsiaTheme="majorEastAsia" w:hAnsi="Calibri" w:cs="Calibri"/>
          <w:b w:val="0"/>
          <w:bCs w:val="0"/>
          <w:color w:val="000000" w:themeColor="text1"/>
        </w:rPr>
        <w:t xml:space="preserve">. </w:t>
      </w:r>
      <w:r w:rsidR="008845C0" w:rsidRPr="00B90A2C">
        <w:rPr>
          <w:rFonts w:ascii="Calibri" w:eastAsiaTheme="majorEastAsia" w:hAnsi="Calibri" w:cs="Calibri"/>
          <w:color w:val="000000" w:themeColor="text1"/>
        </w:rPr>
        <w:t>While the total volumetric flow rate produced by the vape device was</w:t>
      </w:r>
      <w:r w:rsidR="00FA423C" w:rsidRPr="00B90A2C">
        <w:rPr>
          <w:rStyle w:val="Strong"/>
          <w:rFonts w:ascii="Calibri" w:eastAsiaTheme="majorEastAsia" w:hAnsi="Calibri" w:cs="Calibri"/>
          <w:b w:val="0"/>
          <w:bCs w:val="0"/>
          <w:color w:val="000000" w:themeColor="text1"/>
        </w:rPr>
        <w:t xml:space="preserve"> </w:t>
      </w:r>
      <w:r w:rsidR="00C705FC" w:rsidRPr="00B90A2C">
        <w:rPr>
          <w:rStyle w:val="Strong"/>
          <w:rFonts w:ascii="Calibri" w:eastAsiaTheme="majorEastAsia" w:hAnsi="Calibri" w:cs="Calibri"/>
          <w:b w:val="0"/>
          <w:bCs w:val="0"/>
          <w:color w:val="000000" w:themeColor="text1"/>
        </w:rPr>
        <w:t>1080 ml/min</w:t>
      </w:r>
      <w:r w:rsidR="00FF6E95" w:rsidRPr="00B90A2C">
        <w:rPr>
          <w:rStyle w:val="Strong"/>
          <w:rFonts w:ascii="Calibri" w:eastAsiaTheme="majorEastAsia" w:hAnsi="Calibri" w:cs="Calibri"/>
          <w:b w:val="0"/>
          <w:bCs w:val="0"/>
          <w:color w:val="000000" w:themeColor="text1"/>
        </w:rPr>
        <w:t>,</w:t>
      </w:r>
      <w:r w:rsidR="00FF6E95" w:rsidRPr="00B90A2C">
        <w:rPr>
          <w:rFonts w:ascii="Calibri" w:hAnsi="Calibri" w:cs="Calibri"/>
        </w:rPr>
        <w:t xml:space="preserve"> </w:t>
      </w:r>
      <w:r w:rsidR="00FF6E95" w:rsidRPr="00B90A2C">
        <w:rPr>
          <w:rFonts w:ascii="Calibri" w:eastAsiaTheme="majorEastAsia" w:hAnsi="Calibri" w:cs="Calibri"/>
          <w:color w:val="000000" w:themeColor="text1"/>
        </w:rPr>
        <w:t>the sampling exit flow drawn through the cell chamber was restricted to</w:t>
      </w:r>
      <w:r w:rsidR="00FF6E95" w:rsidRPr="00B90A2C">
        <w:rPr>
          <w:rFonts w:ascii="Calibri" w:eastAsia="Times New Roman" w:hAnsi="Calibri" w:cs="Calibri"/>
          <w:kern w:val="0"/>
          <w:lang w:eastAsia="en-NZ"/>
          <w14:ligatures w14:val="none"/>
        </w:rPr>
        <w:t xml:space="preserve"> </w:t>
      </w:r>
      <w:r w:rsidR="00FF6E95" w:rsidRPr="00B90A2C">
        <w:rPr>
          <w:rFonts w:ascii="Calibri" w:eastAsiaTheme="majorEastAsia" w:hAnsi="Calibri" w:cs="Calibri"/>
          <w:color w:val="000000" w:themeColor="text1"/>
        </w:rPr>
        <w:t xml:space="preserve">20 mL/min. Consequently, a split-flow occurs where approximately </w:t>
      </w:r>
      <w:r w:rsidR="00C705FC" w:rsidRPr="00B90A2C">
        <w:rPr>
          <w:rStyle w:val="Strong"/>
          <w:rFonts w:ascii="Calibri" w:eastAsiaTheme="majorEastAsia" w:hAnsi="Calibri" w:cs="Calibri"/>
          <w:b w:val="0"/>
          <w:bCs w:val="0"/>
          <w:color w:val="000000" w:themeColor="text1"/>
        </w:rPr>
        <w:lastRenderedPageBreak/>
        <w:t>1.8</w:t>
      </w:r>
      <w:r w:rsidR="008760CA" w:rsidRPr="00B90A2C">
        <w:rPr>
          <w:rStyle w:val="Strong"/>
          <w:rFonts w:ascii="Calibri" w:eastAsiaTheme="majorEastAsia" w:hAnsi="Calibri" w:cs="Calibri"/>
          <w:b w:val="0"/>
          <w:bCs w:val="0"/>
          <w:color w:val="000000" w:themeColor="text1"/>
        </w:rPr>
        <w:t>5%</w:t>
      </w:r>
      <w:r w:rsidR="007A34A6" w:rsidRPr="00B90A2C">
        <w:rPr>
          <w:rStyle w:val="Strong"/>
          <w:rFonts w:ascii="Calibri" w:eastAsiaTheme="majorEastAsia" w:hAnsi="Calibri" w:cs="Calibri"/>
          <w:b w:val="0"/>
          <w:bCs w:val="0"/>
          <w:color w:val="000000" w:themeColor="text1"/>
        </w:rPr>
        <w:t xml:space="preserve"> </w:t>
      </w:r>
      <w:r w:rsidR="007A34A6" w:rsidRPr="00B90A2C">
        <w:rPr>
          <w:rFonts w:ascii="Calibri" w:eastAsiaTheme="majorEastAsia" w:hAnsi="Calibri" w:cs="Calibri"/>
          <w:color w:val="000000" w:themeColor="text1"/>
        </w:rPr>
        <w:t>of the primary generated aerosol stream successfully passes into the cell chamber housing</w:t>
      </w:r>
      <w:r w:rsidR="00235B73" w:rsidRPr="00B90A2C">
        <w:rPr>
          <w:rFonts w:ascii="Calibri" w:eastAsiaTheme="majorEastAsia" w:hAnsi="Calibri" w:cs="Calibri"/>
          <w:color w:val="000000" w:themeColor="text1"/>
        </w:rPr>
        <w:t xml:space="preserve"> (Figure 2a and b)</w:t>
      </w:r>
      <w:r w:rsidR="0095171B" w:rsidRPr="00B90A2C">
        <w:rPr>
          <w:rFonts w:ascii="Calibri" w:eastAsiaTheme="majorEastAsia" w:hAnsi="Calibri" w:cs="Calibri"/>
          <w:color w:val="000000" w:themeColor="text1"/>
        </w:rPr>
        <w:t xml:space="preserve">. </w:t>
      </w:r>
      <w:r w:rsidR="00BF37C1" w:rsidRPr="00B90A2C">
        <w:rPr>
          <w:rFonts w:ascii="Calibri" w:eastAsiaTheme="majorEastAsia" w:hAnsi="Calibri" w:cs="Calibri"/>
          <w:color w:val="000000" w:themeColor="text1"/>
        </w:rPr>
        <w:t xml:space="preserve">Given that a portion of this entering aerosol naturally condenses along the internal walls of the connecting intake tubing before reaching the cells, the direct fluorometric measurement of the sedimented mass </w:t>
      </w:r>
      <w:r w:rsidR="00BF37C1" w:rsidRPr="00B90A2C">
        <w:rPr>
          <w:rStyle w:val="Strong"/>
          <w:rFonts w:ascii="Calibri" w:eastAsiaTheme="majorEastAsia" w:hAnsi="Calibri" w:cs="Calibri"/>
          <w:b w:val="0"/>
          <w:bCs w:val="0"/>
        </w:rPr>
        <w:t>2.1×10</w:t>
      </w:r>
      <w:r w:rsidR="00BF37C1" w:rsidRPr="00B90A2C">
        <w:rPr>
          <w:rStyle w:val="Strong"/>
          <w:rFonts w:ascii="Calibri" w:eastAsiaTheme="majorEastAsia" w:hAnsi="Calibri" w:cs="Calibri"/>
          <w:b w:val="0"/>
          <w:bCs w:val="0"/>
          <w:vertAlign w:val="superscript"/>
        </w:rPr>
        <w:t>−3</w:t>
      </w:r>
      <w:r w:rsidR="00BF37C1" w:rsidRPr="00B90A2C">
        <w:rPr>
          <w:rStyle w:val="Strong"/>
          <w:rFonts w:ascii="Calibri" w:eastAsiaTheme="majorEastAsia" w:hAnsi="Calibri" w:cs="Calibri"/>
          <w:b w:val="0"/>
          <w:bCs w:val="0"/>
        </w:rPr>
        <w:t xml:space="preserve"> </w:t>
      </w:r>
      <w:r w:rsidR="00C705FC" w:rsidRPr="00B90A2C">
        <w:rPr>
          <w:rStyle w:val="Strong"/>
          <w:rFonts w:ascii="Calibri" w:eastAsiaTheme="majorEastAsia" w:hAnsi="Calibri" w:cs="Calibri"/>
          <w:b w:val="0"/>
          <w:bCs w:val="0"/>
          <w:color w:val="000000" w:themeColor="text1"/>
        </w:rPr>
        <w:t>mg/</w:t>
      </w:r>
      <w:r w:rsidR="002B4058" w:rsidRPr="00B90A2C">
        <w:rPr>
          <w:rFonts w:ascii="Calibri" w:eastAsiaTheme="majorEastAsia" w:hAnsi="Calibri" w:cs="Calibri"/>
          <w:color w:val="000000" w:themeColor="text1"/>
        </w:rPr>
        <w:t xml:space="preserve">puff </w:t>
      </w:r>
      <w:r w:rsidR="00D00164" w:rsidRPr="00B90A2C">
        <w:rPr>
          <w:rFonts w:ascii="Calibri" w:eastAsiaTheme="majorEastAsia" w:hAnsi="Calibri" w:cs="Calibri"/>
          <w:color w:val="000000" w:themeColor="text1"/>
        </w:rPr>
        <w:t>per Transwell</w:t>
      </w:r>
      <w:r w:rsidR="002B4058" w:rsidRPr="00B90A2C">
        <w:rPr>
          <w:rFonts w:ascii="Calibri" w:eastAsiaTheme="majorEastAsia" w:hAnsi="Calibri" w:cs="Calibri"/>
          <w:color w:val="000000" w:themeColor="text1"/>
        </w:rPr>
        <w:t>)</w:t>
      </w:r>
      <w:r w:rsidR="00FE2A85" w:rsidRPr="00B90A2C">
        <w:rPr>
          <w:rFonts w:ascii="Calibri" w:eastAsiaTheme="majorEastAsia" w:hAnsi="Calibri" w:cs="Calibri"/>
          <w:color w:val="000000" w:themeColor="text1"/>
        </w:rPr>
        <w:t xml:space="preserve"> was exclusively utilized as the dosing metric, inherently accounting for all system line-losses and bypassing the need for theoretical airborne concentration modelling.</w:t>
      </w:r>
    </w:p>
    <w:p w14:paraId="56361940" w14:textId="77777777" w:rsidR="002666E2" w:rsidRPr="00B90A2C" w:rsidRDefault="002666E2" w:rsidP="002666E2">
      <w:pPr>
        <w:pStyle w:val="Heading3"/>
        <w:rPr>
          <w:rFonts w:ascii="Calibri" w:hAnsi="Calibri" w:cs="Calibri"/>
          <w:b/>
          <w:bCs/>
          <w:sz w:val="24"/>
          <w:szCs w:val="24"/>
        </w:rPr>
      </w:pPr>
      <w:r w:rsidRPr="00B90A2C">
        <w:rPr>
          <w:rStyle w:val="Strong"/>
          <w:rFonts w:ascii="Calibri" w:hAnsi="Calibri" w:cs="Calibri"/>
          <w:sz w:val="24"/>
          <w:szCs w:val="24"/>
        </w:rPr>
        <w:t>Comparison of ALI and Liquid-Phase Exposure Conditions</w:t>
      </w:r>
    </w:p>
    <w:p w14:paraId="7473820A" w14:textId="14B4B7B3" w:rsidR="002666E2" w:rsidRDefault="00D871B6" w:rsidP="00E20B9F">
      <w:pPr>
        <w:pStyle w:val="NormalWeb"/>
        <w:spacing w:before="0" w:beforeAutospacing="0" w:after="0" w:afterAutospacing="0" w:line="480" w:lineRule="auto"/>
        <w:jc w:val="both"/>
        <w:rPr>
          <w:rFonts w:ascii="Calibri" w:hAnsi="Calibri" w:cs="Calibri"/>
          <w:color w:val="000000" w:themeColor="text1"/>
        </w:rPr>
      </w:pPr>
      <w:r w:rsidRPr="00B90A2C">
        <w:rPr>
          <w:rFonts w:ascii="Calibri" w:hAnsi="Calibri" w:cs="Calibri"/>
        </w:rPr>
        <w:t xml:space="preserve">To validate the physiological relevance of our platform, we compared the cellular effects of e-cigarette aerosol exposure using the ECAM-cell chamber against a traditional liquid-phase exposure method. </w:t>
      </w:r>
      <w:r w:rsidR="00E20B9F" w:rsidRPr="00B90A2C">
        <w:rPr>
          <w:rFonts w:ascii="Calibri" w:hAnsi="Calibri" w:cs="Calibri"/>
          <w:color w:val="000000" w:themeColor="text1"/>
        </w:rPr>
        <w:t>For the liquid-phase condition, cells were treated by directly adding either raw PG/VG e-liquid or collected PG/VG aerosol condensates (AC) to the apical surface, both diluted in Dulbecco’s Phosphate-Buffered Saline (DPBS). Pure DPBS was used as the liquid-phase control group to serve as a matching vehicle blank.</w:t>
      </w:r>
    </w:p>
    <w:p w14:paraId="629C4489" w14:textId="77777777" w:rsidR="000B0712" w:rsidRPr="00B90A2C" w:rsidRDefault="000B0712" w:rsidP="00E20B9F">
      <w:pPr>
        <w:pStyle w:val="NormalWeb"/>
        <w:spacing w:before="0" w:beforeAutospacing="0" w:after="0" w:afterAutospacing="0" w:line="480" w:lineRule="auto"/>
        <w:jc w:val="both"/>
        <w:rPr>
          <w:rFonts w:ascii="Calibri" w:hAnsi="Calibri" w:cs="Calibri"/>
        </w:rPr>
      </w:pPr>
    </w:p>
    <w:p w14:paraId="0E50B904" w14:textId="73F816EE" w:rsidR="002666E2" w:rsidRDefault="002666E2" w:rsidP="002666E2">
      <w:pPr>
        <w:pStyle w:val="NormalWeb"/>
        <w:spacing w:before="0" w:beforeAutospacing="0" w:after="0" w:afterAutospacing="0" w:line="480" w:lineRule="auto"/>
        <w:jc w:val="both"/>
        <w:rPr>
          <w:rFonts w:ascii="Calibri" w:hAnsi="Calibri" w:cs="Calibri"/>
        </w:rPr>
      </w:pPr>
      <w:r w:rsidRPr="00B90A2C">
        <w:rPr>
          <w:rFonts w:ascii="Calibri" w:hAnsi="Calibri" w:cs="Calibri"/>
        </w:rPr>
        <w:t xml:space="preserve">On day 9, </w:t>
      </w:r>
      <w:r w:rsidR="00E20B9F" w:rsidRPr="00B90A2C">
        <w:rPr>
          <w:rFonts w:ascii="Calibri" w:hAnsi="Calibri" w:cs="Calibri"/>
        </w:rPr>
        <w:t>NCI-</w:t>
      </w:r>
      <w:r w:rsidRPr="00B90A2C">
        <w:rPr>
          <w:rFonts w:ascii="Calibri" w:hAnsi="Calibri" w:cs="Calibri"/>
        </w:rPr>
        <w:t>H441 cells were exposed either via the ECAM-cell chamber or by adding diluted e-liquids/aerosol condensates (100 µL in DPBS) to the apical surface. After 24 h, transepithelial electrical resistance (TEER) and lactate dehydrogenase (LDH) release were assessed. For ALI experiments, the control</w:t>
      </w:r>
      <w:r w:rsidR="00C079BD" w:rsidRPr="00B90A2C">
        <w:rPr>
          <w:rFonts w:ascii="Calibri" w:hAnsi="Calibri" w:cs="Calibri"/>
        </w:rPr>
        <w:t>-air</w:t>
      </w:r>
      <w:r w:rsidRPr="00B90A2C">
        <w:rPr>
          <w:rFonts w:ascii="Calibri" w:hAnsi="Calibri" w:cs="Calibri"/>
        </w:rPr>
        <w:t xml:space="preserve"> served as the primary comparator, while the in-transwell control provided a baseline reference for epithelial behaviour in the absence of airflow or aerosol exposure.</w:t>
      </w:r>
    </w:p>
    <w:p w14:paraId="73503F2B" w14:textId="77777777" w:rsidR="000B0712" w:rsidRDefault="000B0712" w:rsidP="002666E2">
      <w:pPr>
        <w:pStyle w:val="NormalWeb"/>
        <w:spacing w:before="0" w:beforeAutospacing="0" w:after="0" w:afterAutospacing="0" w:line="480" w:lineRule="auto"/>
        <w:jc w:val="both"/>
        <w:rPr>
          <w:rFonts w:ascii="Calibri" w:hAnsi="Calibri" w:cs="Calibri"/>
        </w:rPr>
      </w:pPr>
    </w:p>
    <w:p w14:paraId="0A0B79E5" w14:textId="6894374D" w:rsidR="000B0712" w:rsidRPr="00B90A2C" w:rsidRDefault="000B0712" w:rsidP="000B0712">
      <w:pPr>
        <w:pStyle w:val="NormalWeb"/>
        <w:spacing w:before="0" w:beforeAutospacing="0" w:after="160" w:afterAutospacing="0" w:line="480" w:lineRule="auto"/>
        <w:jc w:val="both"/>
        <w:rPr>
          <w:rFonts w:ascii="Calibri" w:hAnsi="Calibri" w:cs="Calibri"/>
        </w:rPr>
      </w:pPr>
      <w:r w:rsidRPr="00B90A2C">
        <w:rPr>
          <w:rFonts w:ascii="Calibri" w:hAnsi="Calibri" w:cs="Calibri"/>
        </w:rPr>
        <w:t xml:space="preserve">Control (no-exposure) and control-air groups showed no significant differences in TEER or LDH, confirming that airflow alone did not affect barrier function or viability. By contrast, control liquid-phase (DPBS) significantly reduced TEER (747 ± 54 to 507 ± 42 Ω·cm², </w:t>
      </w:r>
      <w:r w:rsidRPr="00B90A2C">
        <w:rPr>
          <w:rStyle w:val="Emphasis"/>
          <w:rFonts w:ascii="Calibri" w:eastAsiaTheme="majorEastAsia" w:hAnsi="Calibri" w:cs="Calibri"/>
        </w:rPr>
        <w:t>p</w:t>
      </w:r>
      <w:r w:rsidRPr="00B90A2C">
        <w:rPr>
          <w:rFonts w:ascii="Calibri" w:hAnsi="Calibri" w:cs="Calibri"/>
        </w:rPr>
        <w:t xml:space="preserve"> ≤ 0.05), </w:t>
      </w:r>
      <w:r w:rsidRPr="00B90A2C">
        <w:rPr>
          <w:rFonts w:ascii="Calibri" w:hAnsi="Calibri" w:cs="Calibri"/>
        </w:rPr>
        <w:lastRenderedPageBreak/>
        <w:t xml:space="preserve">without altering LDH leakage. This indicates that pooling liquid on top of an ALI-adapted monolayer causes physical barrier impairment and alters ion transport even without causing toxic cell death. </w:t>
      </w:r>
    </w:p>
    <w:p w14:paraId="49D679D6" w14:textId="77777777" w:rsidR="002666E2" w:rsidRPr="00B90A2C" w:rsidRDefault="002666E2" w:rsidP="00B90A2C">
      <w:pPr>
        <w:pStyle w:val="NormalWeb"/>
        <w:spacing w:before="0" w:beforeAutospacing="0" w:after="0" w:afterAutospacing="0" w:line="480" w:lineRule="auto"/>
        <w:jc w:val="center"/>
        <w:rPr>
          <w:rFonts w:ascii="Calibri" w:hAnsi="Calibri" w:cs="Calibri"/>
          <w:color w:val="000000" w:themeColor="text1"/>
        </w:rPr>
      </w:pPr>
      <w:r w:rsidRPr="00B90A2C">
        <w:rPr>
          <w:rFonts w:ascii="Calibri" w:hAnsi="Calibri" w:cs="Calibri"/>
          <w:noProof/>
          <w:color w:val="000000" w:themeColor="text1"/>
        </w:rPr>
        <w:drawing>
          <wp:inline distT="0" distB="0" distL="0" distR="0" wp14:anchorId="6FA04826" wp14:editId="18AEC6F5">
            <wp:extent cx="4676775" cy="5013533"/>
            <wp:effectExtent l="0" t="0" r="0" b="0"/>
            <wp:docPr id="1866911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911118" name="Picture 186691111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359" cy="502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CE71A" w14:textId="70E7EF86" w:rsidR="002666E2" w:rsidRPr="00B90A2C" w:rsidRDefault="002666E2" w:rsidP="00E12A84">
      <w:pPr>
        <w:pStyle w:val="Caption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B90A2C">
        <w:rPr>
          <w:rFonts w:ascii="Calibri" w:hAnsi="Calibri" w:cs="Calibri"/>
          <w:color w:val="000000" w:themeColor="text1"/>
          <w:sz w:val="24"/>
          <w:szCs w:val="24"/>
        </w:rPr>
        <w:t>Figure S</w:t>
      </w:r>
      <w:r w:rsidRPr="00B90A2C">
        <w:rPr>
          <w:rFonts w:ascii="Calibri" w:hAnsi="Calibri" w:cs="Calibri"/>
          <w:color w:val="000000" w:themeColor="text1"/>
          <w:sz w:val="24"/>
          <w:szCs w:val="24"/>
        </w:rPr>
        <w:fldChar w:fldCharType="begin"/>
      </w:r>
      <w:r w:rsidRPr="00B90A2C">
        <w:rPr>
          <w:rFonts w:ascii="Calibri" w:hAnsi="Calibri" w:cs="Calibri"/>
          <w:color w:val="000000" w:themeColor="text1"/>
          <w:sz w:val="24"/>
          <w:szCs w:val="24"/>
        </w:rPr>
        <w:instrText>SEQ Figure \* ARABIC</w:instrText>
      </w:r>
      <w:r w:rsidRPr="00B90A2C">
        <w:rPr>
          <w:rFonts w:ascii="Calibri" w:hAnsi="Calibri" w:cs="Calibri"/>
          <w:color w:val="000000" w:themeColor="text1"/>
          <w:sz w:val="24"/>
          <w:szCs w:val="24"/>
        </w:rPr>
        <w:fldChar w:fldCharType="separate"/>
      </w:r>
      <w:r w:rsidRPr="00B90A2C">
        <w:rPr>
          <w:rFonts w:ascii="Calibri" w:hAnsi="Calibri" w:cs="Calibri"/>
          <w:noProof/>
          <w:color w:val="000000" w:themeColor="text1"/>
          <w:sz w:val="24"/>
          <w:szCs w:val="24"/>
        </w:rPr>
        <w:t>1</w:t>
      </w:r>
      <w:r w:rsidRPr="00B90A2C">
        <w:rPr>
          <w:rFonts w:ascii="Calibri" w:hAnsi="Calibri" w:cs="Calibri"/>
          <w:color w:val="000000" w:themeColor="text1"/>
          <w:sz w:val="24"/>
          <w:szCs w:val="24"/>
        </w:rPr>
        <w:fldChar w:fldCharType="end"/>
      </w:r>
      <w:r w:rsidRPr="00B90A2C">
        <w:rPr>
          <w:rFonts w:ascii="Calibri" w:hAnsi="Calibri" w:cs="Calibri"/>
          <w:color w:val="000000" w:themeColor="text1"/>
          <w:sz w:val="24"/>
          <w:szCs w:val="24"/>
        </w:rPr>
        <w:t>:a) TEER value and b) cytotoxicity as measured by LDH release for control, control</w:t>
      </w:r>
      <w:r w:rsidR="00B90A2C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B90A2C">
        <w:rPr>
          <w:rFonts w:ascii="Calibri" w:hAnsi="Calibri" w:cs="Calibri"/>
          <w:color w:val="000000" w:themeColor="text1"/>
          <w:sz w:val="24"/>
          <w:szCs w:val="24"/>
        </w:rPr>
        <w:t>air, exposed to PG/VG aerosols condensates (PG/VG AC exposed) in the ECAM-cell chamber device and  control liquid-phase (DPBS), PG/VG e-liquid liquid-phase exposure, PG/VG</w:t>
      </w:r>
      <w:r w:rsidR="00B90A2C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B90A2C">
        <w:rPr>
          <w:rFonts w:ascii="Calibri" w:hAnsi="Calibri" w:cs="Calibri"/>
          <w:color w:val="000000" w:themeColor="text1"/>
          <w:sz w:val="24"/>
          <w:szCs w:val="24"/>
        </w:rPr>
        <w:t>Aerosol Condensate (AC) liquid-phase exposure. Data are presented as mean ± SD. Error bars indicate standard deviation, and grey boxes illustrate the range of measured values. Data are presented as mean ± SD. Error bars represent standard deviation, and grey boxes indicate the range of measured values. Control, control -air and Aerosol exposure conditions were assessed across three independent experiments with 3–6 Transwells per condition per experiment, while liquid-phase conditions were assessed using three Transwells per condition. Statistical significance is indicated as follows: # compared with control (p ≤ 0.001); * compared with Control liquid-phase (* p ≤ 0.01, ** p ≤ 0.001)</w:t>
      </w:r>
      <w:r w:rsidR="00B90A2C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7D7DF5A" w14:textId="53C6A51C" w:rsidR="002666E2" w:rsidRPr="00B90A2C" w:rsidRDefault="002666E2" w:rsidP="00456522">
      <w:pPr>
        <w:pStyle w:val="NormalWeb"/>
        <w:spacing w:before="0" w:beforeAutospacing="0" w:after="0" w:afterAutospacing="0" w:line="480" w:lineRule="auto"/>
        <w:jc w:val="both"/>
        <w:rPr>
          <w:rFonts w:ascii="Calibri" w:hAnsi="Calibri" w:cs="Calibri"/>
        </w:rPr>
      </w:pPr>
      <w:r w:rsidRPr="00B90A2C">
        <w:rPr>
          <w:rFonts w:ascii="Calibri" w:hAnsi="Calibri" w:cs="Calibri"/>
          <w:color w:val="000000" w:themeColor="text1"/>
        </w:rPr>
        <w:lastRenderedPageBreak/>
        <w:t>As shown in Figure S1, liquid-phase exposure to e-liquids and aerosol condensates (AC) further reduced TEER. Notably, AC exposure significantly increased cytotoxicity compared with the liquid-phase control (p ≤ 0.001), with condensates exerting stronger effects than e-liquids</w:t>
      </w:r>
      <w:r w:rsidR="00D56EE4" w:rsidRPr="00B90A2C">
        <w:rPr>
          <w:rFonts w:ascii="Calibri" w:hAnsi="Calibri" w:cs="Calibri"/>
          <w:color w:val="000000" w:themeColor="text1"/>
        </w:rPr>
        <w:t xml:space="preserve"> (data not shown for other </w:t>
      </w:r>
      <w:r w:rsidR="00B01C79" w:rsidRPr="00B90A2C">
        <w:rPr>
          <w:rFonts w:ascii="Calibri" w:hAnsi="Calibri" w:cs="Calibri"/>
          <w:color w:val="000000" w:themeColor="text1"/>
        </w:rPr>
        <w:t>e-liquids</w:t>
      </w:r>
      <w:r w:rsidR="00456522" w:rsidRPr="00B90A2C">
        <w:rPr>
          <w:rFonts w:ascii="Calibri" w:hAnsi="Calibri" w:cs="Calibri"/>
          <w:color w:val="000000" w:themeColor="text1"/>
        </w:rPr>
        <w:t xml:space="preserve"> and condensates</w:t>
      </w:r>
      <w:r w:rsidR="00B01C79" w:rsidRPr="00B90A2C">
        <w:rPr>
          <w:rFonts w:ascii="Calibri" w:hAnsi="Calibri" w:cs="Calibri"/>
          <w:color w:val="000000" w:themeColor="text1"/>
        </w:rPr>
        <w:t>)</w:t>
      </w:r>
      <w:r w:rsidRPr="00B90A2C">
        <w:rPr>
          <w:rFonts w:ascii="Calibri" w:hAnsi="Calibri" w:cs="Calibri"/>
          <w:color w:val="000000" w:themeColor="text1"/>
        </w:rPr>
        <w:t xml:space="preserve">. These findings indicate that </w:t>
      </w:r>
      <w:r w:rsidR="00D861B1" w:rsidRPr="00B90A2C">
        <w:rPr>
          <w:rFonts w:ascii="Calibri" w:hAnsi="Calibri" w:cs="Calibri"/>
          <w:color w:val="000000" w:themeColor="text1"/>
        </w:rPr>
        <w:t xml:space="preserve">direct </w:t>
      </w:r>
      <w:r w:rsidRPr="00B90A2C">
        <w:rPr>
          <w:rFonts w:ascii="Calibri" w:hAnsi="Calibri" w:cs="Calibri"/>
          <w:color w:val="000000" w:themeColor="text1"/>
        </w:rPr>
        <w:t xml:space="preserve">liquid-phase exposure does not accurately recapitulate the effects of EC aerosols on alveolar epithelial cells. In liquid-based exposures, the presence of a fluid layer on the apical surface disrupts epithelial polarity and baseline barrier function, confounding interpretation of TEER changes and deviating from physiologically relevant air–liquid interface (ALI) conditions. </w:t>
      </w:r>
      <w:r w:rsidRPr="00B90A2C">
        <w:rPr>
          <w:rFonts w:ascii="Calibri" w:hAnsi="Calibri" w:cs="Calibri"/>
        </w:rPr>
        <w:t xml:space="preserve">In contrast, ALI exposure with the ECAM-cell chamber maintained physiological conditions and provided reproducible data, confirming its suitability for vaping toxicology studies. The results show that the ALI setup better mimics physiological inhalation, while liquid-phase exposure highlights differences when aerosols or condensates are directly applied to the apical side of cells. Overall, ALI exposure more reliably reflects </w:t>
      </w:r>
      <w:r w:rsidRPr="00B90A2C">
        <w:rPr>
          <w:rFonts w:ascii="Calibri" w:hAnsi="Calibri" w:cs="Calibri"/>
          <w:i/>
          <w:iCs/>
        </w:rPr>
        <w:t>in vivo</w:t>
      </w:r>
      <w:r w:rsidRPr="00B90A2C">
        <w:rPr>
          <w:rFonts w:ascii="Calibri" w:hAnsi="Calibri" w:cs="Calibri"/>
        </w:rPr>
        <w:t xml:space="preserve"> aerosol-cell interactions, whereas liquid-phase exposure introduces artifacts that may exaggerate barrier disruption.</w:t>
      </w:r>
    </w:p>
    <w:p w14:paraId="03FCD4AD" w14:textId="77777777" w:rsidR="00B90A2C" w:rsidRPr="00B90A2C" w:rsidRDefault="00B90A2C" w:rsidP="00456522">
      <w:pPr>
        <w:pStyle w:val="NormalWeb"/>
        <w:spacing w:before="0" w:beforeAutospacing="0" w:after="0" w:afterAutospacing="0" w:line="480" w:lineRule="auto"/>
        <w:jc w:val="both"/>
        <w:rPr>
          <w:rFonts w:ascii="Calibri" w:hAnsi="Calibri" w:cs="Calibri"/>
        </w:rPr>
      </w:pPr>
    </w:p>
    <w:p w14:paraId="5BC859D1" w14:textId="71F1B7D1" w:rsidR="00150A99" w:rsidRPr="00B90A2C" w:rsidRDefault="002666E2">
      <w:pPr>
        <w:rPr>
          <w:rFonts w:ascii="Calibri" w:hAnsi="Calibri" w:cs="Calibri"/>
          <w:b/>
          <w:bCs/>
        </w:rPr>
      </w:pPr>
      <w:r w:rsidRPr="00B90A2C">
        <w:rPr>
          <w:rFonts w:ascii="Calibri" w:hAnsi="Calibri" w:cs="Calibri"/>
          <w:b/>
          <w:bCs/>
        </w:rPr>
        <w:t>References</w:t>
      </w:r>
    </w:p>
    <w:sdt>
      <w:sdtPr>
        <w:rPr>
          <w:rFonts w:ascii="Calibri" w:hAnsi="Calibri" w:cs="Calibri"/>
          <w:color w:val="000000"/>
        </w:rPr>
        <w:tag w:val="MENDELEY_BIBLIOGRAPHY"/>
        <w:id w:val="-1503663520"/>
        <w:placeholder>
          <w:docPart w:val="DefaultPlaceholder_-1854013440"/>
        </w:placeholder>
      </w:sdtPr>
      <w:sdtContent>
        <w:p w14:paraId="197F43DC" w14:textId="77777777" w:rsidR="002666E2" w:rsidRPr="00B90A2C" w:rsidRDefault="002666E2">
          <w:pPr>
            <w:autoSpaceDE w:val="0"/>
            <w:autoSpaceDN w:val="0"/>
            <w:ind w:hanging="640"/>
            <w:divId w:val="1846237821"/>
            <w:rPr>
              <w:rFonts w:ascii="Calibri" w:eastAsia="Times New Roman" w:hAnsi="Calibri" w:cs="Calibri"/>
              <w:color w:val="000000"/>
              <w:kern w:val="0"/>
              <w14:ligatures w14:val="none"/>
            </w:rPr>
          </w:pPr>
          <w:r w:rsidRPr="00B90A2C">
            <w:rPr>
              <w:rFonts w:ascii="Calibri" w:eastAsia="Times New Roman" w:hAnsi="Calibri" w:cs="Calibri"/>
              <w:color w:val="000000"/>
            </w:rPr>
            <w:t xml:space="preserve">1 </w:t>
          </w:r>
          <w:r w:rsidRPr="00B90A2C">
            <w:rPr>
              <w:rFonts w:ascii="Calibri" w:eastAsia="Times New Roman" w:hAnsi="Calibri" w:cs="Calibri"/>
              <w:color w:val="000000"/>
            </w:rPr>
            <w:tab/>
            <w:t xml:space="preserve">Davis ES, Sassano MF, Goodell H, </w:t>
          </w:r>
          <w:r w:rsidRPr="00B90A2C">
            <w:rPr>
              <w:rFonts w:ascii="Calibri" w:eastAsia="Times New Roman" w:hAnsi="Calibri" w:cs="Calibri"/>
              <w:i/>
              <w:iCs/>
              <w:color w:val="000000"/>
            </w:rPr>
            <w:t>et al.</w:t>
          </w:r>
          <w:r w:rsidRPr="00B90A2C">
            <w:rPr>
              <w:rFonts w:ascii="Calibri" w:eastAsia="Times New Roman" w:hAnsi="Calibri" w:cs="Calibri"/>
              <w:color w:val="000000"/>
            </w:rPr>
            <w:t xml:space="preserve"> E-Liquid Autofluorescence can be used as a Marker of Vaping Deposition and </w:t>
          </w:r>
          <w:proofErr w:type="gramStart"/>
          <w:r w:rsidRPr="00B90A2C">
            <w:rPr>
              <w:rFonts w:ascii="Calibri" w:eastAsia="Times New Roman" w:hAnsi="Calibri" w:cs="Calibri"/>
              <w:color w:val="000000"/>
            </w:rPr>
            <w:t>Third-Hand</w:t>
          </w:r>
          <w:proofErr w:type="gramEnd"/>
          <w:r w:rsidRPr="00B90A2C">
            <w:rPr>
              <w:rFonts w:ascii="Calibri" w:eastAsia="Times New Roman" w:hAnsi="Calibri" w:cs="Calibri"/>
              <w:color w:val="000000"/>
            </w:rPr>
            <w:t xml:space="preserve"> Vape Exposure. </w:t>
          </w:r>
          <w:r w:rsidRPr="00B90A2C">
            <w:rPr>
              <w:rFonts w:ascii="Calibri" w:eastAsia="Times New Roman" w:hAnsi="Calibri" w:cs="Calibri"/>
              <w:i/>
              <w:iCs/>
              <w:color w:val="000000"/>
            </w:rPr>
            <w:t>Sci Rep</w:t>
          </w:r>
          <w:r w:rsidRPr="00B90A2C">
            <w:rPr>
              <w:rFonts w:ascii="Calibri" w:eastAsia="Times New Roman" w:hAnsi="Calibri" w:cs="Calibri"/>
              <w:color w:val="000000"/>
            </w:rPr>
            <w:t xml:space="preserve">. 2017;7. </w:t>
          </w:r>
          <w:proofErr w:type="spellStart"/>
          <w:r w:rsidRPr="00B90A2C">
            <w:rPr>
              <w:rFonts w:ascii="Calibri" w:eastAsia="Times New Roman" w:hAnsi="Calibri" w:cs="Calibri"/>
              <w:color w:val="000000"/>
            </w:rPr>
            <w:t>doi</w:t>
          </w:r>
          <w:proofErr w:type="spellEnd"/>
          <w:r w:rsidRPr="00B90A2C">
            <w:rPr>
              <w:rFonts w:ascii="Calibri" w:eastAsia="Times New Roman" w:hAnsi="Calibri" w:cs="Calibri"/>
              <w:color w:val="000000"/>
            </w:rPr>
            <w:t>: 10.1038/s41598-017-07862-w</w:t>
          </w:r>
        </w:p>
        <w:p w14:paraId="16AF09D2" w14:textId="425B0DC9" w:rsidR="002666E2" w:rsidRPr="00B90A2C" w:rsidRDefault="002666E2">
          <w:pPr>
            <w:rPr>
              <w:rFonts w:ascii="Calibri" w:hAnsi="Calibri" w:cs="Calibri"/>
            </w:rPr>
          </w:pPr>
          <w:r w:rsidRPr="00B90A2C">
            <w:rPr>
              <w:rFonts w:ascii="Calibri" w:eastAsia="Times New Roman" w:hAnsi="Calibri" w:cs="Calibri"/>
              <w:color w:val="000000"/>
            </w:rPr>
            <w:t> </w:t>
          </w:r>
        </w:p>
      </w:sdtContent>
    </w:sdt>
    <w:sectPr w:rsidR="002666E2" w:rsidRPr="00B90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6E2"/>
    <w:rsid w:val="000248AB"/>
    <w:rsid w:val="000B0712"/>
    <w:rsid w:val="000C5395"/>
    <w:rsid w:val="000F78DA"/>
    <w:rsid w:val="00101C32"/>
    <w:rsid w:val="001124C0"/>
    <w:rsid w:val="00147ADD"/>
    <w:rsid w:val="00150A99"/>
    <w:rsid w:val="00155EF9"/>
    <w:rsid w:val="00162802"/>
    <w:rsid w:val="001A1954"/>
    <w:rsid w:val="001A7593"/>
    <w:rsid w:val="001D28C6"/>
    <w:rsid w:val="00217666"/>
    <w:rsid w:val="0022601F"/>
    <w:rsid w:val="0023135C"/>
    <w:rsid w:val="00232553"/>
    <w:rsid w:val="00235B73"/>
    <w:rsid w:val="002620C5"/>
    <w:rsid w:val="00265F7B"/>
    <w:rsid w:val="002666E2"/>
    <w:rsid w:val="00267DDA"/>
    <w:rsid w:val="00280DB8"/>
    <w:rsid w:val="002A243B"/>
    <w:rsid w:val="002B4058"/>
    <w:rsid w:val="00300A76"/>
    <w:rsid w:val="003104BD"/>
    <w:rsid w:val="00363522"/>
    <w:rsid w:val="00392DE0"/>
    <w:rsid w:val="003F5855"/>
    <w:rsid w:val="004146D3"/>
    <w:rsid w:val="00420ED1"/>
    <w:rsid w:val="004360B2"/>
    <w:rsid w:val="004403FF"/>
    <w:rsid w:val="00456522"/>
    <w:rsid w:val="00460A3E"/>
    <w:rsid w:val="0047342D"/>
    <w:rsid w:val="0047647A"/>
    <w:rsid w:val="004841EB"/>
    <w:rsid w:val="004861BE"/>
    <w:rsid w:val="004A5E91"/>
    <w:rsid w:val="004A669C"/>
    <w:rsid w:val="005206E4"/>
    <w:rsid w:val="00520F6A"/>
    <w:rsid w:val="005424D9"/>
    <w:rsid w:val="005505BB"/>
    <w:rsid w:val="00575014"/>
    <w:rsid w:val="005B68EB"/>
    <w:rsid w:val="005C7C8C"/>
    <w:rsid w:val="00613488"/>
    <w:rsid w:val="006B1609"/>
    <w:rsid w:val="006C10C0"/>
    <w:rsid w:val="006C20BC"/>
    <w:rsid w:val="0070129B"/>
    <w:rsid w:val="00712F4B"/>
    <w:rsid w:val="0071397B"/>
    <w:rsid w:val="0076289D"/>
    <w:rsid w:val="007904D6"/>
    <w:rsid w:val="007A34A6"/>
    <w:rsid w:val="007B3E06"/>
    <w:rsid w:val="007B5B49"/>
    <w:rsid w:val="007C2E4C"/>
    <w:rsid w:val="007E5DA4"/>
    <w:rsid w:val="008760CA"/>
    <w:rsid w:val="008845C0"/>
    <w:rsid w:val="00886EC5"/>
    <w:rsid w:val="008A4A1F"/>
    <w:rsid w:val="008E4D6D"/>
    <w:rsid w:val="008E6AF4"/>
    <w:rsid w:val="00906FB5"/>
    <w:rsid w:val="0091001A"/>
    <w:rsid w:val="00924335"/>
    <w:rsid w:val="0095171B"/>
    <w:rsid w:val="009535A3"/>
    <w:rsid w:val="00962AC2"/>
    <w:rsid w:val="009663C4"/>
    <w:rsid w:val="009C05F1"/>
    <w:rsid w:val="009C21C9"/>
    <w:rsid w:val="009C7BEC"/>
    <w:rsid w:val="009D4A31"/>
    <w:rsid w:val="00A05C32"/>
    <w:rsid w:val="00A229FB"/>
    <w:rsid w:val="00A22CF7"/>
    <w:rsid w:val="00A2719A"/>
    <w:rsid w:val="00A30959"/>
    <w:rsid w:val="00A56564"/>
    <w:rsid w:val="00AB5969"/>
    <w:rsid w:val="00B01C79"/>
    <w:rsid w:val="00B30F46"/>
    <w:rsid w:val="00B506C4"/>
    <w:rsid w:val="00B623C6"/>
    <w:rsid w:val="00B650D8"/>
    <w:rsid w:val="00B8723D"/>
    <w:rsid w:val="00B90A2C"/>
    <w:rsid w:val="00B93012"/>
    <w:rsid w:val="00BB7AAE"/>
    <w:rsid w:val="00BE4955"/>
    <w:rsid w:val="00BE79C8"/>
    <w:rsid w:val="00BF37C1"/>
    <w:rsid w:val="00C079BD"/>
    <w:rsid w:val="00C15C23"/>
    <w:rsid w:val="00C17ED7"/>
    <w:rsid w:val="00C2154B"/>
    <w:rsid w:val="00C536C8"/>
    <w:rsid w:val="00C66040"/>
    <w:rsid w:val="00C705FC"/>
    <w:rsid w:val="00C72F5C"/>
    <w:rsid w:val="00CB6549"/>
    <w:rsid w:val="00CE5755"/>
    <w:rsid w:val="00CF0C17"/>
    <w:rsid w:val="00D00164"/>
    <w:rsid w:val="00D14365"/>
    <w:rsid w:val="00D21548"/>
    <w:rsid w:val="00D56EE4"/>
    <w:rsid w:val="00D66442"/>
    <w:rsid w:val="00D861B1"/>
    <w:rsid w:val="00D871B6"/>
    <w:rsid w:val="00D94004"/>
    <w:rsid w:val="00D9510E"/>
    <w:rsid w:val="00DD1DC6"/>
    <w:rsid w:val="00E12A84"/>
    <w:rsid w:val="00E20B9F"/>
    <w:rsid w:val="00E34FE4"/>
    <w:rsid w:val="00E47FD2"/>
    <w:rsid w:val="00E518E4"/>
    <w:rsid w:val="00E74373"/>
    <w:rsid w:val="00E77BE6"/>
    <w:rsid w:val="00E8714F"/>
    <w:rsid w:val="00E97321"/>
    <w:rsid w:val="00EA6631"/>
    <w:rsid w:val="00ED7FA0"/>
    <w:rsid w:val="00EF5948"/>
    <w:rsid w:val="00F03E7D"/>
    <w:rsid w:val="00F44C5F"/>
    <w:rsid w:val="00F57AE6"/>
    <w:rsid w:val="00F71243"/>
    <w:rsid w:val="00F867F6"/>
    <w:rsid w:val="00FA2A7E"/>
    <w:rsid w:val="00FA423C"/>
    <w:rsid w:val="00FB2C2F"/>
    <w:rsid w:val="00FC35E2"/>
    <w:rsid w:val="00FD2433"/>
    <w:rsid w:val="00FE2A85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F649"/>
  <w15:chartTrackingRefBased/>
  <w15:docId w15:val="{C6EB2752-E03C-496E-BB36-52DE7E4C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6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66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6E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666E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66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character" w:styleId="Strong">
    <w:name w:val="Strong"/>
    <w:basedOn w:val="DefaultParagraphFont"/>
    <w:uiPriority w:val="22"/>
    <w:qFormat/>
    <w:rsid w:val="002666E2"/>
    <w:rPr>
      <w:b/>
      <w:bCs/>
    </w:rPr>
  </w:style>
  <w:style w:type="character" w:styleId="Emphasis">
    <w:name w:val="Emphasis"/>
    <w:basedOn w:val="DefaultParagraphFont"/>
    <w:uiPriority w:val="20"/>
    <w:qFormat/>
    <w:rsid w:val="002666E2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2666E2"/>
    <w:rPr>
      <w:color w:val="666666"/>
    </w:rPr>
  </w:style>
  <w:style w:type="paragraph" w:styleId="Revision">
    <w:name w:val="Revision"/>
    <w:hidden/>
    <w:uiPriority w:val="99"/>
    <w:semiHidden/>
    <w:rsid w:val="00D871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2378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8CB8F-D218-4DA3-B6E6-C21B6041883F}"/>
      </w:docPartPr>
      <w:docPartBody>
        <w:p w:rsidR="00C17ED7" w:rsidRDefault="00C15C23">
          <w:r w:rsidRPr="00736E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146D3E2DF541329E7950A1B79E6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A3509-3CC6-41F4-B742-A2A4FD887C2C}"/>
      </w:docPartPr>
      <w:docPartBody>
        <w:p w:rsidR="00ED7FA0" w:rsidRDefault="00C17ED7" w:rsidP="00C17ED7">
          <w:pPr>
            <w:pStyle w:val="29146D3E2DF541329E7950A1B79E614F"/>
          </w:pPr>
          <w:r w:rsidRPr="00253F0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64A61E577D46C98D36013AE3D90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55747-A56E-4145-9738-8066C8C9975A}"/>
      </w:docPartPr>
      <w:docPartBody>
        <w:p w:rsidR="003A6E27" w:rsidRDefault="00ED7FA0" w:rsidP="00ED7FA0">
          <w:pPr>
            <w:pStyle w:val="A664A61E577D46C98D36013AE3D90D63"/>
          </w:pPr>
          <w:r w:rsidRPr="00253F0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B3E5FA08D34DB0B77CBDC74EA22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CBD6A-F7B5-431C-8266-CB9515991F48}"/>
      </w:docPartPr>
      <w:docPartBody>
        <w:p w:rsidR="003A6E27" w:rsidRDefault="00ED7FA0" w:rsidP="00ED7FA0">
          <w:pPr>
            <w:pStyle w:val="54B3E5FA08D34DB0B77CBDC74EA2266B"/>
          </w:pPr>
          <w:r w:rsidRPr="00253F0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23"/>
    <w:rsid w:val="00061B26"/>
    <w:rsid w:val="00155EF9"/>
    <w:rsid w:val="003A6E27"/>
    <w:rsid w:val="00420ED1"/>
    <w:rsid w:val="00451B8F"/>
    <w:rsid w:val="00520F6A"/>
    <w:rsid w:val="00944E36"/>
    <w:rsid w:val="00A57357"/>
    <w:rsid w:val="00C15C23"/>
    <w:rsid w:val="00C17ED7"/>
    <w:rsid w:val="00C66BC3"/>
    <w:rsid w:val="00E518E4"/>
    <w:rsid w:val="00ED7FA0"/>
    <w:rsid w:val="00F5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7FA0"/>
    <w:rPr>
      <w:color w:val="666666"/>
    </w:rPr>
  </w:style>
  <w:style w:type="paragraph" w:customStyle="1" w:styleId="CB97F480A6FD44D9ABEF82C9F904B0B2">
    <w:name w:val="CB97F480A6FD44D9ABEF82C9F904B0B2"/>
    <w:rsid w:val="00C15C23"/>
  </w:style>
  <w:style w:type="paragraph" w:customStyle="1" w:styleId="29146D3E2DF541329E7950A1B79E614F">
    <w:name w:val="29146D3E2DF541329E7950A1B79E614F"/>
    <w:rsid w:val="00C17ED7"/>
  </w:style>
  <w:style w:type="paragraph" w:customStyle="1" w:styleId="A664A61E577D46C98D36013AE3D90D63">
    <w:name w:val="A664A61E577D46C98D36013AE3D90D63"/>
    <w:rsid w:val="00ED7FA0"/>
  </w:style>
  <w:style w:type="paragraph" w:customStyle="1" w:styleId="54B3E5FA08D34DB0B77CBDC74EA2266B">
    <w:name w:val="54B3E5FA08D34DB0B77CBDC74EA2266B"/>
    <w:rsid w:val="00ED7F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D9871F-DAFA-4E95-80AE-20E04A48D7B3}">
  <we:reference id="wa104382081" version="1.55.1.0" store="en-GB" storeType="OMEX"/>
  <we:alternateReferences>
    <we:reference id="WA104382081" version="1.55.1.0" store="WA104382081" storeType="OMEX"/>
  </we:alternateReferences>
  <we:properties>
    <we:property name="MENDELEY_CITATIONS" value="[{&quot;citationID&quot;:&quot;MENDELEY_CITATION_444997a0-d376-4eb5-aee7-75bff327e800&quot;,&quot;properties&quot;:{&quot;noteIndex&quot;:0},&quot;isEdited&quot;:false,&quot;manualOverride&quot;:{&quot;isManuallyOverridden&quot;:false,&quot;citeprocText&quot;:&quot;[1]&quot;,&quot;manualOverrideText&quot;:&quot;&quot;},&quot;citationTag&quot;:&quot;MENDELEY_CITATION_v3_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&quot;,&quot;citationItems&quot;:[{&quot;id&quot;:&quot;a3272faf-51c1-3181-8ab9-554c93094012&quot;,&quot;itemData&quot;:{&quot;type&quot;:&quot;article-journal&quot;,&quot;id&quot;:&quot;a3272faf-51c1-3181-8ab9-554c93094012&quot;,&quot;title&quot;:&quot;E-Liquid Autofluorescence can be used as a Marker of Vaping Deposition and Third-Hand Vape Exposure&quot;,&quot;author&quot;:[{&quot;family&quot;:&quot;Davis&quot;,&quot;given&quot;:&quot;Eric S.&quot;,&quot;parse-names&quot;:false,&quot;dropping-particle&quot;:&quot;&quot;,&quot;non-dropping-particle&quot;:&quot;&quot;},{&quot;family&quot;:&quot;Sassano&quot;,&quot;given&quot;:&quot;M. Flori&quot;,&quot;parse-names&quot;:false,&quot;dropping-particle&quot;:&quot;&quot;,&quot;non-dropping-particle&quot;:&quot;&quot;},{&quot;family&quot;:&quot;Goodell&quot;,&quot;given&quot;:&quot;Henry&quot;,&quot;parse-names&quot;:false,&quot;dropping-particle&quot;:&quot;&quot;,&quot;non-dropping-particle&quot;:&quot;&quot;},{&quot;family&quot;:&quot;Tarran&quot;,&quot;given&quot;:&quot;Robert&quot;,&quot;parse-names&quot;:false,&quot;dropping-particle&quot;:&quot;&quot;,&quot;non-dropping-particle&quot;:&quot;&quot;}],&quot;container-title&quot;:&quot;Scientific Reports&quot;,&quot;container-title-short&quot;:&quot;Sci. Rep.&quot;,&quot;DOI&quot;:&quot;10.1038/s41598-017-07862-w&quot;,&quot;ISSN&quot;:&quot;20452322&quot;,&quot;PMID&quot;:&quot;28785072&quot;,&quot;issued&quot;:{&quot;date-parts&quot;:[[2017,12,1]]},&quot;abstract&quot;:&quot;In the past 5 years, e-cigarette use has been increasing rapidly, particularly in youth and young adults. Due to the novelty of e-cigarettes (e-cigs) and e-cigarette liquids (e-liquids), research on their chemo-physical properties is still in its infancy. Here, we describe a previously unknown and potentially useful property of e-liquids, namely their autofluorescence. We performed an emission scan at 9 excitation wavelengths common to fluorescent microscopy and found (i) that autofluorescence differs widely between e-liquids, (ii) that e-liquids are most fluorescent in the UV range (between 350 and 405 nm) and (iii) fluorescence intensity wanes as the emission wavelength increases. Furthermore, we used the autofluorescence of e-liquids as a marker for tracking e-cig aerosol deposition in the laboratory. Using linear regression analysis, we were able to quantify the deposition of a \&quot;vaped\&quot; e-liquid onto hard surfaces. Using this technique, we found that every 70 mL puff of an e-cigarette deposited 0.019% e-liquid (v/v) in a controlled environment. Finally, we vaped a surface in the laboratory and used our method to detect e-cig aerosol third-hand exposure. In conclusion, our data suggest that e-cigarette autofluorescence can be used as a marker of e-cigarette deposition.&quot;,&quot;publisher&quot;:&quot;Nature Publishing Group&quot;,&quot;issue&quot;:&quot;1&quot;,&quot;volume&quot;:&quot;7&quot;},&quot;isTemporary&quot;:false}]}]"/>
    <we:property name="MENDELEY_CITATIONS_LOCALE_CODE" value="&quot;en-GB&quot;"/>
    <we:property name="MENDELEY_CITATIONS_STYLE" value="{&quot;id&quot;:&quot;https://www.zotero.org/styles/bmj-open-respiratory-research&quot;,&quot;title&quot;:&quot;BMJ Open Respiratory Research&quot;,&quot;format&quot;:&quot;numeric&quot;,&quot;defaultLocale&quot;:&quot;en-GB&quot;,&quot;isLocaleCodeValid&quot;:true}"/>
    <we:property name="MENDELEY_BIBLIOGRAPHY_IS_DIRTY" value="false"/>
    <we:property name="MENDELEY_BIBLIOGRAPHY_LAST_MODIFIED" value="1775879411017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46152-79F9-4F0B-8A63-B977658522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75eb9d1-7479-4f8a-9240-cc5b19dbbc64}" enabled="1" method="Standard" siteId="{d1b36e95-0d50-42e9-958f-b63fa906bea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1131</Words>
  <Characters>6450</Characters>
  <Application>Microsoft Office Word</Application>
  <DocSecurity>0</DocSecurity>
  <Lines>53</Lines>
  <Paragraphs>15</Paragraphs>
  <ScaleCrop>false</ScaleCrop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Marzieh Aghababaie</dc:creator>
  <cp:keywords/>
  <dc:description/>
  <cp:lastModifiedBy>Kelly Burrowes</cp:lastModifiedBy>
  <cp:revision>5</cp:revision>
  <dcterms:created xsi:type="dcterms:W3CDTF">2026-06-30T03:27:00Z</dcterms:created>
  <dcterms:modified xsi:type="dcterms:W3CDTF">2026-06-30T03:30:00Z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9600720b-d3e2-48a1-9135-00f34f2b3987</vt:lpwstr>
  </property>
</Properties>
</file>