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8D15A7">
      <w:pPr>
        <w:rPr>
          <w:rFonts w:hint="eastAsia"/>
          <w:lang w:val="en-US" w:eastAsia="zh-CN"/>
        </w:rPr>
      </w:pPr>
      <w:r>
        <w:rPr>
          <w:rFonts w:hint="eastAsia"/>
          <w:lang w:val="en-US" w:eastAsia="zh-CN"/>
        </w:rPr>
        <w:drawing>
          <wp:inline distT="0" distB="0" distL="114300" distR="114300">
            <wp:extent cx="5265420" cy="6886575"/>
            <wp:effectExtent l="0" t="0" r="11430" b="9525"/>
            <wp:docPr id="1" name="图片 1" descr="SFig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SFigure1"/>
                    <pic:cNvPicPr>
                      <a:picLocks noChangeAspect="1"/>
                    </pic:cNvPicPr>
                  </pic:nvPicPr>
                  <pic:blipFill>
                    <a:blip r:embed="rId4"/>
                    <a:stretch>
                      <a:fillRect/>
                    </a:stretch>
                  </pic:blipFill>
                  <pic:spPr>
                    <a:xfrm>
                      <a:off x="0" y="0"/>
                      <a:ext cx="5265420" cy="6886575"/>
                    </a:xfrm>
                    <a:prstGeom prst="rect">
                      <a:avLst/>
                    </a:prstGeom>
                  </pic:spPr>
                </pic:pic>
              </a:graphicData>
            </a:graphic>
          </wp:inline>
        </w:drawing>
      </w:r>
    </w:p>
    <w:p w14:paraId="7C6B035B">
      <w:pPr>
        <w:rPr>
          <w:rFonts w:hint="default" w:ascii="Times New Roman Bold" w:hAnsi="Times New Roman Bold" w:cs="Times New Roman Bold"/>
          <w:b/>
          <w:bCs/>
          <w:lang w:val="en-US" w:eastAsia="zh-CN"/>
        </w:rPr>
      </w:pPr>
      <w:r>
        <w:rPr>
          <w:rFonts w:hint="default" w:ascii="Times New Roman Bold" w:hAnsi="Times New Roman Bold" w:cs="Times New Roman Bold"/>
          <w:b/>
          <w:bCs/>
          <w:lang w:val="en-US" w:eastAsia="zh-CN"/>
        </w:rPr>
        <w:t>SFigure1 Integrated single-cell transcriptomic and DNA methylation profiling of human tuberculosis lung tissues.</w:t>
      </w:r>
    </w:p>
    <w:p w14:paraId="129A5FA3">
      <w:pPr>
        <w:numPr>
          <w:ilvl w:val="0"/>
          <w:numId w:val="1"/>
        </w:numPr>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Quality control plots for single-cell analysis (human TB vs. control lung tissues).</w:t>
      </w:r>
    </w:p>
    <w:p w14:paraId="4391C18C">
      <w:pPr>
        <w:numPr>
          <w:ilvl w:val="0"/>
          <w:numId w:val="1"/>
        </w:numPr>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Enrichment analysis bubble plot of single-cell analysis of human TB vs. control lung tissues.</w:t>
      </w:r>
    </w:p>
    <w:p w14:paraId="1FCC6D5F">
      <w:pPr>
        <w:keepNext w:val="0"/>
        <w:keepLines w:val="0"/>
        <w:widowControl w:val="0"/>
        <w:numPr>
          <w:ilvl w:val="0"/>
          <w:numId w:val="2"/>
        </w:numPr>
        <w:suppressLineNumbers w:val="0"/>
        <w:spacing w:before="0" w:beforeAutospacing="0" w:after="0" w:afterAutospacing="0"/>
        <w:ind w:left="0" w:right="0"/>
        <w:jc w:val="both"/>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 xml:space="preserve">The feature Logo diagram shows the distribution of CG.mc (the first row is for TB samples, and the second row is for </w:t>
      </w:r>
      <w:r>
        <w:rPr>
          <w:rFonts w:hint="default" w:ascii="Times New Roman Regular" w:hAnsi="Times New Roman Regular" w:eastAsia="宋体" w:cs="Times New Roman Regular"/>
          <w:kern w:val="2"/>
          <w:sz w:val="21"/>
          <w:szCs w:val="21"/>
          <w:lang w:val="en-US" w:eastAsia="zh-CN" w:bidi="ar"/>
        </w:rPr>
        <w:t>control</w:t>
      </w:r>
      <w:r>
        <w:rPr>
          <w:rFonts w:hint="default" w:ascii="Times New Roman Regular" w:hAnsi="Times New Roman Regular" w:cs="Times New Roman Regular"/>
          <w:lang w:val="en-US" w:eastAsia="zh-CN"/>
        </w:rPr>
        <w:t xml:space="preserve"> samples).</w:t>
      </w:r>
    </w:p>
    <w:p w14:paraId="492CA38B">
      <w:pPr>
        <w:keepNext w:val="0"/>
        <w:keepLines w:val="0"/>
        <w:widowControl w:val="0"/>
        <w:numPr>
          <w:ilvl w:val="0"/>
          <w:numId w:val="2"/>
        </w:numPr>
        <w:suppressLineNumbers w:val="0"/>
        <w:spacing w:before="0" w:beforeAutospacing="0" w:after="0" w:afterAutospacing="0"/>
        <w:ind w:left="0" w:right="0"/>
        <w:jc w:val="both"/>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 xml:space="preserve">Distribution of methylation levels of different gene functional elements (the first row is for TB samples, and the second row is for </w:t>
      </w:r>
      <w:r>
        <w:rPr>
          <w:rFonts w:hint="default" w:ascii="Times New Roman Regular" w:hAnsi="Times New Roman Regular" w:eastAsia="宋体" w:cs="Times New Roman Regular"/>
          <w:kern w:val="2"/>
          <w:sz w:val="21"/>
          <w:szCs w:val="21"/>
          <w:lang w:val="en-US" w:eastAsia="zh-CN" w:bidi="ar"/>
        </w:rPr>
        <w:t>control</w:t>
      </w:r>
      <w:r>
        <w:rPr>
          <w:rFonts w:hint="default" w:ascii="Times New Roman Regular" w:hAnsi="Times New Roman Regular" w:cs="Times New Roman Regular"/>
          <w:lang w:val="en-US" w:eastAsia="zh-CN"/>
        </w:rPr>
        <w:t xml:space="preserve"> samples).</w:t>
      </w:r>
    </w:p>
    <w:p w14:paraId="7B31ECCB">
      <w:pPr>
        <w:keepNext w:val="0"/>
        <w:keepLines w:val="0"/>
        <w:widowControl w:val="0"/>
        <w:numPr>
          <w:ilvl w:val="0"/>
          <w:numId w:val="2"/>
        </w:numPr>
        <w:suppressLineNumbers w:val="0"/>
        <w:spacing w:before="0" w:beforeAutospacing="0" w:after="0" w:afterAutospacing="0"/>
        <w:ind w:left="0" w:right="0"/>
        <w:jc w:val="both"/>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DNA methylation levels of PPARGC1B (Chr5) in different genomic regions comparing control and tuberculosis (TB) groups. Four intronic regions of PPARGC1B are shown with their respective chromosomal coordinates and the number of CpG sites analyzed. Bar graphs display mean methylation levels with individual data points. Δβ values indicate the methylation difference between TB and control groups, showing consistently higher methylation levels in TB samples across all examined regions.</w:t>
      </w:r>
      <w:bookmarkStart w:id="0" w:name="_GoBack"/>
      <w:bookmarkEnd w:id="0"/>
    </w:p>
    <w:p w14:paraId="28318AAD">
      <w:pPr>
        <w:widowControl w:val="0"/>
        <w:numPr>
          <w:ilvl w:val="0"/>
          <w:numId w:val="0"/>
        </w:numPr>
        <w:jc w:val="both"/>
        <w:rPr>
          <w:rFonts w:hint="default"/>
          <w:lang w:val="en-US" w:eastAsia="zh-CN"/>
        </w:rPr>
      </w:pPr>
    </w:p>
    <w:p w14:paraId="0CBA6921">
      <w:pPr>
        <w:widowControl w:val="0"/>
        <w:numPr>
          <w:ilvl w:val="0"/>
          <w:numId w:val="0"/>
        </w:numPr>
        <w:jc w:val="both"/>
        <w:rPr>
          <w:rFonts w:hint="eastAsia"/>
          <w:lang w:val="en-US" w:eastAsia="zh-CN"/>
        </w:rPr>
      </w:pPr>
    </w:p>
    <w:p w14:paraId="38E947E2">
      <w:pPr>
        <w:widowControl w:val="0"/>
        <w:numPr>
          <w:ilvl w:val="0"/>
          <w:numId w:val="0"/>
        </w:numPr>
        <w:jc w:val="both"/>
        <w:rPr>
          <w:rFonts w:hint="eastAsia"/>
          <w:lang w:val="en-US" w:eastAsia="zh-CN"/>
        </w:rPr>
      </w:pPr>
    </w:p>
    <w:p w14:paraId="0EE541DB">
      <w:pPr>
        <w:widowControl w:val="0"/>
        <w:numPr>
          <w:ilvl w:val="0"/>
          <w:numId w:val="0"/>
        </w:numPr>
        <w:jc w:val="both"/>
        <w:rPr>
          <w:rFonts w:hint="eastAsia"/>
          <w:lang w:val="en-US" w:eastAsia="zh-CN"/>
        </w:rPr>
      </w:pPr>
    </w:p>
    <w:p w14:paraId="5662AEB3">
      <w:pPr>
        <w:widowControl w:val="0"/>
        <w:numPr>
          <w:ilvl w:val="0"/>
          <w:numId w:val="0"/>
        </w:numPr>
        <w:jc w:val="both"/>
        <w:rPr>
          <w:rFonts w:hint="eastAsia"/>
          <w:lang w:val="en-US" w:eastAsia="zh-CN"/>
        </w:rPr>
      </w:pPr>
    </w:p>
    <w:p w14:paraId="17B7010F">
      <w:pPr>
        <w:widowControl w:val="0"/>
        <w:numPr>
          <w:ilvl w:val="0"/>
          <w:numId w:val="0"/>
        </w:numPr>
        <w:jc w:val="both"/>
        <w:rPr>
          <w:rFonts w:hint="eastAsia"/>
          <w:lang w:val="en-US" w:eastAsia="zh-CN"/>
        </w:rPr>
      </w:pPr>
    </w:p>
    <w:p w14:paraId="2ECAEE99">
      <w:pPr>
        <w:widowControl w:val="0"/>
        <w:numPr>
          <w:ilvl w:val="0"/>
          <w:numId w:val="0"/>
        </w:numPr>
        <w:jc w:val="both"/>
        <w:rPr>
          <w:rFonts w:hint="eastAsia"/>
          <w:lang w:val="en-US" w:eastAsia="zh-CN"/>
        </w:rPr>
      </w:pPr>
    </w:p>
    <w:p w14:paraId="6EFD9572">
      <w:pPr>
        <w:numPr>
          <w:ilvl w:val="0"/>
          <w:numId w:val="0"/>
        </w:numPr>
        <w:ind w:leftChars="0"/>
        <w:rPr>
          <w:rFonts w:hint="default" w:ascii="Times New Roman Regular" w:hAnsi="Times New Roman Regular" w:cs="Times New Roman Regular"/>
          <w:lang w:val="en-US" w:eastAsia="zh-CN"/>
        </w:rPr>
      </w:pPr>
    </w:p>
    <w:p w14:paraId="0EEED6A0">
      <w:pPr>
        <w:numPr>
          <w:ilvl w:val="0"/>
          <w:numId w:val="0"/>
        </w:numPr>
        <w:ind w:leftChars="0"/>
        <w:rPr>
          <w:rFonts w:hint="default" w:ascii="Times New Roman Regular" w:hAnsi="Times New Roman Regular" w:cs="Times New Roman Regular"/>
          <w:lang w:val="en-US" w:eastAsia="zh-CN"/>
        </w:rPr>
      </w:pPr>
    </w:p>
    <w:p w14:paraId="766E3437">
      <w:pPr>
        <w:widowControl w:val="0"/>
        <w:numPr>
          <w:ilvl w:val="0"/>
          <w:numId w:val="0"/>
        </w:numPr>
        <w:jc w:val="both"/>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imes New Roman Bold">
    <w:panose1 w:val="02020503050405090304"/>
    <w:charset w:val="00"/>
    <w:family w:val="auto"/>
    <w:pitch w:val="default"/>
    <w:sig w:usb0="00000000" w:usb1="00000000" w:usb2="00000001" w:usb3="00000000" w:csb0="400001BF" w:csb1="DFF70000"/>
  </w:font>
  <w:font w:name="Times New Roman Regular">
    <w:altName w:val="Times New Roman"/>
    <w:panose1 w:val="02020503050405090304"/>
    <w:charset w:val="00"/>
    <w:family w:val="auto"/>
    <w:pitch w:val="default"/>
    <w:sig w:usb0="00000000" w:usb1="00000000" w:usb2="00000001" w:usb3="00000000" w:csb0="400001BF" w:csb1="DFF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EEA421"/>
    <w:multiLevelType w:val="singleLevel"/>
    <w:tmpl w:val="AAEEA421"/>
    <w:lvl w:ilvl="0" w:tentative="0">
      <w:start w:val="1"/>
      <w:numFmt w:val="upperLetter"/>
      <w:suff w:val="space"/>
      <w:lvlText w:val="(%1)"/>
      <w:lvlJc w:val="left"/>
    </w:lvl>
  </w:abstractNum>
  <w:abstractNum w:abstractNumId="1">
    <w:nsid w:val="D67E6448"/>
    <w:multiLevelType w:val="singleLevel"/>
    <w:tmpl w:val="D67E6448"/>
    <w:lvl w:ilvl="0" w:tentative="0">
      <w:start w:val="4"/>
      <w:numFmt w:val="upperLetter"/>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M0MDhhMTczZWM5YTc3NTE1ZTNhMTU3Y2MxOTRkMTAifQ=="/>
  </w:docVars>
  <w:rsids>
    <w:rsidRoot w:val="5AB4AE70"/>
    <w:rsid w:val="3AFDE799"/>
    <w:rsid w:val="5AB4AE70"/>
    <w:rsid w:val="5EC93024"/>
    <w:rsid w:val="7B8DEECE"/>
    <w:rsid w:val="7E7C2930"/>
    <w:rsid w:val="CB54F496"/>
    <w:rsid w:val="E29B1543"/>
    <w:rsid w:val="FF6F06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87</Words>
  <Characters>490</Characters>
  <Lines>1</Lines>
  <Paragraphs>1</Paragraphs>
  <TotalTime>13</TotalTime>
  <ScaleCrop>false</ScaleCrop>
  <LinksUpToDate>false</LinksUpToDate>
  <CharactersWithSpaces>572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2025-08-30T03:06:00Z</dcterms:created>
  <dc:creator>家璐</dc:creator>
  <cp:lastModifiedBy>匿名</cp:lastModifiedBy>
  <dcterms:modified xsi:type="dcterms:W3CDTF">2026-10-04T04:02:55Z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3BF1AA0DFC6E42AE98C7AF6804F90800_41</vt:lpwstr>
  </property>
  <property fmtid="{D5CDD505-2E9C-101B-9397-08002B2CF9AE}" pid="4" name="KSOTemplateDocerSaveRecord">
    <vt:lpwstr>eyJoZGlkIjoiYjE0MGFhM2JiMTI5YmQ0ZjVhODQzMzEwYjZkODA2NWIiLCJ1c2VySWQiOiI0MDA2NDAwMDEifQ==</vt:lpwstr>
  </property>
</Properties>
</file>