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417" w:rsidRDefault="00BC7417" w:rsidP="00EA3CB6">
      <w:pPr>
        <w:jc w:val="center"/>
      </w:pPr>
    </w:p>
    <w:p w:rsidR="00EA3CB6" w:rsidRDefault="00EA3CB6" w:rsidP="00EA3CB6">
      <w:pPr>
        <w:jc w:val="center"/>
      </w:pPr>
    </w:p>
    <w:p w:rsidR="00EA3CB6" w:rsidRDefault="00EA3CB6" w:rsidP="00EA3CB6">
      <w:pPr>
        <w:jc w:val="center"/>
      </w:pPr>
    </w:p>
    <w:p w:rsidR="00EA3CB6" w:rsidRDefault="00EA3CB6" w:rsidP="00EA3CB6">
      <w:pPr>
        <w:jc w:val="center"/>
      </w:pPr>
    </w:p>
    <w:p w:rsidR="00EA3CB6" w:rsidRDefault="00EA3CB6" w:rsidP="00EA3CB6">
      <w:pPr>
        <w:jc w:val="center"/>
      </w:pPr>
    </w:p>
    <w:p w:rsidR="00EA3CB6" w:rsidRDefault="00EA3CB6" w:rsidP="00EA3CB6">
      <w:pPr>
        <w:jc w:val="center"/>
      </w:pPr>
    </w:p>
    <w:p w:rsidR="00EA3CB6" w:rsidRDefault="00EA3CB6" w:rsidP="00EA3CB6">
      <w:pPr>
        <w:jc w:val="center"/>
      </w:pPr>
    </w:p>
    <w:p w:rsidR="00EA3CB6" w:rsidRDefault="00793BA4" w:rsidP="00EA3CB6">
      <w:pPr>
        <w:jc w:val="center"/>
        <w:rPr>
          <w:rFonts w:ascii="Times New Roman" w:hAnsi="Times New Roman" w:cs="Times New Roman"/>
          <w:b/>
          <w:sz w:val="24"/>
        </w:rPr>
      </w:pPr>
      <w:r>
        <w:rPr>
          <w:rFonts w:ascii="Times New Roman" w:hAnsi="Times New Roman" w:cs="Times New Roman"/>
          <w:b/>
          <w:sz w:val="24"/>
        </w:rPr>
        <w:t>Additional i</w:t>
      </w:r>
      <w:r w:rsidR="00EA3CB6" w:rsidRPr="00EA3CB6">
        <w:rPr>
          <w:rFonts w:ascii="Times New Roman" w:hAnsi="Times New Roman" w:cs="Times New Roman"/>
          <w:b/>
          <w:sz w:val="24"/>
        </w:rPr>
        <w:t>nformation</w:t>
      </w:r>
    </w:p>
    <w:p w:rsidR="00FF1A7D" w:rsidRDefault="001C7769" w:rsidP="00EA3CB6">
      <w:pPr>
        <w:jc w:val="center"/>
        <w:rPr>
          <w:rFonts w:ascii="Times New Roman" w:hAnsi="Times New Roman" w:cs="Times New Roman"/>
          <w:b/>
          <w:sz w:val="24"/>
        </w:rPr>
        <w:sectPr w:rsidR="00FF1A7D" w:rsidSect="00FF1A7D">
          <w:pgSz w:w="12240" w:h="15840"/>
          <w:pgMar w:top="1440" w:right="1440" w:bottom="1440" w:left="1440" w:header="708" w:footer="708" w:gutter="0"/>
          <w:cols w:space="708"/>
          <w:docGrid w:linePitch="360"/>
        </w:sectPr>
      </w:pPr>
      <w:r>
        <w:rPr>
          <w:rFonts w:ascii="Times New Roman" w:hAnsi="Times New Roman" w:cs="Times New Roman"/>
          <w:sz w:val="24"/>
        </w:rPr>
        <w:t xml:space="preserve">Phosphorus </w:t>
      </w:r>
      <w:proofErr w:type="spellStart"/>
      <w:r>
        <w:rPr>
          <w:rFonts w:ascii="Times New Roman" w:hAnsi="Times New Roman" w:cs="Times New Roman"/>
          <w:sz w:val="24"/>
        </w:rPr>
        <w:t>XANES</w:t>
      </w:r>
      <w:proofErr w:type="spellEnd"/>
      <w:r>
        <w:rPr>
          <w:rFonts w:ascii="Times New Roman" w:hAnsi="Times New Roman" w:cs="Times New Roman"/>
          <w:sz w:val="24"/>
        </w:rPr>
        <w:t xml:space="preserve"> standards, </w:t>
      </w:r>
      <w:r w:rsidR="006B6B2E">
        <w:rPr>
          <w:rFonts w:ascii="Times New Roman" w:hAnsi="Times New Roman" w:cs="Times New Roman"/>
          <w:sz w:val="24"/>
        </w:rPr>
        <w:t>and</w:t>
      </w:r>
      <w:r>
        <w:rPr>
          <w:rFonts w:ascii="Times New Roman" w:hAnsi="Times New Roman" w:cs="Times New Roman"/>
          <w:sz w:val="24"/>
        </w:rPr>
        <w:t xml:space="preserve"> X-ray Diffraction results</w:t>
      </w:r>
      <w:r w:rsidR="00EA3CB6">
        <w:rPr>
          <w:rFonts w:ascii="Times New Roman" w:hAnsi="Times New Roman" w:cs="Times New Roman"/>
          <w:b/>
          <w:sz w:val="24"/>
        </w:rPr>
        <w:br w:type="page"/>
      </w:r>
    </w:p>
    <w:p w:rsidR="003667CD" w:rsidRDefault="003667CD" w:rsidP="00F61194">
      <w:pPr>
        <w:spacing w:after="0"/>
        <w:rPr>
          <w:rFonts w:ascii="Times New Roman" w:hAnsi="Times New Roman" w:cs="Times New Roman"/>
          <w:b/>
          <w:sz w:val="24"/>
          <w:szCs w:val="24"/>
        </w:rPr>
      </w:pPr>
    </w:p>
    <w:p w:rsidR="003667CD" w:rsidRDefault="003667CD" w:rsidP="00F61194">
      <w:pPr>
        <w:spacing w:after="0"/>
        <w:rPr>
          <w:rFonts w:ascii="Times New Roman" w:hAnsi="Times New Roman" w:cs="Times New Roman"/>
          <w:b/>
          <w:sz w:val="24"/>
          <w:szCs w:val="24"/>
        </w:rPr>
      </w:pPr>
    </w:p>
    <w:p w:rsidR="003667CD" w:rsidRDefault="003667CD" w:rsidP="00F61194">
      <w:pPr>
        <w:spacing w:after="0"/>
        <w:rPr>
          <w:rFonts w:ascii="Times New Roman" w:hAnsi="Times New Roman" w:cs="Times New Roman"/>
          <w:b/>
          <w:sz w:val="24"/>
          <w:szCs w:val="24"/>
        </w:rPr>
      </w:pPr>
    </w:p>
    <w:p w:rsidR="003667CD" w:rsidRDefault="00903079" w:rsidP="003667CD">
      <w:pPr>
        <w:spacing w:after="0"/>
        <w:jc w:val="center"/>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782628" cy="625534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hosphorus_Standards.tif"/>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86535" cy="6260457"/>
                    </a:xfrm>
                    <a:prstGeom prst="rect">
                      <a:avLst/>
                    </a:prstGeom>
                  </pic:spPr>
                </pic:pic>
              </a:graphicData>
            </a:graphic>
          </wp:inline>
        </w:drawing>
      </w:r>
    </w:p>
    <w:p w:rsidR="003667CD" w:rsidRDefault="003667CD" w:rsidP="00F61194">
      <w:pPr>
        <w:spacing w:after="0"/>
        <w:rPr>
          <w:rFonts w:ascii="Times New Roman" w:hAnsi="Times New Roman" w:cs="Times New Roman"/>
          <w:b/>
          <w:sz w:val="24"/>
          <w:szCs w:val="24"/>
        </w:rPr>
      </w:pPr>
    </w:p>
    <w:p w:rsidR="003667CD" w:rsidRDefault="00BF56F1" w:rsidP="00F61194">
      <w:pPr>
        <w:spacing w:after="0"/>
        <w:rPr>
          <w:rFonts w:ascii="Times New Roman" w:hAnsi="Times New Roman" w:cs="Times New Roman"/>
          <w:b/>
          <w:sz w:val="24"/>
          <w:szCs w:val="24"/>
        </w:rPr>
      </w:pPr>
      <w:r>
        <w:rPr>
          <w:rFonts w:ascii="Times New Roman" w:hAnsi="Times New Roman" w:cs="Times New Roman"/>
          <w:b/>
          <w:sz w:val="24"/>
          <w:szCs w:val="24"/>
        </w:rPr>
        <w:t>Fig. S. 1</w:t>
      </w:r>
      <w:r w:rsidR="003667CD">
        <w:rPr>
          <w:rFonts w:ascii="Times New Roman" w:hAnsi="Times New Roman" w:cs="Times New Roman"/>
          <w:b/>
          <w:sz w:val="24"/>
          <w:szCs w:val="24"/>
        </w:rPr>
        <w:t xml:space="preserve">. </w:t>
      </w:r>
      <w:r w:rsidR="00254FDD">
        <w:rPr>
          <w:rFonts w:ascii="Times New Roman" w:hAnsi="Times New Roman" w:cs="Times New Roman"/>
          <w:b/>
          <w:sz w:val="24"/>
          <w:szCs w:val="24"/>
        </w:rPr>
        <w:t>Comprehensive library of p</w:t>
      </w:r>
      <w:r w:rsidR="00291AD7">
        <w:rPr>
          <w:rFonts w:ascii="Times New Roman" w:hAnsi="Times New Roman" w:cs="Times New Roman"/>
          <w:b/>
          <w:sz w:val="24"/>
        </w:rPr>
        <w:t>hosphorus XANES reference standards used dur</w:t>
      </w:r>
      <w:r w:rsidR="00254FDD">
        <w:rPr>
          <w:rFonts w:ascii="Times New Roman" w:hAnsi="Times New Roman" w:cs="Times New Roman"/>
          <w:b/>
          <w:sz w:val="24"/>
        </w:rPr>
        <w:t>ing linear combination fitting.</w:t>
      </w:r>
    </w:p>
    <w:p w:rsidR="00903079" w:rsidRDefault="00903079" w:rsidP="00F61194">
      <w:pPr>
        <w:spacing w:after="0"/>
        <w:rPr>
          <w:rFonts w:ascii="Times New Roman" w:hAnsi="Times New Roman" w:cs="Times New Roman"/>
          <w:b/>
          <w:sz w:val="24"/>
          <w:szCs w:val="24"/>
        </w:rPr>
        <w:sectPr w:rsidR="00903079">
          <w:pgSz w:w="12240" w:h="15840"/>
          <w:pgMar w:top="1440" w:right="1440" w:bottom="1440" w:left="1440" w:header="708" w:footer="708" w:gutter="0"/>
          <w:cols w:space="708"/>
          <w:docGrid w:linePitch="360"/>
        </w:sectPr>
      </w:pPr>
    </w:p>
    <w:p w:rsidR="00C025E5" w:rsidRDefault="00C025E5" w:rsidP="00F54003">
      <w:pPr>
        <w:spacing w:before="240" w:after="120"/>
        <w:rPr>
          <w:rFonts w:ascii="Times New Roman" w:hAnsi="Times New Roman" w:cs="Times New Roman"/>
          <w:b/>
          <w:sz w:val="24"/>
          <w:szCs w:val="24"/>
        </w:rPr>
      </w:pPr>
      <w:r>
        <w:rPr>
          <w:rFonts w:ascii="Times New Roman" w:hAnsi="Times New Roman" w:cs="Times New Roman"/>
          <w:b/>
          <w:sz w:val="24"/>
          <w:szCs w:val="24"/>
        </w:rPr>
        <w:lastRenderedPageBreak/>
        <w:t>Phosphorus XANES reference compounds</w:t>
      </w:r>
    </w:p>
    <w:p w:rsidR="00855298" w:rsidRPr="00855298" w:rsidRDefault="00C025E5" w:rsidP="00C025E5">
      <w:pPr>
        <w:spacing w:after="0" w:line="360" w:lineRule="auto"/>
        <w:rPr>
          <w:rFonts w:ascii="Times New Roman" w:hAnsi="Times New Roman" w:cs="Times New Roman"/>
          <w:sz w:val="24"/>
          <w:szCs w:val="24"/>
        </w:rPr>
      </w:pPr>
      <w:r>
        <w:rPr>
          <w:rFonts w:ascii="Times New Roman" w:hAnsi="Times New Roman" w:cs="Times New Roman"/>
          <w:sz w:val="24"/>
          <w:szCs w:val="24"/>
        </w:rPr>
        <w:tab/>
        <w:t>The adsorbed ortho-P standard was synthesized by reacting K</w:t>
      </w:r>
      <w:r>
        <w:rPr>
          <w:rFonts w:ascii="Times New Roman" w:hAnsi="Times New Roman" w:cs="Times New Roman"/>
          <w:sz w:val="24"/>
          <w:szCs w:val="24"/>
          <w:vertAlign w:val="subscript"/>
        </w:rPr>
        <w:t>2</w:t>
      </w:r>
      <w:r>
        <w:rPr>
          <w:rFonts w:ascii="Times New Roman" w:hAnsi="Times New Roman" w:cs="Times New Roman"/>
          <w:sz w:val="24"/>
          <w:szCs w:val="24"/>
        </w:rPr>
        <w:t>HPO</w:t>
      </w:r>
      <w:r>
        <w:rPr>
          <w:rFonts w:ascii="Times New Roman" w:hAnsi="Times New Roman" w:cs="Times New Roman"/>
          <w:sz w:val="24"/>
          <w:szCs w:val="24"/>
          <w:vertAlign w:val="subscript"/>
        </w:rPr>
        <w:t>4</w:t>
      </w:r>
      <w:r>
        <w:rPr>
          <w:rFonts w:ascii="Times New Roman" w:hAnsi="Times New Roman" w:cs="Times New Roman"/>
          <w:sz w:val="24"/>
          <w:szCs w:val="24"/>
        </w:rPr>
        <w:t xml:space="preserve"> with goethite for 48</w:t>
      </w:r>
      <w:r w:rsidR="007D6E4F">
        <w:rPr>
          <w:rFonts w:ascii="Times New Roman" w:hAnsi="Times New Roman" w:cs="Times New Roman"/>
          <w:sz w:val="24"/>
          <w:szCs w:val="24"/>
        </w:rPr>
        <w:t xml:space="preserve"> </w:t>
      </w:r>
      <w:r>
        <w:rPr>
          <w:rFonts w:ascii="Times New Roman" w:hAnsi="Times New Roman" w:cs="Times New Roman"/>
          <w:sz w:val="24"/>
          <w:szCs w:val="24"/>
        </w:rPr>
        <w:t>hrs under pH 6.5 conditions</w:t>
      </w:r>
      <w:r w:rsidR="00FF4833">
        <w:rPr>
          <w:rFonts w:ascii="Times New Roman" w:hAnsi="Times New Roman" w:cs="Times New Roman"/>
          <w:sz w:val="24"/>
          <w:szCs w:val="24"/>
        </w:rPr>
        <w:t xml:space="preserve"> in a batch reactor</w:t>
      </w:r>
      <w:r>
        <w:rPr>
          <w:rFonts w:ascii="Times New Roman" w:hAnsi="Times New Roman" w:cs="Times New Roman"/>
          <w:sz w:val="24"/>
          <w:szCs w:val="24"/>
        </w:rPr>
        <w:t>. The maximum loading, given 100% adsorption, was calculated to be 10000 mg P kg</w:t>
      </w:r>
      <w:r>
        <w:rPr>
          <w:rFonts w:ascii="Times New Roman" w:hAnsi="Times New Roman" w:cs="Times New Roman"/>
          <w:sz w:val="24"/>
          <w:szCs w:val="24"/>
          <w:vertAlign w:val="superscript"/>
        </w:rPr>
        <w:t>-1</w:t>
      </w:r>
      <w:r>
        <w:rPr>
          <w:rFonts w:ascii="Times New Roman" w:hAnsi="Times New Roman" w:cs="Times New Roman"/>
          <w:sz w:val="24"/>
          <w:szCs w:val="24"/>
        </w:rPr>
        <w:t xml:space="preserve"> of goethite</w:t>
      </w:r>
      <w:r w:rsidR="00891566">
        <w:rPr>
          <w:rFonts w:ascii="Times New Roman" w:hAnsi="Times New Roman" w:cs="Times New Roman"/>
          <w:sz w:val="24"/>
          <w:szCs w:val="24"/>
        </w:rPr>
        <w:t xml:space="preserve">. The goethite filtrate </w:t>
      </w:r>
      <w:r w:rsidR="00855298">
        <w:rPr>
          <w:rFonts w:ascii="Times New Roman" w:hAnsi="Times New Roman" w:cs="Times New Roman"/>
          <w:sz w:val="24"/>
          <w:szCs w:val="24"/>
        </w:rPr>
        <w:t>was triple washed with P-free background electrolyte to remove any entrained ortho-P</w:t>
      </w:r>
      <w:r w:rsidR="00FF4833">
        <w:rPr>
          <w:rFonts w:ascii="Times New Roman" w:hAnsi="Times New Roman" w:cs="Times New Roman"/>
          <w:sz w:val="24"/>
          <w:szCs w:val="24"/>
        </w:rPr>
        <w:t xml:space="preserve">. </w:t>
      </w:r>
      <w:r w:rsidR="00855298">
        <w:rPr>
          <w:rFonts w:ascii="Times New Roman" w:hAnsi="Times New Roman" w:cs="Times New Roman"/>
          <w:sz w:val="24"/>
          <w:szCs w:val="24"/>
        </w:rPr>
        <w:t>The adsorbed TPP reference standard was synthesized by reacting Na-TPP in</w:t>
      </w:r>
      <w:r w:rsidR="00AD7626">
        <w:rPr>
          <w:rFonts w:ascii="Times New Roman" w:hAnsi="Times New Roman" w:cs="Times New Roman"/>
          <w:sz w:val="24"/>
          <w:szCs w:val="24"/>
        </w:rPr>
        <w:t xml:space="preserve"> a</w:t>
      </w:r>
      <w:r w:rsidR="00855298">
        <w:rPr>
          <w:rFonts w:ascii="Times New Roman" w:hAnsi="Times New Roman" w:cs="Times New Roman"/>
          <w:sz w:val="24"/>
          <w:szCs w:val="24"/>
        </w:rPr>
        <w:t xml:space="preserve"> goethite suspension with a 0.01 M CaCl</w:t>
      </w:r>
      <w:r w:rsidR="00855298">
        <w:rPr>
          <w:rFonts w:ascii="Times New Roman" w:hAnsi="Times New Roman" w:cs="Times New Roman"/>
          <w:sz w:val="24"/>
          <w:szCs w:val="24"/>
          <w:vertAlign w:val="subscript"/>
        </w:rPr>
        <w:t>2</w:t>
      </w:r>
      <w:r w:rsidR="00855298">
        <w:rPr>
          <w:rFonts w:ascii="Times New Roman" w:hAnsi="Times New Roman" w:cs="Times New Roman"/>
          <w:sz w:val="24"/>
          <w:szCs w:val="24"/>
        </w:rPr>
        <w:t xml:space="preserve"> background electrolyte. The maximum loading, given 100% adsorption, was calculated to be 10000 mg P kg</w:t>
      </w:r>
      <w:r w:rsidR="00855298">
        <w:rPr>
          <w:rFonts w:ascii="Times New Roman" w:hAnsi="Times New Roman" w:cs="Times New Roman"/>
          <w:sz w:val="24"/>
          <w:szCs w:val="24"/>
          <w:vertAlign w:val="superscript"/>
        </w:rPr>
        <w:t>-1</w:t>
      </w:r>
      <w:r w:rsidR="00855298">
        <w:rPr>
          <w:rFonts w:ascii="Times New Roman" w:hAnsi="Times New Roman" w:cs="Times New Roman"/>
          <w:sz w:val="24"/>
          <w:szCs w:val="24"/>
        </w:rPr>
        <w:t xml:space="preserve"> goethite</w:t>
      </w:r>
      <w:r w:rsidR="00303C69">
        <w:rPr>
          <w:rFonts w:ascii="Times New Roman" w:hAnsi="Times New Roman" w:cs="Times New Roman"/>
          <w:sz w:val="24"/>
          <w:szCs w:val="24"/>
        </w:rPr>
        <w:t>,</w:t>
      </w:r>
      <w:r w:rsidR="003A577E">
        <w:rPr>
          <w:rFonts w:ascii="Times New Roman" w:hAnsi="Times New Roman" w:cs="Times New Roman"/>
          <w:sz w:val="24"/>
          <w:szCs w:val="24"/>
        </w:rPr>
        <w:t xml:space="preserve"> </w:t>
      </w:r>
      <w:r w:rsidR="00891566">
        <w:rPr>
          <w:rFonts w:ascii="Times New Roman" w:hAnsi="Times New Roman" w:cs="Times New Roman"/>
          <w:sz w:val="24"/>
          <w:szCs w:val="24"/>
        </w:rPr>
        <w:t>but</w:t>
      </w:r>
      <w:r w:rsidR="00855298">
        <w:rPr>
          <w:rFonts w:ascii="Times New Roman" w:hAnsi="Times New Roman" w:cs="Times New Roman"/>
          <w:sz w:val="24"/>
          <w:szCs w:val="24"/>
        </w:rPr>
        <w:t xml:space="preserve"> it is expected that less than 100% adsorption occurred.</w:t>
      </w:r>
      <w:r w:rsidR="00855298" w:rsidRPr="00855298">
        <w:rPr>
          <w:rFonts w:ascii="Times New Roman" w:hAnsi="Times New Roman" w:cs="Times New Roman"/>
          <w:sz w:val="24"/>
          <w:szCs w:val="24"/>
        </w:rPr>
        <w:t xml:space="preserve"> </w:t>
      </w:r>
      <w:r w:rsidR="00855298">
        <w:rPr>
          <w:rFonts w:ascii="Times New Roman" w:hAnsi="Times New Roman" w:cs="Times New Roman"/>
          <w:sz w:val="24"/>
          <w:szCs w:val="24"/>
        </w:rPr>
        <w:t xml:space="preserve">The suspension was then syringe filtered through a 0.45 µm filter, triple washed with P-free background electrolyte, and then freeze dried </w:t>
      </w:r>
      <w:r w:rsidR="00303C69">
        <w:rPr>
          <w:rFonts w:ascii="Times New Roman" w:hAnsi="Times New Roman" w:cs="Times New Roman"/>
          <w:sz w:val="24"/>
          <w:szCs w:val="24"/>
        </w:rPr>
        <w:t>for</w:t>
      </w:r>
      <w:r w:rsidR="00855298">
        <w:rPr>
          <w:rFonts w:ascii="Times New Roman" w:hAnsi="Times New Roman" w:cs="Times New Roman"/>
          <w:sz w:val="24"/>
          <w:szCs w:val="24"/>
        </w:rPr>
        <w:t xml:space="preserve"> XAS </w:t>
      </w:r>
      <w:r w:rsidR="00640346">
        <w:rPr>
          <w:rFonts w:ascii="Times New Roman" w:hAnsi="Times New Roman" w:cs="Times New Roman"/>
          <w:sz w:val="24"/>
          <w:szCs w:val="24"/>
        </w:rPr>
        <w:t xml:space="preserve">measurement. </w:t>
      </w:r>
      <w:r w:rsidR="00855298">
        <w:rPr>
          <w:rFonts w:ascii="Times New Roman" w:hAnsi="Times New Roman" w:cs="Times New Roman"/>
          <w:sz w:val="24"/>
          <w:szCs w:val="24"/>
        </w:rPr>
        <w:t xml:space="preserve">These </w:t>
      </w:r>
      <w:r w:rsidR="00640346">
        <w:rPr>
          <w:rFonts w:ascii="Times New Roman" w:hAnsi="Times New Roman" w:cs="Times New Roman"/>
          <w:sz w:val="24"/>
          <w:szCs w:val="24"/>
        </w:rPr>
        <w:t>P loadings</w:t>
      </w:r>
      <w:r w:rsidR="00855298">
        <w:rPr>
          <w:rFonts w:ascii="Times New Roman" w:hAnsi="Times New Roman" w:cs="Times New Roman"/>
          <w:sz w:val="24"/>
          <w:szCs w:val="24"/>
        </w:rPr>
        <w:t xml:space="preserve"> were chosen to coincide with potential</w:t>
      </w:r>
      <w:r w:rsidR="00303C69">
        <w:rPr>
          <w:rFonts w:ascii="Times New Roman" w:hAnsi="Times New Roman" w:cs="Times New Roman"/>
          <w:sz w:val="24"/>
          <w:szCs w:val="24"/>
        </w:rPr>
        <w:t>ly calculated</w:t>
      </w:r>
      <w:r w:rsidR="00855298">
        <w:rPr>
          <w:rFonts w:ascii="Times New Roman" w:hAnsi="Times New Roman" w:cs="Times New Roman"/>
          <w:sz w:val="24"/>
          <w:szCs w:val="24"/>
        </w:rPr>
        <w:t xml:space="preserve"> maximum soil</w:t>
      </w:r>
      <w:r w:rsidR="00303C69">
        <w:rPr>
          <w:rFonts w:ascii="Times New Roman" w:hAnsi="Times New Roman" w:cs="Times New Roman"/>
          <w:sz w:val="24"/>
          <w:szCs w:val="24"/>
        </w:rPr>
        <w:t xml:space="preserve"> P</w:t>
      </w:r>
      <w:r w:rsidR="00855298">
        <w:rPr>
          <w:rFonts w:ascii="Times New Roman" w:hAnsi="Times New Roman" w:cs="Times New Roman"/>
          <w:sz w:val="24"/>
          <w:szCs w:val="24"/>
        </w:rPr>
        <w:t xml:space="preserve"> concentrations, as well as to ensure high quality XANES spectra. </w:t>
      </w:r>
      <w:r w:rsidR="00C27997">
        <w:rPr>
          <w:rFonts w:ascii="Times New Roman" w:hAnsi="Times New Roman" w:cs="Times New Roman"/>
          <w:sz w:val="24"/>
          <w:szCs w:val="24"/>
        </w:rPr>
        <w:t>Phosphorus adsorbed on Al oxid</w:t>
      </w:r>
      <w:r w:rsidR="001D1BBC">
        <w:rPr>
          <w:rFonts w:ascii="Times New Roman" w:hAnsi="Times New Roman" w:cs="Times New Roman"/>
          <w:sz w:val="24"/>
          <w:szCs w:val="24"/>
        </w:rPr>
        <w:t xml:space="preserve">e mineral surfaces was not </w:t>
      </w:r>
      <w:r w:rsidR="00B211DA">
        <w:rPr>
          <w:rFonts w:ascii="Times New Roman" w:hAnsi="Times New Roman" w:cs="Times New Roman"/>
          <w:sz w:val="24"/>
          <w:szCs w:val="24"/>
        </w:rPr>
        <w:t>considered</w:t>
      </w:r>
      <w:r w:rsidR="001D1BBC">
        <w:rPr>
          <w:rFonts w:ascii="Times New Roman" w:hAnsi="Times New Roman" w:cs="Times New Roman"/>
          <w:sz w:val="24"/>
          <w:szCs w:val="24"/>
        </w:rPr>
        <w:t xml:space="preserve"> during LCF analysis due being nearly spectrally identical to adsorbed P on Fe oxide mineral surfaces and the inability to distinguish between the adsorbed phases with</w:t>
      </w:r>
      <w:r w:rsidR="00303C69">
        <w:rPr>
          <w:rFonts w:ascii="Times New Roman" w:hAnsi="Times New Roman" w:cs="Times New Roman"/>
          <w:sz w:val="24"/>
          <w:szCs w:val="24"/>
        </w:rPr>
        <w:t>in</w:t>
      </w:r>
      <w:r w:rsidR="001D1BBC">
        <w:rPr>
          <w:rFonts w:ascii="Times New Roman" w:hAnsi="Times New Roman" w:cs="Times New Roman"/>
          <w:sz w:val="24"/>
          <w:szCs w:val="24"/>
        </w:rPr>
        <w:t xml:space="preserve"> a soil matrix</w:t>
      </w:r>
      <w:r w:rsidR="00B211DA">
        <w:rPr>
          <w:rFonts w:ascii="Times New Roman" w:hAnsi="Times New Roman" w:cs="Times New Roman"/>
          <w:sz w:val="24"/>
          <w:szCs w:val="24"/>
        </w:rPr>
        <w:t xml:space="preserve"> </w:t>
      </w:r>
      <w:r w:rsidR="008A2145">
        <w:rPr>
          <w:rFonts w:ascii="Times New Roman" w:hAnsi="Times New Roman" w:cs="Times New Roman"/>
          <w:sz w:val="24"/>
          <w:szCs w:val="24"/>
        </w:rPr>
        <w:fldChar w:fldCharType="begin" w:fldLock="1"/>
      </w:r>
      <w:r w:rsidR="009E77CA">
        <w:rPr>
          <w:rFonts w:ascii="Times New Roman" w:hAnsi="Times New Roman" w:cs="Times New Roman"/>
          <w:sz w:val="24"/>
          <w:szCs w:val="24"/>
        </w:rPr>
        <w:instrText>ADDIN CSL_CITATION { "citationItems" : [ { "id" : "ITEM-1", "itemData" : { "DOI" : "10.2134/jeq2003.1809", "ISBN" : "1537-2537", "ISSN" : "0047-2425", "PMID" : "14535324", "abstract" : "Knowledge of phosphorus (P) species in P-rich soils is useful for assessing P mobility and potential transfer to ground water and surface waters. Soil P was studied using synchrotron X-ray absorption near-edge structure (XANES) spectroscopy (a nondestructive chemical-speciation technique) and sequential chemical fractionation. The objective was to determine the chemical speciation of P in long-term-fertilized, P-rich soils differing in pH, clay, and organic matter contents. Samples of three slightly acidic (pH 5.5-6.2) and two slightly alkaline (pH 7.4-7.6) soils were collected from A or B horizons in two distinct agrosystems in the province of Qu\u00e9bec, Canada. The soils contained between 800 and 2100 mg total P kg(-1). Distinct XANES features for Ca-phosphate mineral standards and for standards of adsorbed phosphate made it possible to differentiate these forms of P in the soil samples. The XANES results indicated that phosphate adsorbed on Fe- or Al-oxide minerals was present in all soils, with a higher proportion in acidic than in slightly alkaline samples. Calcium phosphate also occurred in all soils, regardless of pH. In agreement with chemical fractionation results, XANES data showed that Ca-phosphates were the dominant P forms in one acidic (pH 5.5) and in the two slightly alkaline (pH 7.4-7.6) soil samples. X-ray absorption near-edge structure spectroscopy directly identified certain forms of soil P, while chemical fractionation provided indirect supporting data and gave insights on additional forms of P such as organic pools that were not accounted for by the XANES analyses.", "author" : [ { "dropping-particle" : "", "family" : "Beauchemin", "given" : "Suzanne", "non-dropping-particle" : "", "parse-names" : false, "suffix" : "" }, { "dropping-particle" : "", "family" : "Hesterberg", "given" : "Dean", "non-dropping-particle" : "", "parse-names" : false, "suffix" : "" }, { "dropping-particle" : "", "family" : "Chou", "given" : "Jeff", "non-dropping-particle" : "", "parse-names" : false, "suffix" : "" }, { "dropping-particle" : "", "family" : "Beauchemin", "given" : "Mario", "non-dropping-particle" : "", "parse-names" : false, "suffix" : "" }, { "dropping-particle" : "", "family" : "Simard", "given" : "R\u00e9gis R", "non-dropping-particle" : "", "parse-names" : false, "suffix" : "" }, { "dropping-particle" : "", "family" : "Sayers", "given" : "Dale E", "non-dropping-particle" : "", "parse-names" : false, "suffix" : "" } ], "container-title" : "Journal of environmental quality", "id" : "ITEM-1", "issue" : "5", "issued" : { "date-parts" : [ [ "2003" ] ] }, "page" : "1809-1819", "title" : "Speciation of phosphorus in phosphorus-enriched agricultural soils using X-ray absorption near-edge structure spectroscopy and chemical fractionation.", "type" : "article-journal", "volume" : "32" }, "uris" : [ "http://www.mendeley.com/documents/?uuid=1dd5d586-e071-4945-a562-92d5f7ec4014" ] } ], "mendeley" : { "formattedCitation" : "(1)", "plainTextFormattedCitation" : "(1)", "previouslyFormattedCitation" : "(Beauchemin et al., 2003)" }, "properties" : { "noteIndex" : 0 }, "schema" : "https://github.com/citation-style-language/schema/raw/master/csl-citation.json" }</w:instrText>
      </w:r>
      <w:r w:rsidR="008A2145">
        <w:rPr>
          <w:rFonts w:ascii="Times New Roman" w:hAnsi="Times New Roman" w:cs="Times New Roman"/>
          <w:sz w:val="24"/>
          <w:szCs w:val="24"/>
        </w:rPr>
        <w:fldChar w:fldCharType="separate"/>
      </w:r>
      <w:r w:rsidR="009E77CA" w:rsidRPr="009E77CA">
        <w:rPr>
          <w:rFonts w:ascii="Times New Roman" w:hAnsi="Times New Roman" w:cs="Times New Roman"/>
          <w:noProof/>
          <w:sz w:val="24"/>
          <w:szCs w:val="24"/>
        </w:rPr>
        <w:t>(1)</w:t>
      </w:r>
      <w:r w:rsidR="008A2145">
        <w:rPr>
          <w:rFonts w:ascii="Times New Roman" w:hAnsi="Times New Roman" w:cs="Times New Roman"/>
          <w:sz w:val="24"/>
          <w:szCs w:val="24"/>
        </w:rPr>
        <w:fldChar w:fldCharType="end"/>
      </w:r>
      <w:r w:rsidR="001D1BBC">
        <w:rPr>
          <w:rFonts w:ascii="Times New Roman" w:hAnsi="Times New Roman" w:cs="Times New Roman"/>
          <w:sz w:val="24"/>
          <w:szCs w:val="24"/>
        </w:rPr>
        <w:t xml:space="preserve">. </w:t>
      </w:r>
      <w:r w:rsidR="00855298">
        <w:rPr>
          <w:rFonts w:ascii="Times New Roman" w:hAnsi="Times New Roman" w:cs="Times New Roman"/>
          <w:sz w:val="24"/>
          <w:szCs w:val="24"/>
        </w:rPr>
        <w:t xml:space="preserve"> </w:t>
      </w:r>
    </w:p>
    <w:p w:rsidR="003667CD" w:rsidRPr="00F54003" w:rsidRDefault="00935DC4" w:rsidP="00F54003">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The calcium phosphate mineral standards (hydroxyapatite, whitlockite, brushite, amorphous calcium phosphate, struvite, monetite, and newberyite) were synthesized by </w:t>
      </w:r>
      <w:proofErr w:type="spellStart"/>
      <w:r>
        <w:rPr>
          <w:rFonts w:ascii="Times New Roman" w:hAnsi="Times New Roman" w:cs="Times New Roman"/>
          <w:sz w:val="24"/>
          <w:szCs w:val="24"/>
        </w:rPr>
        <w:t>Hilger</w:t>
      </w:r>
      <w:proofErr w:type="spellEnd"/>
      <w:r>
        <w:rPr>
          <w:rFonts w:ascii="Times New Roman" w:hAnsi="Times New Roman" w:cs="Times New Roman"/>
          <w:sz w:val="24"/>
          <w:szCs w:val="24"/>
        </w:rPr>
        <w:t xml:space="preserve"> </w:t>
      </w:r>
      <w:r w:rsidR="00D85B35">
        <w:rPr>
          <w:rFonts w:ascii="Times New Roman" w:hAnsi="Times New Roman" w:cs="Times New Roman"/>
          <w:sz w:val="24"/>
          <w:szCs w:val="24"/>
        </w:rPr>
        <w:t>(2017)</w:t>
      </w:r>
      <w:r>
        <w:rPr>
          <w:rFonts w:ascii="Times New Roman" w:hAnsi="Times New Roman" w:cs="Times New Roman"/>
          <w:sz w:val="24"/>
          <w:szCs w:val="24"/>
        </w:rPr>
        <w:t>, please see for synthesis methods and mineral verification.</w:t>
      </w:r>
      <w:r w:rsidR="00802989">
        <w:rPr>
          <w:rFonts w:ascii="Times New Roman" w:hAnsi="Times New Roman" w:cs="Times New Roman"/>
          <w:sz w:val="24"/>
          <w:szCs w:val="24"/>
        </w:rPr>
        <w:t xml:space="preserve"> The remaining </w:t>
      </w:r>
      <w:r w:rsidR="009044DB">
        <w:rPr>
          <w:rFonts w:ascii="Times New Roman" w:hAnsi="Times New Roman" w:cs="Times New Roman"/>
          <w:sz w:val="24"/>
          <w:szCs w:val="24"/>
        </w:rPr>
        <w:t xml:space="preserve">mineral and organic P </w:t>
      </w:r>
      <w:r w:rsidR="00802989">
        <w:rPr>
          <w:rFonts w:ascii="Times New Roman" w:hAnsi="Times New Roman" w:cs="Times New Roman"/>
          <w:sz w:val="24"/>
          <w:szCs w:val="24"/>
        </w:rPr>
        <w:t>referenc</w:t>
      </w:r>
      <w:r w:rsidR="000B1DC3">
        <w:rPr>
          <w:rFonts w:ascii="Times New Roman" w:hAnsi="Times New Roman" w:cs="Times New Roman"/>
          <w:sz w:val="24"/>
          <w:szCs w:val="24"/>
        </w:rPr>
        <w:t xml:space="preserve">e compounds were purchased as concentrated reagent grade </w:t>
      </w:r>
      <w:r w:rsidR="003105EA">
        <w:rPr>
          <w:rFonts w:ascii="Times New Roman" w:hAnsi="Times New Roman" w:cs="Times New Roman"/>
          <w:sz w:val="24"/>
          <w:szCs w:val="24"/>
        </w:rPr>
        <w:t>compounds</w:t>
      </w:r>
      <w:r w:rsidR="009044DB">
        <w:rPr>
          <w:rFonts w:ascii="Times New Roman" w:hAnsi="Times New Roman" w:cs="Times New Roman"/>
          <w:sz w:val="24"/>
          <w:szCs w:val="24"/>
        </w:rPr>
        <w:t xml:space="preserve"> from Sigma-Aldrich and Fischer Scientific</w:t>
      </w:r>
      <w:r w:rsidR="000B1DC3">
        <w:rPr>
          <w:rFonts w:ascii="Times New Roman" w:hAnsi="Times New Roman" w:cs="Times New Roman"/>
          <w:sz w:val="24"/>
          <w:szCs w:val="24"/>
        </w:rPr>
        <w:t>.</w:t>
      </w:r>
      <w:r w:rsidR="003105EA">
        <w:rPr>
          <w:rFonts w:ascii="Times New Roman" w:hAnsi="Times New Roman" w:cs="Times New Roman"/>
          <w:sz w:val="24"/>
          <w:szCs w:val="24"/>
        </w:rPr>
        <w:t xml:space="preserve"> </w:t>
      </w:r>
      <w:r w:rsidR="009044DB">
        <w:rPr>
          <w:rFonts w:ascii="Times New Roman" w:hAnsi="Times New Roman" w:cs="Times New Roman"/>
          <w:sz w:val="24"/>
          <w:szCs w:val="24"/>
        </w:rPr>
        <w:t xml:space="preserve">The P mineral reagent grade standard compounds were verified via X-ray diffraction. </w:t>
      </w:r>
    </w:p>
    <w:p w:rsidR="00300822" w:rsidRDefault="000B1DC3" w:rsidP="00503563">
      <w:pPr>
        <w:spacing w:after="0" w:line="360" w:lineRule="auto"/>
        <w:rPr>
          <w:rFonts w:ascii="Times New Roman" w:hAnsi="Times New Roman" w:cs="Times New Roman"/>
          <w:sz w:val="24"/>
          <w:szCs w:val="24"/>
        </w:rPr>
        <w:sectPr w:rsidR="00300822" w:rsidSect="00300822">
          <w:pgSz w:w="12240" w:h="15840"/>
          <w:pgMar w:top="1440" w:right="1440" w:bottom="1440" w:left="1440" w:header="708" w:footer="708" w:gutter="0"/>
          <w:cols w:space="708"/>
          <w:docGrid w:linePitch="360"/>
        </w:sectPr>
      </w:pPr>
      <w:r>
        <w:rPr>
          <w:rFonts w:ascii="Times New Roman" w:hAnsi="Times New Roman" w:cs="Times New Roman"/>
          <w:sz w:val="24"/>
          <w:szCs w:val="24"/>
        </w:rPr>
        <w:tab/>
      </w:r>
      <w:r w:rsidR="00F54003">
        <w:rPr>
          <w:rFonts w:ascii="Times New Roman" w:hAnsi="Times New Roman" w:cs="Times New Roman"/>
          <w:sz w:val="24"/>
          <w:szCs w:val="24"/>
        </w:rPr>
        <w:t xml:space="preserve"> </w:t>
      </w:r>
    </w:p>
    <w:p w:rsidR="00FD0BEC" w:rsidRDefault="00754B5B" w:rsidP="00FD0BEC">
      <w:pPr>
        <w:jc w:val="center"/>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extent cx="5143500" cy="35448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S05_2012_XRD.tif"/>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78746" cy="3569179"/>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7"/>
        <w:gridCol w:w="758"/>
        <w:gridCol w:w="216"/>
        <w:gridCol w:w="475"/>
        <w:gridCol w:w="955"/>
        <w:gridCol w:w="756"/>
        <w:gridCol w:w="607"/>
        <w:gridCol w:w="1058"/>
        <w:gridCol w:w="1119"/>
      </w:tblGrid>
      <w:tr w:rsidR="00FD13A2" w:rsidRPr="00DE2F0E" w:rsidTr="00FD0BEC">
        <w:trPr>
          <w:jc w:val="center"/>
        </w:trPr>
        <w:tc>
          <w:tcPr>
            <w:tcW w:w="827" w:type="dxa"/>
            <w:tcBorders>
              <w:top w:val="single" w:sz="4" w:space="0" w:color="auto"/>
            </w:tcBorders>
          </w:tcPr>
          <w:p w:rsidR="00FD13A2" w:rsidRPr="0016335F" w:rsidRDefault="00FD13A2" w:rsidP="00C6124C">
            <w:pPr>
              <w:rPr>
                <w:rFonts w:ascii="Times New Roman" w:hAnsi="Times New Roman" w:cs="Times New Roman"/>
                <w:sz w:val="18"/>
              </w:rPr>
            </w:pPr>
            <w:r w:rsidRPr="0016335F">
              <w:rPr>
                <w:rFonts w:ascii="Times New Roman" w:hAnsi="Times New Roman" w:cs="Times New Roman"/>
                <w:sz w:val="18"/>
              </w:rPr>
              <w:t>Sample (Depth</w:t>
            </w:r>
            <w:r>
              <w:rPr>
                <w:rFonts w:ascii="Times New Roman" w:hAnsi="Times New Roman" w:cs="Times New Roman"/>
                <w:sz w:val="18"/>
              </w:rPr>
              <w:t xml:space="preserve"> </w:t>
            </w:r>
            <w:r w:rsidRPr="0016335F">
              <w:rPr>
                <w:rFonts w:ascii="Times New Roman" w:hAnsi="Times New Roman" w:cs="Times New Roman"/>
                <w:sz w:val="18"/>
              </w:rPr>
              <w:t>)</w:t>
            </w:r>
          </w:p>
        </w:tc>
        <w:tc>
          <w:tcPr>
            <w:tcW w:w="758" w:type="dxa"/>
            <w:tcBorders>
              <w:top w:val="single" w:sz="4" w:space="0" w:color="auto"/>
              <w:bottom w:val="single" w:sz="4" w:space="0" w:color="auto"/>
            </w:tcBorders>
          </w:tcPr>
          <w:p w:rsidR="00FD13A2" w:rsidRPr="0016335F" w:rsidRDefault="00FD13A2" w:rsidP="00C6124C">
            <w:pPr>
              <w:rPr>
                <w:rFonts w:ascii="Times New Roman" w:hAnsi="Times New Roman" w:cs="Times New Roman"/>
                <w:sz w:val="18"/>
              </w:rPr>
            </w:pPr>
            <w:r w:rsidRPr="0016335F">
              <w:rPr>
                <w:rFonts w:ascii="Times New Roman" w:hAnsi="Times New Roman" w:cs="Times New Roman"/>
                <w:sz w:val="18"/>
              </w:rPr>
              <w:t>Quartz</w:t>
            </w:r>
          </w:p>
        </w:tc>
        <w:tc>
          <w:tcPr>
            <w:tcW w:w="691" w:type="dxa"/>
            <w:gridSpan w:val="2"/>
            <w:tcBorders>
              <w:top w:val="single" w:sz="4" w:space="0" w:color="auto"/>
              <w:bottom w:val="single" w:sz="4" w:space="0" w:color="auto"/>
            </w:tcBorders>
          </w:tcPr>
          <w:p w:rsidR="00FD13A2" w:rsidRPr="0016335F" w:rsidRDefault="00FD13A2" w:rsidP="00FD0BEC">
            <w:pPr>
              <w:jc w:val="center"/>
              <w:rPr>
                <w:rFonts w:ascii="Times New Roman" w:hAnsi="Times New Roman" w:cs="Times New Roman"/>
                <w:sz w:val="18"/>
              </w:rPr>
            </w:pPr>
            <w:r w:rsidRPr="0016335F">
              <w:rPr>
                <w:rFonts w:ascii="Times New Roman" w:hAnsi="Times New Roman" w:cs="Times New Roman"/>
                <w:sz w:val="18"/>
              </w:rPr>
              <w:t>Albite</w:t>
            </w:r>
          </w:p>
        </w:tc>
        <w:tc>
          <w:tcPr>
            <w:tcW w:w="955" w:type="dxa"/>
            <w:tcBorders>
              <w:top w:val="single" w:sz="4" w:space="0" w:color="auto"/>
              <w:bottom w:val="single" w:sz="4" w:space="0" w:color="auto"/>
            </w:tcBorders>
          </w:tcPr>
          <w:p w:rsidR="00FD13A2" w:rsidRPr="00FD13A2" w:rsidRDefault="00FD13A2" w:rsidP="00C6124C">
            <w:pPr>
              <w:rPr>
                <w:rFonts w:ascii="Times New Roman" w:hAnsi="Times New Roman" w:cs="Times New Roman"/>
                <w:b/>
                <w:sz w:val="18"/>
              </w:rPr>
            </w:pPr>
            <w:r w:rsidRPr="00FD13A2">
              <w:rPr>
                <w:rFonts w:ascii="Times New Roman" w:hAnsi="Times New Roman" w:cs="Times New Roman"/>
                <w:b/>
                <w:sz w:val="18"/>
              </w:rPr>
              <w:t>Dolomite</w:t>
            </w:r>
          </w:p>
        </w:tc>
        <w:tc>
          <w:tcPr>
            <w:tcW w:w="752" w:type="dxa"/>
            <w:tcBorders>
              <w:top w:val="single" w:sz="4" w:space="0" w:color="auto"/>
              <w:bottom w:val="single" w:sz="4" w:space="0" w:color="auto"/>
            </w:tcBorders>
          </w:tcPr>
          <w:p w:rsidR="00FD13A2" w:rsidRPr="00FD13A2" w:rsidRDefault="00FD13A2" w:rsidP="00C6124C">
            <w:pPr>
              <w:rPr>
                <w:rFonts w:ascii="Times New Roman" w:hAnsi="Times New Roman" w:cs="Times New Roman"/>
                <w:b/>
                <w:sz w:val="18"/>
              </w:rPr>
            </w:pPr>
            <w:r w:rsidRPr="00FD13A2">
              <w:rPr>
                <w:rFonts w:ascii="Times New Roman" w:hAnsi="Times New Roman" w:cs="Times New Roman"/>
                <w:b/>
                <w:sz w:val="18"/>
              </w:rPr>
              <w:t>Calcite</w:t>
            </w:r>
          </w:p>
        </w:tc>
        <w:tc>
          <w:tcPr>
            <w:tcW w:w="607" w:type="dxa"/>
            <w:tcBorders>
              <w:top w:val="single" w:sz="4" w:space="0" w:color="auto"/>
              <w:bottom w:val="single" w:sz="4" w:space="0" w:color="auto"/>
            </w:tcBorders>
          </w:tcPr>
          <w:p w:rsidR="00FD13A2" w:rsidRPr="0016335F" w:rsidRDefault="00FD13A2" w:rsidP="00C6124C">
            <w:pPr>
              <w:rPr>
                <w:rFonts w:ascii="Times New Roman" w:hAnsi="Times New Roman" w:cs="Times New Roman"/>
                <w:sz w:val="18"/>
              </w:rPr>
            </w:pPr>
            <w:r w:rsidRPr="0016335F">
              <w:rPr>
                <w:rFonts w:ascii="Times New Roman" w:hAnsi="Times New Roman" w:cs="Times New Roman"/>
                <w:sz w:val="18"/>
              </w:rPr>
              <w:t>Mica</w:t>
            </w:r>
          </w:p>
        </w:tc>
        <w:tc>
          <w:tcPr>
            <w:tcW w:w="1058" w:type="dxa"/>
            <w:tcBorders>
              <w:top w:val="single" w:sz="4" w:space="0" w:color="auto"/>
              <w:bottom w:val="single" w:sz="4" w:space="0" w:color="auto"/>
            </w:tcBorders>
          </w:tcPr>
          <w:p w:rsidR="00FD13A2" w:rsidRPr="0016335F" w:rsidRDefault="00FD13A2" w:rsidP="00C6124C">
            <w:pPr>
              <w:rPr>
                <w:rFonts w:ascii="Times New Roman" w:hAnsi="Times New Roman" w:cs="Times New Roman"/>
                <w:sz w:val="18"/>
              </w:rPr>
            </w:pPr>
            <w:r w:rsidRPr="0016335F">
              <w:rPr>
                <w:rFonts w:ascii="Times New Roman" w:hAnsi="Times New Roman" w:cs="Times New Roman"/>
                <w:sz w:val="18"/>
              </w:rPr>
              <w:t>Microcline</w:t>
            </w:r>
          </w:p>
        </w:tc>
        <w:tc>
          <w:tcPr>
            <w:tcW w:w="1119" w:type="dxa"/>
            <w:tcBorders>
              <w:top w:val="single" w:sz="4" w:space="0" w:color="auto"/>
              <w:bottom w:val="single" w:sz="4" w:space="0" w:color="auto"/>
            </w:tcBorders>
          </w:tcPr>
          <w:p w:rsidR="00FD13A2" w:rsidRPr="0016335F" w:rsidRDefault="00FD13A2" w:rsidP="00C6124C">
            <w:pPr>
              <w:rPr>
                <w:rFonts w:ascii="Times New Roman" w:hAnsi="Times New Roman" w:cs="Times New Roman"/>
                <w:sz w:val="18"/>
              </w:rPr>
            </w:pPr>
            <w:r w:rsidRPr="0016335F">
              <w:rPr>
                <w:rFonts w:ascii="Times New Roman" w:hAnsi="Times New Roman" w:cs="Times New Roman"/>
                <w:sz w:val="18"/>
              </w:rPr>
              <w:t>Clinochlore</w:t>
            </w:r>
          </w:p>
        </w:tc>
      </w:tr>
      <w:tr w:rsidR="00FD0BEC" w:rsidRPr="00DE2F0E" w:rsidTr="00FD13A2">
        <w:trPr>
          <w:jc w:val="center"/>
        </w:trPr>
        <w:tc>
          <w:tcPr>
            <w:tcW w:w="827" w:type="dxa"/>
          </w:tcPr>
          <w:p w:rsidR="00FD0BEC" w:rsidRPr="0016335F" w:rsidRDefault="00FD0BEC" w:rsidP="00C6124C">
            <w:pPr>
              <w:rPr>
                <w:rFonts w:ascii="Times New Roman" w:hAnsi="Times New Roman" w:cs="Times New Roman"/>
                <w:sz w:val="18"/>
              </w:rPr>
            </w:pPr>
          </w:p>
        </w:tc>
        <w:tc>
          <w:tcPr>
            <w:tcW w:w="974" w:type="dxa"/>
            <w:gridSpan w:val="2"/>
            <w:tcBorders>
              <w:top w:val="single" w:sz="4" w:space="0" w:color="auto"/>
            </w:tcBorders>
          </w:tcPr>
          <w:p w:rsidR="00FD0BEC" w:rsidRPr="0016335F" w:rsidRDefault="00FD0BEC" w:rsidP="00C6124C">
            <w:pPr>
              <w:jc w:val="center"/>
              <w:rPr>
                <w:rFonts w:ascii="Times New Roman" w:hAnsi="Times New Roman" w:cs="Times New Roman"/>
                <w:sz w:val="18"/>
              </w:rPr>
            </w:pPr>
          </w:p>
        </w:tc>
        <w:tc>
          <w:tcPr>
            <w:tcW w:w="4966" w:type="dxa"/>
            <w:gridSpan w:val="6"/>
            <w:tcBorders>
              <w:top w:val="single" w:sz="4" w:space="0" w:color="auto"/>
              <w:bottom w:val="single" w:sz="4" w:space="0" w:color="auto"/>
            </w:tcBorders>
          </w:tcPr>
          <w:p w:rsidR="00FD0BEC" w:rsidRPr="0016335F" w:rsidRDefault="00FD0BEC" w:rsidP="00C6124C">
            <w:pPr>
              <w:jc w:val="center"/>
              <w:rPr>
                <w:rFonts w:ascii="Times New Roman" w:hAnsi="Times New Roman" w:cs="Times New Roman"/>
                <w:sz w:val="18"/>
              </w:rPr>
            </w:pPr>
            <w:r w:rsidRPr="0016335F">
              <w:rPr>
                <w:rFonts w:ascii="Times New Roman" w:hAnsi="Times New Roman" w:cs="Times New Roman"/>
                <w:sz w:val="18"/>
              </w:rPr>
              <w:t>Relative Abundance (Wt. %)</w:t>
            </w:r>
          </w:p>
        </w:tc>
      </w:tr>
      <w:tr w:rsidR="00FD13A2" w:rsidRPr="00DE2F0E" w:rsidTr="00957B6B">
        <w:trPr>
          <w:jc w:val="center"/>
        </w:trPr>
        <w:tc>
          <w:tcPr>
            <w:tcW w:w="827" w:type="dxa"/>
            <w:tcBorders>
              <w:top w:val="single" w:sz="4" w:space="0" w:color="auto"/>
            </w:tcBorders>
          </w:tcPr>
          <w:p w:rsidR="00FD13A2" w:rsidRPr="0016335F" w:rsidRDefault="00FD13A2" w:rsidP="00C6124C">
            <w:pPr>
              <w:rPr>
                <w:rFonts w:ascii="Times New Roman" w:hAnsi="Times New Roman" w:cs="Times New Roman"/>
                <w:sz w:val="18"/>
              </w:rPr>
            </w:pPr>
            <w:r>
              <w:rPr>
                <w:rFonts w:ascii="Times New Roman" w:hAnsi="Times New Roman" w:cs="Times New Roman"/>
                <w:sz w:val="18"/>
              </w:rPr>
              <w:t>1.82m</w:t>
            </w:r>
          </w:p>
        </w:tc>
        <w:tc>
          <w:tcPr>
            <w:tcW w:w="758" w:type="dxa"/>
            <w:tcBorders>
              <w:top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61</w:t>
            </w:r>
          </w:p>
        </w:tc>
        <w:tc>
          <w:tcPr>
            <w:tcW w:w="691" w:type="dxa"/>
            <w:gridSpan w:val="2"/>
            <w:tcBorders>
              <w:top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11</w:t>
            </w:r>
          </w:p>
        </w:tc>
        <w:tc>
          <w:tcPr>
            <w:tcW w:w="955" w:type="dxa"/>
            <w:tcBorders>
              <w:top w:val="single" w:sz="4" w:space="0" w:color="auto"/>
            </w:tcBorders>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5</w:t>
            </w:r>
          </w:p>
        </w:tc>
        <w:tc>
          <w:tcPr>
            <w:tcW w:w="752" w:type="dxa"/>
            <w:tcBorders>
              <w:top w:val="single" w:sz="4" w:space="0" w:color="auto"/>
            </w:tcBorders>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2</w:t>
            </w:r>
          </w:p>
        </w:tc>
        <w:tc>
          <w:tcPr>
            <w:tcW w:w="607" w:type="dxa"/>
            <w:tcBorders>
              <w:top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6</w:t>
            </w:r>
          </w:p>
        </w:tc>
        <w:tc>
          <w:tcPr>
            <w:tcW w:w="1058" w:type="dxa"/>
            <w:tcBorders>
              <w:top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8</w:t>
            </w:r>
          </w:p>
        </w:tc>
        <w:tc>
          <w:tcPr>
            <w:tcW w:w="1119" w:type="dxa"/>
            <w:tcBorders>
              <w:top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4</w:t>
            </w:r>
          </w:p>
        </w:tc>
      </w:tr>
      <w:tr w:rsidR="00FD13A2" w:rsidRPr="00DE2F0E" w:rsidTr="00957B6B">
        <w:trPr>
          <w:jc w:val="center"/>
        </w:trPr>
        <w:tc>
          <w:tcPr>
            <w:tcW w:w="827" w:type="dxa"/>
          </w:tcPr>
          <w:p w:rsidR="00FD13A2" w:rsidRPr="0016335F" w:rsidRDefault="00FD13A2" w:rsidP="00C6124C">
            <w:pPr>
              <w:rPr>
                <w:rFonts w:ascii="Times New Roman" w:hAnsi="Times New Roman" w:cs="Times New Roman"/>
                <w:sz w:val="18"/>
              </w:rPr>
            </w:pPr>
            <w:r>
              <w:rPr>
                <w:rFonts w:ascii="Times New Roman" w:hAnsi="Times New Roman" w:cs="Times New Roman"/>
                <w:sz w:val="18"/>
              </w:rPr>
              <w:t>2.43m</w:t>
            </w:r>
          </w:p>
        </w:tc>
        <w:tc>
          <w:tcPr>
            <w:tcW w:w="758"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40</w:t>
            </w:r>
          </w:p>
        </w:tc>
        <w:tc>
          <w:tcPr>
            <w:tcW w:w="691" w:type="dxa"/>
            <w:gridSpan w:val="2"/>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11</w:t>
            </w:r>
          </w:p>
        </w:tc>
        <w:tc>
          <w:tcPr>
            <w:tcW w:w="955" w:type="dxa"/>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4</w:t>
            </w:r>
          </w:p>
        </w:tc>
        <w:tc>
          <w:tcPr>
            <w:tcW w:w="752" w:type="dxa"/>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1</w:t>
            </w:r>
          </w:p>
        </w:tc>
        <w:tc>
          <w:tcPr>
            <w:tcW w:w="607"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33</w:t>
            </w:r>
          </w:p>
        </w:tc>
        <w:tc>
          <w:tcPr>
            <w:tcW w:w="1058"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4</w:t>
            </w:r>
          </w:p>
        </w:tc>
        <w:tc>
          <w:tcPr>
            <w:tcW w:w="1119"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5</w:t>
            </w:r>
          </w:p>
        </w:tc>
      </w:tr>
      <w:tr w:rsidR="00FD13A2" w:rsidRPr="00DE2F0E" w:rsidTr="00957B6B">
        <w:trPr>
          <w:jc w:val="center"/>
        </w:trPr>
        <w:tc>
          <w:tcPr>
            <w:tcW w:w="827" w:type="dxa"/>
          </w:tcPr>
          <w:p w:rsidR="00FD13A2" w:rsidRPr="0016335F" w:rsidRDefault="00FD13A2" w:rsidP="00C6124C">
            <w:pPr>
              <w:rPr>
                <w:rFonts w:ascii="Times New Roman" w:hAnsi="Times New Roman" w:cs="Times New Roman"/>
                <w:sz w:val="18"/>
              </w:rPr>
            </w:pPr>
            <w:r>
              <w:rPr>
                <w:rFonts w:ascii="Times New Roman" w:hAnsi="Times New Roman" w:cs="Times New Roman"/>
                <w:sz w:val="18"/>
              </w:rPr>
              <w:t>3.04m</w:t>
            </w:r>
          </w:p>
        </w:tc>
        <w:tc>
          <w:tcPr>
            <w:tcW w:w="758"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50</w:t>
            </w:r>
          </w:p>
        </w:tc>
        <w:tc>
          <w:tcPr>
            <w:tcW w:w="691" w:type="dxa"/>
            <w:gridSpan w:val="2"/>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21</w:t>
            </w:r>
          </w:p>
        </w:tc>
        <w:tc>
          <w:tcPr>
            <w:tcW w:w="955" w:type="dxa"/>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6</w:t>
            </w:r>
          </w:p>
        </w:tc>
        <w:tc>
          <w:tcPr>
            <w:tcW w:w="752" w:type="dxa"/>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2</w:t>
            </w:r>
          </w:p>
        </w:tc>
        <w:tc>
          <w:tcPr>
            <w:tcW w:w="607"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7</w:t>
            </w:r>
          </w:p>
        </w:tc>
        <w:tc>
          <w:tcPr>
            <w:tcW w:w="1058"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8</w:t>
            </w:r>
          </w:p>
        </w:tc>
        <w:tc>
          <w:tcPr>
            <w:tcW w:w="1119" w:type="dxa"/>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3</w:t>
            </w:r>
          </w:p>
        </w:tc>
      </w:tr>
      <w:tr w:rsidR="00FD13A2" w:rsidRPr="00DE2F0E" w:rsidTr="00957B6B">
        <w:trPr>
          <w:jc w:val="center"/>
        </w:trPr>
        <w:tc>
          <w:tcPr>
            <w:tcW w:w="827" w:type="dxa"/>
            <w:tcBorders>
              <w:bottom w:val="single" w:sz="4" w:space="0" w:color="auto"/>
            </w:tcBorders>
          </w:tcPr>
          <w:p w:rsidR="00FD13A2" w:rsidRPr="0016335F" w:rsidRDefault="00FD13A2" w:rsidP="00C6124C">
            <w:pPr>
              <w:rPr>
                <w:rFonts w:ascii="Times New Roman" w:hAnsi="Times New Roman" w:cs="Times New Roman"/>
                <w:sz w:val="18"/>
              </w:rPr>
            </w:pPr>
            <w:r>
              <w:rPr>
                <w:rFonts w:ascii="Times New Roman" w:hAnsi="Times New Roman" w:cs="Times New Roman"/>
                <w:sz w:val="18"/>
              </w:rPr>
              <w:t>3.66m</w:t>
            </w:r>
          </w:p>
        </w:tc>
        <w:tc>
          <w:tcPr>
            <w:tcW w:w="758" w:type="dxa"/>
            <w:tcBorders>
              <w:bottom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71</w:t>
            </w:r>
          </w:p>
        </w:tc>
        <w:tc>
          <w:tcPr>
            <w:tcW w:w="691" w:type="dxa"/>
            <w:gridSpan w:val="2"/>
            <w:tcBorders>
              <w:bottom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12</w:t>
            </w:r>
          </w:p>
        </w:tc>
        <w:tc>
          <w:tcPr>
            <w:tcW w:w="955" w:type="dxa"/>
            <w:tcBorders>
              <w:bottom w:val="single" w:sz="4" w:space="0" w:color="auto"/>
            </w:tcBorders>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1</w:t>
            </w:r>
          </w:p>
        </w:tc>
        <w:tc>
          <w:tcPr>
            <w:tcW w:w="752" w:type="dxa"/>
            <w:tcBorders>
              <w:bottom w:val="single" w:sz="4" w:space="0" w:color="auto"/>
            </w:tcBorders>
          </w:tcPr>
          <w:p w:rsidR="00FD13A2" w:rsidRPr="00FD13A2" w:rsidRDefault="00FD13A2" w:rsidP="00C6124C">
            <w:pPr>
              <w:jc w:val="center"/>
              <w:rPr>
                <w:rFonts w:ascii="Times New Roman" w:hAnsi="Times New Roman" w:cs="Times New Roman"/>
                <w:b/>
                <w:sz w:val="18"/>
              </w:rPr>
            </w:pPr>
            <w:r w:rsidRPr="00FD13A2">
              <w:rPr>
                <w:rFonts w:ascii="Times New Roman" w:hAnsi="Times New Roman" w:cs="Times New Roman"/>
                <w:b/>
                <w:sz w:val="18"/>
              </w:rPr>
              <w:t>0.2</w:t>
            </w:r>
          </w:p>
        </w:tc>
        <w:tc>
          <w:tcPr>
            <w:tcW w:w="607" w:type="dxa"/>
            <w:tcBorders>
              <w:bottom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3</w:t>
            </w:r>
          </w:p>
        </w:tc>
        <w:tc>
          <w:tcPr>
            <w:tcW w:w="1058" w:type="dxa"/>
            <w:tcBorders>
              <w:bottom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7</w:t>
            </w:r>
          </w:p>
        </w:tc>
        <w:tc>
          <w:tcPr>
            <w:tcW w:w="1119" w:type="dxa"/>
            <w:tcBorders>
              <w:bottom w:val="single" w:sz="4" w:space="0" w:color="auto"/>
            </w:tcBorders>
          </w:tcPr>
          <w:p w:rsidR="00FD13A2" w:rsidRPr="0016335F" w:rsidRDefault="00FD13A2" w:rsidP="00C6124C">
            <w:pPr>
              <w:jc w:val="center"/>
              <w:rPr>
                <w:rFonts w:ascii="Times New Roman" w:hAnsi="Times New Roman" w:cs="Times New Roman"/>
                <w:sz w:val="18"/>
              </w:rPr>
            </w:pPr>
            <w:r w:rsidRPr="0016335F">
              <w:rPr>
                <w:rFonts w:ascii="Times New Roman" w:hAnsi="Times New Roman" w:cs="Times New Roman"/>
                <w:sz w:val="18"/>
              </w:rPr>
              <w:t>1</w:t>
            </w:r>
          </w:p>
        </w:tc>
      </w:tr>
    </w:tbl>
    <w:p w:rsidR="00FD0BEC" w:rsidRDefault="00FD0BEC" w:rsidP="00FD0BEC">
      <w:pPr>
        <w:rPr>
          <w:rFonts w:ascii="Times New Roman" w:hAnsi="Times New Roman" w:cs="Times New Roman"/>
          <w:b/>
          <w:sz w:val="24"/>
          <w:szCs w:val="24"/>
        </w:rPr>
      </w:pPr>
    </w:p>
    <w:p w:rsidR="00FD0BEC" w:rsidRDefault="00FD0BEC" w:rsidP="00FD0BEC">
      <w:pPr>
        <w:rPr>
          <w:rFonts w:ascii="Times New Roman" w:hAnsi="Times New Roman" w:cs="Times New Roman"/>
          <w:sz w:val="24"/>
          <w:szCs w:val="24"/>
        </w:rPr>
      </w:pPr>
      <w:r>
        <w:rPr>
          <w:rFonts w:ascii="Times New Roman" w:hAnsi="Times New Roman" w:cs="Times New Roman"/>
          <w:b/>
          <w:sz w:val="24"/>
          <w:szCs w:val="24"/>
        </w:rPr>
        <w:t xml:space="preserve">Fig. </w:t>
      </w:r>
      <w:r w:rsidR="00E848DE">
        <w:rPr>
          <w:rFonts w:ascii="Times New Roman" w:hAnsi="Times New Roman" w:cs="Times New Roman"/>
          <w:b/>
          <w:sz w:val="24"/>
          <w:szCs w:val="24"/>
        </w:rPr>
        <w:t>S. 2</w:t>
      </w:r>
      <w:r>
        <w:rPr>
          <w:rFonts w:ascii="Times New Roman" w:hAnsi="Times New Roman" w:cs="Times New Roman"/>
          <w:b/>
          <w:sz w:val="24"/>
          <w:szCs w:val="24"/>
        </w:rPr>
        <w:t xml:space="preserve">. X-ray diffraction of </w:t>
      </w:r>
      <w:r w:rsidR="00CD2443">
        <w:rPr>
          <w:rFonts w:ascii="Times New Roman" w:hAnsi="Times New Roman" w:cs="Times New Roman"/>
          <w:b/>
          <w:sz w:val="24"/>
          <w:szCs w:val="24"/>
        </w:rPr>
        <w:t>the</w:t>
      </w:r>
      <w:r>
        <w:rPr>
          <w:rFonts w:ascii="Times New Roman" w:hAnsi="Times New Roman" w:cs="Times New Roman"/>
          <w:b/>
          <w:sz w:val="24"/>
          <w:szCs w:val="24"/>
        </w:rPr>
        <w:t xml:space="preserve"> </w:t>
      </w:r>
      <w:r w:rsidR="00247DF4">
        <w:rPr>
          <w:rFonts w:ascii="Times New Roman" w:hAnsi="Times New Roman" w:cs="Times New Roman"/>
          <w:b/>
          <w:sz w:val="24"/>
          <w:szCs w:val="24"/>
        </w:rPr>
        <w:t>vertical gradient</w:t>
      </w:r>
      <w:r>
        <w:rPr>
          <w:rFonts w:ascii="Times New Roman" w:hAnsi="Times New Roman" w:cs="Times New Roman"/>
          <w:b/>
          <w:sz w:val="24"/>
          <w:szCs w:val="24"/>
        </w:rPr>
        <w:t xml:space="preserve"> borehole</w:t>
      </w:r>
      <w:r w:rsidR="00247DF4">
        <w:rPr>
          <w:rFonts w:ascii="Times New Roman" w:hAnsi="Times New Roman" w:cs="Times New Roman"/>
          <w:b/>
          <w:sz w:val="24"/>
          <w:szCs w:val="24"/>
        </w:rPr>
        <w:t xml:space="preserve"> (US05)</w:t>
      </w:r>
      <w:r>
        <w:rPr>
          <w:rFonts w:ascii="Times New Roman" w:hAnsi="Times New Roman" w:cs="Times New Roman"/>
          <w:b/>
          <w:sz w:val="24"/>
          <w:szCs w:val="24"/>
        </w:rPr>
        <w:t xml:space="preserve"> located directly adjacent to the amendment injection line. Dashed lines indicate the major carbonate phase’s calcite (C) and dolomite (D) (see Supplemental Information Table S.1 for mineral phases and Rietveld refinement).</w:t>
      </w:r>
    </w:p>
    <w:p w:rsidR="006F1B45" w:rsidRPr="001517D7" w:rsidRDefault="00F61194" w:rsidP="001517D7">
      <w:pPr>
        <w:spacing w:after="0"/>
        <w:rPr>
          <w:rFonts w:ascii="Times New Roman" w:hAnsi="Times New Roman" w:cs="Times New Roman"/>
          <w:sz w:val="24"/>
          <w:szCs w:val="24"/>
        </w:rPr>
        <w:sectPr w:rsidR="006F1B45" w:rsidRPr="001517D7" w:rsidSect="00FD0BEC">
          <w:pgSz w:w="15840" w:h="12240" w:orient="landscape"/>
          <w:pgMar w:top="1440" w:right="1440" w:bottom="1440" w:left="1440" w:header="708" w:footer="708" w:gutter="0"/>
          <w:cols w:space="708"/>
          <w:docGrid w:linePitch="360"/>
        </w:sectPr>
      </w:pPr>
      <w:r w:rsidRPr="00433A14">
        <w:rPr>
          <w:rFonts w:ascii="Times New Roman" w:hAnsi="Times New Roman" w:cs="Times New Roman"/>
          <w:b/>
          <w:sz w:val="24"/>
          <w:szCs w:val="24"/>
        </w:rPr>
        <w:t xml:space="preserve">Table </w:t>
      </w:r>
      <w:r w:rsidR="00B017E1">
        <w:rPr>
          <w:rFonts w:ascii="Times New Roman" w:hAnsi="Times New Roman" w:cs="Times New Roman"/>
          <w:b/>
          <w:sz w:val="24"/>
          <w:szCs w:val="24"/>
        </w:rPr>
        <w:t xml:space="preserve">S. </w:t>
      </w:r>
      <w:r>
        <w:rPr>
          <w:rFonts w:ascii="Times New Roman" w:hAnsi="Times New Roman" w:cs="Times New Roman"/>
          <w:b/>
          <w:sz w:val="24"/>
          <w:szCs w:val="24"/>
        </w:rPr>
        <w:t>1</w:t>
      </w:r>
      <w:r w:rsidRPr="00433A14">
        <w:rPr>
          <w:rFonts w:ascii="Times New Roman" w:hAnsi="Times New Roman" w:cs="Times New Roman"/>
          <w:b/>
          <w:sz w:val="24"/>
          <w:szCs w:val="24"/>
        </w:rPr>
        <w:t xml:space="preserve">. </w:t>
      </w:r>
      <w:r w:rsidRPr="00433A14">
        <w:rPr>
          <w:rFonts w:ascii="Times New Roman" w:hAnsi="Times New Roman" w:cs="Times New Roman"/>
          <w:sz w:val="24"/>
          <w:szCs w:val="24"/>
        </w:rPr>
        <w:t xml:space="preserve">Rietveld refinement of the </w:t>
      </w:r>
      <w:r w:rsidR="00FD13A2">
        <w:rPr>
          <w:rFonts w:ascii="Times New Roman" w:hAnsi="Times New Roman" w:cs="Times New Roman"/>
          <w:sz w:val="24"/>
          <w:szCs w:val="24"/>
        </w:rPr>
        <w:t>major identified</w:t>
      </w:r>
      <w:r w:rsidRPr="00433A14">
        <w:rPr>
          <w:rFonts w:ascii="Times New Roman" w:hAnsi="Times New Roman" w:cs="Times New Roman"/>
          <w:sz w:val="24"/>
          <w:szCs w:val="24"/>
        </w:rPr>
        <w:t xml:space="preserve"> mineralogical phases </w:t>
      </w:r>
      <w:r w:rsidR="00CD2443">
        <w:rPr>
          <w:rFonts w:ascii="Times New Roman" w:hAnsi="Times New Roman" w:cs="Times New Roman"/>
          <w:sz w:val="24"/>
          <w:szCs w:val="24"/>
        </w:rPr>
        <w:t xml:space="preserve">of the </w:t>
      </w:r>
      <w:r w:rsidRPr="00433A14">
        <w:rPr>
          <w:rFonts w:ascii="Times New Roman" w:hAnsi="Times New Roman" w:cs="Times New Roman"/>
          <w:sz w:val="24"/>
          <w:szCs w:val="24"/>
        </w:rPr>
        <w:t xml:space="preserve">US-05 borehole located directly adjacent the </w:t>
      </w:r>
      <w:r w:rsidR="00CD2443">
        <w:rPr>
          <w:rFonts w:ascii="Times New Roman" w:hAnsi="Times New Roman" w:cs="Times New Roman"/>
          <w:sz w:val="24"/>
          <w:szCs w:val="24"/>
        </w:rPr>
        <w:t>TPP</w:t>
      </w:r>
      <w:r w:rsidRPr="00433A14">
        <w:rPr>
          <w:rFonts w:ascii="Times New Roman" w:hAnsi="Times New Roman" w:cs="Times New Roman"/>
          <w:sz w:val="24"/>
          <w:szCs w:val="24"/>
        </w:rPr>
        <w:t xml:space="preserve"> injection line.</w:t>
      </w:r>
      <w:r w:rsidR="00FD13A2">
        <w:rPr>
          <w:rFonts w:ascii="Times New Roman" w:hAnsi="Times New Roman" w:cs="Times New Roman"/>
          <w:sz w:val="24"/>
          <w:szCs w:val="24"/>
        </w:rPr>
        <w:t xml:space="preserve"> Highlighting the carbonate mineral components of the soil mineralogy that may place an important role in P fate.</w:t>
      </w:r>
    </w:p>
    <w:p w:rsidR="00BD79FD" w:rsidRPr="00BD79FD" w:rsidRDefault="00B85D22" w:rsidP="007A6BDE">
      <w:pPr>
        <w:rPr>
          <w:rFonts w:ascii="Times New Roman" w:hAnsi="Times New Roman" w:cs="Times New Roman"/>
          <w:b/>
          <w:sz w:val="24"/>
          <w:szCs w:val="24"/>
        </w:rPr>
      </w:pPr>
      <w:r>
        <w:rPr>
          <w:rFonts w:ascii="Times New Roman" w:hAnsi="Times New Roman" w:cs="Times New Roman"/>
          <w:b/>
          <w:sz w:val="24"/>
          <w:szCs w:val="24"/>
        </w:rPr>
        <w:lastRenderedPageBreak/>
        <w:t>Soil Mineralogy</w:t>
      </w:r>
      <w:r>
        <w:rPr>
          <w:rFonts w:ascii="Times New Roman" w:hAnsi="Times New Roman" w:cs="Times New Roman"/>
          <w:noProof/>
          <w:sz w:val="24"/>
          <w:szCs w:val="24"/>
          <w:lang w:eastAsia="en-CA"/>
        </w:rPr>
        <w:tab/>
      </w:r>
    </w:p>
    <w:p w:rsidR="001517D7" w:rsidRDefault="00BD79FD" w:rsidP="00503563">
      <w:pPr>
        <w:spacing w:after="120" w:line="360" w:lineRule="auto"/>
        <w:ind w:firstLine="720"/>
        <w:rPr>
          <w:rFonts w:ascii="Times New Roman" w:hAnsi="Times New Roman" w:cs="Times New Roman"/>
          <w:b/>
          <w:sz w:val="24"/>
        </w:rPr>
      </w:pPr>
      <w:r w:rsidRPr="00BD79FD">
        <w:rPr>
          <w:rFonts w:ascii="Times New Roman" w:hAnsi="Times New Roman" w:cs="Times New Roman"/>
          <w:noProof/>
          <w:sz w:val="24"/>
          <w:szCs w:val="24"/>
          <w:lang w:eastAsia="en-CA"/>
        </w:rPr>
        <w:t xml:space="preserve">Soil mineralogy is an important factor when studying P speciation, as mineral surfaces are important reactants in both adsorption and surface precipitation of P </w:t>
      </w:r>
      <w:r w:rsidR="008A2145" w:rsidRPr="00BD79FD">
        <w:rPr>
          <w:rFonts w:ascii="Times New Roman" w:hAnsi="Times New Roman" w:cs="Times New Roman"/>
          <w:sz w:val="24"/>
          <w:szCs w:val="24"/>
        </w:rPr>
        <w:fldChar w:fldCharType="begin" w:fldLock="1"/>
      </w:r>
      <w:r w:rsidR="009E77CA">
        <w:rPr>
          <w:rFonts w:ascii="Times New Roman" w:hAnsi="Times New Roman" w:cs="Times New Roman"/>
          <w:sz w:val="24"/>
          <w:szCs w:val="24"/>
        </w:rPr>
        <w:instrText>ADDIN CSL_CITATION { "citationItems" : [ { "id" : "ITEM-1", "itemData" : { "DOI" : "10.1016/S0166-2481(10)34011-6", "ISSN" : "0166-2481", "author" : [ { "dropping-particle" : "", "family" : "Hesterberg", "given" : "Dean", "non-dropping-particle" : "", "parse-names" : false, "suffix" : "" } ], "container-title" : "Developments in Soil Science", "id" : "ITEM-1", "issued" : { "date-parts" : [ [ "2010" ] ] }, "page" : "313-356", "publisher" : "Elsevier Masson SAS", "title" : "Macroscale Chemical Properties and X-Ray Absorption Spectroscopy of Soil Phosphorus", "type" : "article-journal", "volume" : "34" }, "uris" : [ "http://www.mendeley.com/documents/?uuid=a297c6bc-e811-4a94-a65b-6ad7d46ce23a" ] } ], "mendeley" : { "formattedCitation" : "(2)", "plainTextFormattedCitation" : "(2)", "previouslyFormattedCitation" : "(Hesterberg, 2010)" }, "properties" : { "noteIndex" : 0 }, "schema" : "https://github.com/citation-style-language/schema/raw/master/csl-citation.json" }</w:instrText>
      </w:r>
      <w:r w:rsidR="008A2145" w:rsidRPr="00BD79FD">
        <w:rPr>
          <w:rFonts w:ascii="Times New Roman" w:hAnsi="Times New Roman" w:cs="Times New Roman"/>
          <w:sz w:val="24"/>
          <w:szCs w:val="24"/>
        </w:rPr>
        <w:fldChar w:fldCharType="separate"/>
      </w:r>
      <w:r w:rsidR="009E77CA" w:rsidRPr="009E77CA">
        <w:rPr>
          <w:rFonts w:ascii="Times New Roman" w:hAnsi="Times New Roman" w:cs="Times New Roman"/>
          <w:noProof/>
          <w:sz w:val="24"/>
          <w:szCs w:val="24"/>
        </w:rPr>
        <w:t>(2)</w:t>
      </w:r>
      <w:r w:rsidR="008A2145" w:rsidRPr="00BD79FD">
        <w:rPr>
          <w:rFonts w:ascii="Times New Roman" w:hAnsi="Times New Roman" w:cs="Times New Roman"/>
          <w:sz w:val="24"/>
          <w:szCs w:val="24"/>
        </w:rPr>
        <w:fldChar w:fldCharType="end"/>
      </w:r>
      <w:r w:rsidRPr="00BD79FD">
        <w:rPr>
          <w:rFonts w:ascii="Times New Roman" w:hAnsi="Times New Roman" w:cs="Times New Roman"/>
          <w:noProof/>
          <w:sz w:val="24"/>
          <w:szCs w:val="24"/>
          <w:lang w:eastAsia="en-CA"/>
        </w:rPr>
        <w:t>. To understand the chemical fate of TPP in soils, it is important to identify the reactive mineral surfaces and how they vary spatially across the site. Bulk XRD completed on the vertical soil core directly adjacent to the ame</w:t>
      </w:r>
      <w:r w:rsidR="00E848DE">
        <w:rPr>
          <w:rFonts w:ascii="Times New Roman" w:hAnsi="Times New Roman" w:cs="Times New Roman"/>
          <w:noProof/>
          <w:sz w:val="24"/>
          <w:szCs w:val="24"/>
          <w:lang w:eastAsia="en-CA"/>
        </w:rPr>
        <w:t>ndment injection line (Fig. S. 2</w:t>
      </w:r>
      <w:bookmarkStart w:id="0" w:name="_GoBack"/>
      <w:bookmarkEnd w:id="0"/>
      <w:r w:rsidRPr="00BD79FD">
        <w:rPr>
          <w:rFonts w:ascii="Times New Roman" w:hAnsi="Times New Roman" w:cs="Times New Roman"/>
          <w:noProof/>
          <w:sz w:val="24"/>
          <w:szCs w:val="24"/>
          <w:lang w:eastAsia="en-CA"/>
        </w:rPr>
        <w:t xml:space="preserve"> [US05 borehole], Supplemental Information), indicated that the mineralogy of the core varies minimally with depth, the differences tend to be texture-based with the major mineral phases varying only in their relative abundance. </w:t>
      </w:r>
      <w:r w:rsidRPr="00BD79FD">
        <w:rPr>
          <w:rFonts w:ascii="Times New Roman" w:hAnsi="Times New Roman" w:cs="Times New Roman"/>
          <w:sz w:val="24"/>
          <w:szCs w:val="24"/>
        </w:rPr>
        <w:t xml:space="preserve">All the soils throughout the research site were found to contain significant weight percent quantities of dolomite (~5%) and calcite (~2%) which represent two mineralogical phases that can potentially interact with the applied TPP amendments. These carbonate minerals can directly sorb P and form Ca-P mineral surface precipitates with any applied or naturally present P </w:t>
      </w:r>
      <w:r w:rsidR="008A2145" w:rsidRPr="00BD79FD">
        <w:rPr>
          <w:rFonts w:ascii="Times New Roman" w:hAnsi="Times New Roman" w:cs="Times New Roman"/>
          <w:sz w:val="24"/>
          <w:szCs w:val="24"/>
        </w:rPr>
        <w:fldChar w:fldCharType="begin" w:fldLock="1"/>
      </w:r>
      <w:r w:rsidR="009E77CA">
        <w:rPr>
          <w:rFonts w:ascii="Times New Roman" w:hAnsi="Times New Roman" w:cs="Times New Roman"/>
          <w:sz w:val="24"/>
          <w:szCs w:val="24"/>
        </w:rPr>
        <w:instrText>ADDIN CSL_CITATION { "citationItems" : [ { "id" : "ITEM-1", "itemData" : { "DOI" : "10.1016/j.jcis.2004.04.042", "ISSN" : "00219797", "PMID" : "15341833", "abstract" : "The adsorption of phosphate from aqueous solution on dolomite was investigated at 20 and 40\u00b0C in terms of pseudo-second-order mechanism for chemical adsorption as well as an intraparticle diffusion mechanism process. Adsorption was changed with increased contact time, initial phosphate concentration, temperature, solution pH. A pseudo-second-order model and intraparticle diffusion model have been developed to predict the rate constants of adsorption and equilibrium capacities.The activation energy of adsorption can be evaluated using the pseudo-second-order rate constants. The adsorption of phosphate onto dolomite are an exothermically activated process. A relatively low activation energy and a model highly fitting to intraparticle diffusion suggest that the adsorption of phosphate by dolomite may involve not only physical but also chemisorption. This was likely due to its combined control of chemisorption and intraparticle diffusion. However, for phosphate/dolomite system chemical reaction is important and significant in the rate-controlling step, and for the adsorption of phosphate onto dolomite the pseudo-second-order chemical reaction kinetics provides the best correlation of the experimental data. \u00a9 2004 Elsevier Inc. All rights reserved.", "author" : [ { "dropping-particle" : "", "family" : "Karaca", "given" : "S.", "non-dropping-particle" : "", "parse-names" : false, "suffix" : "" }, { "dropping-particle" : "", "family" : "G\u00fcrses", "given" : "a.", "non-dropping-particle" : "", "parse-names" : false, "suffix" : "" }, { "dropping-particle" : "", "family" : "Ejder", "given" : "M.", "non-dropping-particle" : "", "parse-names" : false, "suffix" : "" }, { "dropping-particle" : "", "family" : "A\u00e7ikyildiz", "given" : "M.", "non-dropping-particle" : "", "parse-names" : false, "suffix" : "" } ], "container-title" : "Journal of Colloid and Interface Science", "id" : "ITEM-1", "issue" : "2", "issued" : { "date-parts" : [ [ "2004" ] ] }, "page" : "257-263", "title" : "Kinetic modeling of liquid-phase adsorption of phosphate on dolomite", "type" : "article-journal", "volume" : "277" }, "uris" : [ "http://www.mendeley.com/documents/?uuid=6f01306a-2d57-408a-9c20-050c8679e299" ] }, { "id" : "ITEM-2", "itemData" : { "author" : [ { "dropping-particle" : "", "family" : "Tunesi", "given" : "Simonetta", "non-dropping-particle" : "", "parse-names" : false, "suffix" : "" }, { "dropping-particle" : "", "family" : "Poggi", "given" : "Valeria", "non-dropping-particle" : "", "parse-names" : false, "suffix" : "" }, { "dropping-particle" : "", "family" : "Gessa", "given" : "Carlo", "non-dropping-particle" : "", "parse-names" : false, "suffix" : "" }, { "dropping-particle" : "", "family" : "Scienze", "given" : "U C I", "non-dropping-particle" : "", "parse-names" : false, "suffix" : "" }, { "dropping-particle" : "", "family" : "Agroindustriali", "given" : "Tecnologie", "non-dropping-particle" : "", "parse-names" : false, "suffix" : "" }, { "dropping-particle" : "", "family" : "Agraria", "given" : "Chimica", "non-dropping-particle" : "", "parse-names" : false, "suffix" : "" } ], "container-title" : "Nutrient Cycling in Agroecosystems", "id" : "ITEM-2", "issued" : { "date-parts" : [ [ "1999" ] ] }, "page" : "219-227", "title" : "Phosphate adsorption and precipitation in calcareous soils : the role of calcium ions in solution and carbonate minerals", "type" : "article-journal", "volume" : "53" }, "uris" : [ "http://www.mendeley.com/documents/?uuid=e691add5-ebfe-4586-a6e1-e61fe257dfbe" ] } ], "mendeley" : { "formattedCitation" : "(3,4)", "plainTextFormattedCitation" : "(3,4)", "previouslyFormattedCitation" : "(Tunesi et al., 1999; Karaca et al., 2004)" }, "properties" : { "noteIndex" : 0 }, "schema" : "https://github.com/citation-style-language/schema/raw/master/csl-citation.json" }</w:instrText>
      </w:r>
      <w:r w:rsidR="008A2145" w:rsidRPr="00BD79FD">
        <w:rPr>
          <w:rFonts w:ascii="Times New Roman" w:hAnsi="Times New Roman" w:cs="Times New Roman"/>
          <w:sz w:val="24"/>
          <w:szCs w:val="24"/>
        </w:rPr>
        <w:fldChar w:fldCharType="separate"/>
      </w:r>
      <w:r w:rsidR="009E77CA" w:rsidRPr="009E77CA">
        <w:rPr>
          <w:rFonts w:ascii="Times New Roman" w:hAnsi="Times New Roman" w:cs="Times New Roman"/>
          <w:noProof/>
          <w:sz w:val="24"/>
          <w:szCs w:val="24"/>
        </w:rPr>
        <w:t>(3,4)</w:t>
      </w:r>
      <w:r w:rsidR="008A2145" w:rsidRPr="00BD79FD">
        <w:rPr>
          <w:rFonts w:ascii="Times New Roman" w:hAnsi="Times New Roman" w:cs="Times New Roman"/>
          <w:sz w:val="24"/>
          <w:szCs w:val="24"/>
        </w:rPr>
        <w:fldChar w:fldCharType="end"/>
      </w:r>
      <w:r w:rsidRPr="00BD79FD">
        <w:rPr>
          <w:rFonts w:ascii="Times New Roman" w:hAnsi="Times New Roman" w:cs="Times New Roman"/>
          <w:sz w:val="24"/>
          <w:szCs w:val="24"/>
        </w:rPr>
        <w:t>. The groundwater across the site was found to have dissolved Ca and Mg concentrations of 200-400 and 150-350 mg L</w:t>
      </w:r>
      <w:r w:rsidRPr="00BD79FD">
        <w:rPr>
          <w:rFonts w:ascii="Times New Roman" w:hAnsi="Times New Roman" w:cs="Times New Roman"/>
          <w:sz w:val="24"/>
          <w:szCs w:val="24"/>
          <w:vertAlign w:val="superscript"/>
        </w:rPr>
        <w:t>-1</w:t>
      </w:r>
      <w:r w:rsidRPr="00BD79FD">
        <w:rPr>
          <w:rFonts w:ascii="Times New Roman" w:hAnsi="Times New Roman" w:cs="Times New Roman"/>
          <w:sz w:val="24"/>
          <w:szCs w:val="24"/>
        </w:rPr>
        <w:t>, respectively. Concentrations of this magnitude may lead to any aqueous ortho-P precipitating in the soil solution as Ca/</w:t>
      </w:r>
      <w:proofErr w:type="spellStart"/>
      <w:r w:rsidRPr="00BD79FD">
        <w:rPr>
          <w:rFonts w:ascii="Times New Roman" w:hAnsi="Times New Roman" w:cs="Times New Roman"/>
          <w:sz w:val="24"/>
          <w:szCs w:val="24"/>
        </w:rPr>
        <w:t>MgP</w:t>
      </w:r>
      <w:proofErr w:type="spellEnd"/>
      <w:r w:rsidRPr="00BD79FD">
        <w:rPr>
          <w:rFonts w:ascii="Times New Roman" w:hAnsi="Times New Roman" w:cs="Times New Roman"/>
          <w:sz w:val="24"/>
          <w:szCs w:val="24"/>
        </w:rPr>
        <w:t xml:space="preserve"> mineral phases, further reducing dissolved P. </w:t>
      </w:r>
    </w:p>
    <w:p w:rsidR="001517D7" w:rsidRDefault="001517D7" w:rsidP="001517D7">
      <w:pPr>
        <w:rPr>
          <w:rFonts w:ascii="Times New Roman" w:hAnsi="Times New Roman" w:cs="Times New Roman"/>
          <w:b/>
          <w:sz w:val="24"/>
        </w:rPr>
      </w:pPr>
    </w:p>
    <w:p w:rsidR="00557C8B" w:rsidRDefault="00557C8B" w:rsidP="00EA3CB6">
      <w:pPr>
        <w:jc w:val="center"/>
        <w:rPr>
          <w:rFonts w:ascii="Times New Roman" w:hAnsi="Times New Roman" w:cs="Times New Roman"/>
          <w:b/>
          <w:sz w:val="24"/>
        </w:rPr>
        <w:sectPr w:rsidR="00557C8B">
          <w:pgSz w:w="12240" w:h="15840"/>
          <w:pgMar w:top="1440" w:right="1440" w:bottom="1440" w:left="1440" w:header="708" w:footer="708" w:gutter="0"/>
          <w:cols w:space="708"/>
          <w:docGrid w:linePitch="360"/>
        </w:sectPr>
      </w:pPr>
    </w:p>
    <w:p w:rsidR="000B0A19" w:rsidRDefault="000B0A19" w:rsidP="000B0A19">
      <w:pPr>
        <w:widowControl w:val="0"/>
        <w:autoSpaceDE w:val="0"/>
        <w:autoSpaceDN w:val="0"/>
        <w:adjustRightInd w:val="0"/>
        <w:spacing w:after="0" w:line="240" w:lineRule="auto"/>
        <w:ind w:left="640" w:hanging="640"/>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0B0A19" w:rsidRPr="000B0A19" w:rsidRDefault="000B0A19" w:rsidP="000B0A19">
      <w:pPr>
        <w:widowControl w:val="0"/>
        <w:autoSpaceDE w:val="0"/>
        <w:autoSpaceDN w:val="0"/>
        <w:adjustRightInd w:val="0"/>
        <w:spacing w:after="0" w:line="240" w:lineRule="auto"/>
        <w:ind w:left="640" w:hanging="640"/>
        <w:rPr>
          <w:rFonts w:ascii="Times New Roman" w:hAnsi="Times New Roman" w:cs="Times New Roman"/>
          <w:b/>
          <w:sz w:val="24"/>
          <w:szCs w:val="24"/>
        </w:rPr>
      </w:pPr>
    </w:p>
    <w:p w:rsidR="009E77CA" w:rsidRDefault="008A2145" w:rsidP="009E77CA">
      <w:pPr>
        <w:widowControl w:val="0"/>
        <w:autoSpaceDE w:val="0"/>
        <w:autoSpaceDN w:val="0"/>
        <w:adjustRightInd w:val="0"/>
        <w:spacing w:after="0" w:line="240" w:lineRule="auto"/>
        <w:ind w:left="640" w:hanging="640"/>
        <w:rPr>
          <w:rFonts w:ascii="Times New Roman" w:hAnsi="Times New Roman" w:cs="Times New Roman"/>
          <w:noProof/>
          <w:sz w:val="24"/>
          <w:szCs w:val="24"/>
        </w:rPr>
      </w:pPr>
      <w:r>
        <w:rPr>
          <w:rFonts w:ascii="Times New Roman" w:hAnsi="Times New Roman" w:cs="Times New Roman"/>
          <w:b/>
          <w:sz w:val="24"/>
          <w:szCs w:val="24"/>
        </w:rPr>
        <w:fldChar w:fldCharType="begin" w:fldLock="1"/>
      </w:r>
      <w:r w:rsidR="000B0A19">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009E77CA" w:rsidRPr="009E77CA">
        <w:rPr>
          <w:rFonts w:ascii="Times New Roman" w:hAnsi="Times New Roman" w:cs="Times New Roman"/>
          <w:noProof/>
          <w:sz w:val="24"/>
          <w:szCs w:val="24"/>
        </w:rPr>
        <w:t xml:space="preserve">1. </w:t>
      </w:r>
      <w:r w:rsidR="009E77CA" w:rsidRPr="009E77CA">
        <w:rPr>
          <w:rFonts w:ascii="Times New Roman" w:hAnsi="Times New Roman" w:cs="Times New Roman"/>
          <w:noProof/>
          <w:sz w:val="24"/>
          <w:szCs w:val="24"/>
        </w:rPr>
        <w:tab/>
        <w:t xml:space="preserve">Beauchemin S, Hesterberg D, Chou J, Beauchemin M, Simard RR, Sayers DE. Speciation of phosphorus in phosphorus-enriched agricultural soils using X-ray absorption near-edge structure spectroscopy and chemical fractionation. J Environ Qual. 2003;32(5):1809–19. </w:t>
      </w:r>
    </w:p>
    <w:p w:rsidR="009E77CA" w:rsidRPr="009E77CA" w:rsidRDefault="009E77CA" w:rsidP="009E77CA">
      <w:pPr>
        <w:widowControl w:val="0"/>
        <w:autoSpaceDE w:val="0"/>
        <w:autoSpaceDN w:val="0"/>
        <w:adjustRightInd w:val="0"/>
        <w:spacing w:after="0" w:line="240" w:lineRule="auto"/>
        <w:ind w:left="640" w:hanging="640"/>
        <w:rPr>
          <w:rFonts w:ascii="Times New Roman" w:hAnsi="Times New Roman" w:cs="Times New Roman"/>
          <w:noProof/>
          <w:sz w:val="24"/>
          <w:szCs w:val="24"/>
        </w:rPr>
      </w:pPr>
    </w:p>
    <w:p w:rsidR="009E77CA" w:rsidRDefault="009E77CA" w:rsidP="009E77CA">
      <w:pPr>
        <w:widowControl w:val="0"/>
        <w:autoSpaceDE w:val="0"/>
        <w:autoSpaceDN w:val="0"/>
        <w:adjustRightInd w:val="0"/>
        <w:spacing w:after="0"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2. </w:t>
      </w:r>
      <w:r>
        <w:rPr>
          <w:rFonts w:ascii="Times New Roman" w:hAnsi="Times New Roman" w:cs="Times New Roman"/>
          <w:noProof/>
          <w:sz w:val="24"/>
          <w:szCs w:val="24"/>
        </w:rPr>
        <w:tab/>
        <w:t>Hesterberg D. Macroscale chemical properties and X-ray absorption spectroscopy of soil phosphorus. Dev Soil Sci</w:t>
      </w:r>
      <w:r w:rsidRPr="009E77CA">
        <w:rPr>
          <w:rFonts w:ascii="Times New Roman" w:hAnsi="Times New Roman" w:cs="Times New Roman"/>
          <w:noProof/>
          <w:sz w:val="24"/>
          <w:szCs w:val="24"/>
        </w:rPr>
        <w:t xml:space="preserve">. Elsevier Masson SAS; 2010;34:313–56. </w:t>
      </w:r>
    </w:p>
    <w:p w:rsidR="009E77CA" w:rsidRPr="009E77CA" w:rsidRDefault="009E77CA" w:rsidP="009E77CA">
      <w:pPr>
        <w:widowControl w:val="0"/>
        <w:autoSpaceDE w:val="0"/>
        <w:autoSpaceDN w:val="0"/>
        <w:adjustRightInd w:val="0"/>
        <w:spacing w:after="0" w:line="240" w:lineRule="auto"/>
        <w:rPr>
          <w:rFonts w:ascii="Times New Roman" w:hAnsi="Times New Roman" w:cs="Times New Roman"/>
          <w:noProof/>
          <w:sz w:val="24"/>
          <w:szCs w:val="24"/>
        </w:rPr>
      </w:pPr>
    </w:p>
    <w:p w:rsidR="009E77CA" w:rsidRDefault="009E77CA" w:rsidP="009E77CA">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9E77CA">
        <w:rPr>
          <w:rFonts w:ascii="Times New Roman" w:hAnsi="Times New Roman" w:cs="Times New Roman"/>
          <w:noProof/>
          <w:sz w:val="24"/>
          <w:szCs w:val="24"/>
        </w:rPr>
        <w:t xml:space="preserve">3. </w:t>
      </w:r>
      <w:r w:rsidRPr="009E77CA">
        <w:rPr>
          <w:rFonts w:ascii="Times New Roman" w:hAnsi="Times New Roman" w:cs="Times New Roman"/>
          <w:noProof/>
          <w:sz w:val="24"/>
          <w:szCs w:val="24"/>
        </w:rPr>
        <w:tab/>
        <w:t xml:space="preserve">Karaca S, Gürses  a., Ejder M, Açikyildiz M. Kinetic modeling of liquid-phase adsorption of phosphate on dolomite. J Colloid Interface Sci. 2004;277(2):257–63. </w:t>
      </w:r>
    </w:p>
    <w:p w:rsidR="009E77CA" w:rsidRPr="009E77CA" w:rsidRDefault="009E77CA" w:rsidP="009E77CA">
      <w:pPr>
        <w:widowControl w:val="0"/>
        <w:autoSpaceDE w:val="0"/>
        <w:autoSpaceDN w:val="0"/>
        <w:adjustRightInd w:val="0"/>
        <w:spacing w:after="0" w:line="240" w:lineRule="auto"/>
        <w:ind w:left="640" w:hanging="640"/>
        <w:rPr>
          <w:rFonts w:ascii="Times New Roman" w:hAnsi="Times New Roman" w:cs="Times New Roman"/>
          <w:noProof/>
          <w:sz w:val="24"/>
          <w:szCs w:val="24"/>
        </w:rPr>
      </w:pPr>
    </w:p>
    <w:p w:rsidR="009E77CA" w:rsidRPr="009E77CA" w:rsidRDefault="009E77CA" w:rsidP="009E77CA">
      <w:pPr>
        <w:widowControl w:val="0"/>
        <w:autoSpaceDE w:val="0"/>
        <w:autoSpaceDN w:val="0"/>
        <w:adjustRightInd w:val="0"/>
        <w:spacing w:after="0" w:line="240" w:lineRule="auto"/>
        <w:ind w:left="640" w:hanging="640"/>
        <w:rPr>
          <w:rFonts w:ascii="Times New Roman" w:hAnsi="Times New Roman" w:cs="Times New Roman"/>
          <w:noProof/>
          <w:sz w:val="24"/>
        </w:rPr>
      </w:pPr>
      <w:r w:rsidRPr="009E77CA">
        <w:rPr>
          <w:rFonts w:ascii="Times New Roman" w:hAnsi="Times New Roman" w:cs="Times New Roman"/>
          <w:noProof/>
          <w:sz w:val="24"/>
          <w:szCs w:val="24"/>
        </w:rPr>
        <w:t xml:space="preserve">4. </w:t>
      </w:r>
      <w:r w:rsidRPr="009E77CA">
        <w:rPr>
          <w:rFonts w:ascii="Times New Roman" w:hAnsi="Times New Roman" w:cs="Times New Roman"/>
          <w:noProof/>
          <w:sz w:val="24"/>
          <w:szCs w:val="24"/>
        </w:rPr>
        <w:tab/>
        <w:t xml:space="preserve">Tunesi S, Poggi V, Gessa C, Scienze UCI, Agroindustriali T, Agraria C. Phosphate adsorption and precipitation in calcareous soils : the role of calcium ions in solution and carbonate minerals. Nutr Cycl Agroecosystems. 1999;53:219–27. </w:t>
      </w:r>
    </w:p>
    <w:p w:rsidR="000B0A19" w:rsidRDefault="008A2145" w:rsidP="0047226F">
      <w:pPr>
        <w:spacing w:after="0"/>
        <w:rPr>
          <w:rFonts w:ascii="Times New Roman" w:hAnsi="Times New Roman" w:cs="Times New Roman"/>
          <w:b/>
          <w:sz w:val="24"/>
          <w:szCs w:val="24"/>
        </w:rPr>
      </w:pPr>
      <w:r>
        <w:rPr>
          <w:rFonts w:ascii="Times New Roman" w:hAnsi="Times New Roman" w:cs="Times New Roman"/>
          <w:b/>
          <w:sz w:val="24"/>
          <w:szCs w:val="24"/>
        </w:rPr>
        <w:fldChar w:fldCharType="end"/>
      </w:r>
    </w:p>
    <w:p w:rsidR="000B0A19" w:rsidRPr="0047226F" w:rsidRDefault="000B0A19" w:rsidP="0047226F">
      <w:pPr>
        <w:spacing w:after="0"/>
        <w:rPr>
          <w:rFonts w:ascii="Times New Roman" w:hAnsi="Times New Roman" w:cs="Times New Roman"/>
          <w:b/>
          <w:sz w:val="24"/>
          <w:szCs w:val="24"/>
        </w:rPr>
      </w:pPr>
    </w:p>
    <w:sectPr w:rsidR="000B0A19" w:rsidRPr="0047226F" w:rsidSect="000B0A1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3CB6"/>
    <w:rsid w:val="00032FD5"/>
    <w:rsid w:val="00043E3B"/>
    <w:rsid w:val="00050039"/>
    <w:rsid w:val="000535D5"/>
    <w:rsid w:val="00073BFD"/>
    <w:rsid w:val="000A566A"/>
    <w:rsid w:val="000B0A19"/>
    <w:rsid w:val="000B109A"/>
    <w:rsid w:val="000B1DC3"/>
    <w:rsid w:val="000C4900"/>
    <w:rsid w:val="000D5299"/>
    <w:rsid w:val="000D603D"/>
    <w:rsid w:val="00100061"/>
    <w:rsid w:val="00135994"/>
    <w:rsid w:val="001517D7"/>
    <w:rsid w:val="0015197A"/>
    <w:rsid w:val="00154850"/>
    <w:rsid w:val="00161143"/>
    <w:rsid w:val="00163FB1"/>
    <w:rsid w:val="00176153"/>
    <w:rsid w:val="001B0121"/>
    <w:rsid w:val="001C7769"/>
    <w:rsid w:val="001C7DD7"/>
    <w:rsid w:val="001D1BBC"/>
    <w:rsid w:val="001D4AC1"/>
    <w:rsid w:val="001E4998"/>
    <w:rsid w:val="001F17FC"/>
    <w:rsid w:val="00214C73"/>
    <w:rsid w:val="00224D7B"/>
    <w:rsid w:val="002443AB"/>
    <w:rsid w:val="00246959"/>
    <w:rsid w:val="00247DF4"/>
    <w:rsid w:val="00254FDD"/>
    <w:rsid w:val="00291AD7"/>
    <w:rsid w:val="002C206E"/>
    <w:rsid w:val="002D413E"/>
    <w:rsid w:val="002E362D"/>
    <w:rsid w:val="002F237F"/>
    <w:rsid w:val="002F35B4"/>
    <w:rsid w:val="00300822"/>
    <w:rsid w:val="00303C69"/>
    <w:rsid w:val="003067D7"/>
    <w:rsid w:val="003105EA"/>
    <w:rsid w:val="00310E12"/>
    <w:rsid w:val="00311ABE"/>
    <w:rsid w:val="00326153"/>
    <w:rsid w:val="00355175"/>
    <w:rsid w:val="00362D15"/>
    <w:rsid w:val="003667CD"/>
    <w:rsid w:val="003741EA"/>
    <w:rsid w:val="00375D8A"/>
    <w:rsid w:val="00386B1A"/>
    <w:rsid w:val="00392822"/>
    <w:rsid w:val="003A577E"/>
    <w:rsid w:val="003A7965"/>
    <w:rsid w:val="003B226C"/>
    <w:rsid w:val="003B4CB3"/>
    <w:rsid w:val="003C08B5"/>
    <w:rsid w:val="003C6612"/>
    <w:rsid w:val="003E61BC"/>
    <w:rsid w:val="003E6FA8"/>
    <w:rsid w:val="003F0AE5"/>
    <w:rsid w:val="0041001D"/>
    <w:rsid w:val="004102C8"/>
    <w:rsid w:val="00426F54"/>
    <w:rsid w:val="00431663"/>
    <w:rsid w:val="0045577E"/>
    <w:rsid w:val="0046239D"/>
    <w:rsid w:val="0047226F"/>
    <w:rsid w:val="00491432"/>
    <w:rsid w:val="00493E5C"/>
    <w:rsid w:val="004A4F67"/>
    <w:rsid w:val="004A6D20"/>
    <w:rsid w:val="004A6E69"/>
    <w:rsid w:val="004C032E"/>
    <w:rsid w:val="004D6115"/>
    <w:rsid w:val="004E2853"/>
    <w:rsid w:val="004E7C04"/>
    <w:rsid w:val="004F4073"/>
    <w:rsid w:val="00503563"/>
    <w:rsid w:val="00506A8B"/>
    <w:rsid w:val="005108B9"/>
    <w:rsid w:val="005160AC"/>
    <w:rsid w:val="00517F92"/>
    <w:rsid w:val="00523F6A"/>
    <w:rsid w:val="00531EBC"/>
    <w:rsid w:val="0053290B"/>
    <w:rsid w:val="005370F6"/>
    <w:rsid w:val="00557C8B"/>
    <w:rsid w:val="00580B80"/>
    <w:rsid w:val="00596918"/>
    <w:rsid w:val="005B153E"/>
    <w:rsid w:val="005B163A"/>
    <w:rsid w:val="005C2D24"/>
    <w:rsid w:val="0060639A"/>
    <w:rsid w:val="00626795"/>
    <w:rsid w:val="0063076D"/>
    <w:rsid w:val="00640346"/>
    <w:rsid w:val="00664270"/>
    <w:rsid w:val="0067205C"/>
    <w:rsid w:val="00672E53"/>
    <w:rsid w:val="006770A2"/>
    <w:rsid w:val="00677F08"/>
    <w:rsid w:val="00697927"/>
    <w:rsid w:val="006A0150"/>
    <w:rsid w:val="006A1447"/>
    <w:rsid w:val="006B4423"/>
    <w:rsid w:val="006B4EFE"/>
    <w:rsid w:val="006B5695"/>
    <w:rsid w:val="006B6B2E"/>
    <w:rsid w:val="006F1566"/>
    <w:rsid w:val="006F1B45"/>
    <w:rsid w:val="00716C73"/>
    <w:rsid w:val="00724315"/>
    <w:rsid w:val="00732303"/>
    <w:rsid w:val="00742742"/>
    <w:rsid w:val="007506F1"/>
    <w:rsid w:val="00754B5B"/>
    <w:rsid w:val="007621CA"/>
    <w:rsid w:val="00793BA4"/>
    <w:rsid w:val="007A6BDE"/>
    <w:rsid w:val="007B1C29"/>
    <w:rsid w:val="007C66E5"/>
    <w:rsid w:val="007D6E4F"/>
    <w:rsid w:val="007E6039"/>
    <w:rsid w:val="007F3DC4"/>
    <w:rsid w:val="00802560"/>
    <w:rsid w:val="00802989"/>
    <w:rsid w:val="00813683"/>
    <w:rsid w:val="00823EDC"/>
    <w:rsid w:val="00847EF8"/>
    <w:rsid w:val="00855240"/>
    <w:rsid w:val="00855298"/>
    <w:rsid w:val="008561D8"/>
    <w:rsid w:val="00883013"/>
    <w:rsid w:val="00891566"/>
    <w:rsid w:val="008A0143"/>
    <w:rsid w:val="008A1D97"/>
    <w:rsid w:val="008A2145"/>
    <w:rsid w:val="008B21A5"/>
    <w:rsid w:val="008C04BD"/>
    <w:rsid w:val="008E44AC"/>
    <w:rsid w:val="00903079"/>
    <w:rsid w:val="009044DB"/>
    <w:rsid w:val="00934CB5"/>
    <w:rsid w:val="00935DC4"/>
    <w:rsid w:val="009558B6"/>
    <w:rsid w:val="00955926"/>
    <w:rsid w:val="00957B6B"/>
    <w:rsid w:val="0096581F"/>
    <w:rsid w:val="00966098"/>
    <w:rsid w:val="00973063"/>
    <w:rsid w:val="00984EB1"/>
    <w:rsid w:val="009A4BE9"/>
    <w:rsid w:val="009B5493"/>
    <w:rsid w:val="009C5B77"/>
    <w:rsid w:val="009E77CA"/>
    <w:rsid w:val="009E7FCD"/>
    <w:rsid w:val="00A068C7"/>
    <w:rsid w:val="00A42F70"/>
    <w:rsid w:val="00A53498"/>
    <w:rsid w:val="00A60048"/>
    <w:rsid w:val="00A60497"/>
    <w:rsid w:val="00A7396B"/>
    <w:rsid w:val="00A77B9E"/>
    <w:rsid w:val="00A94C70"/>
    <w:rsid w:val="00AB61E7"/>
    <w:rsid w:val="00AC12C0"/>
    <w:rsid w:val="00AC21D4"/>
    <w:rsid w:val="00AC4854"/>
    <w:rsid w:val="00AD7626"/>
    <w:rsid w:val="00B017E1"/>
    <w:rsid w:val="00B211DA"/>
    <w:rsid w:val="00B37F64"/>
    <w:rsid w:val="00B41DE3"/>
    <w:rsid w:val="00B42815"/>
    <w:rsid w:val="00B46E35"/>
    <w:rsid w:val="00B548EF"/>
    <w:rsid w:val="00B5566A"/>
    <w:rsid w:val="00B66BF5"/>
    <w:rsid w:val="00B7200E"/>
    <w:rsid w:val="00B76AA1"/>
    <w:rsid w:val="00B85D22"/>
    <w:rsid w:val="00BA501B"/>
    <w:rsid w:val="00BC2952"/>
    <w:rsid w:val="00BC7417"/>
    <w:rsid w:val="00BD4121"/>
    <w:rsid w:val="00BD4363"/>
    <w:rsid w:val="00BD79FD"/>
    <w:rsid w:val="00BF56F1"/>
    <w:rsid w:val="00C025E5"/>
    <w:rsid w:val="00C058CD"/>
    <w:rsid w:val="00C0707E"/>
    <w:rsid w:val="00C112BC"/>
    <w:rsid w:val="00C27997"/>
    <w:rsid w:val="00C30ECC"/>
    <w:rsid w:val="00C33738"/>
    <w:rsid w:val="00C35D58"/>
    <w:rsid w:val="00C35EAC"/>
    <w:rsid w:val="00C407D2"/>
    <w:rsid w:val="00C5047E"/>
    <w:rsid w:val="00C52552"/>
    <w:rsid w:val="00C63C6C"/>
    <w:rsid w:val="00C72D15"/>
    <w:rsid w:val="00C774CA"/>
    <w:rsid w:val="00C80B74"/>
    <w:rsid w:val="00C958C9"/>
    <w:rsid w:val="00C95B9D"/>
    <w:rsid w:val="00CD080D"/>
    <w:rsid w:val="00CD2443"/>
    <w:rsid w:val="00CD2E94"/>
    <w:rsid w:val="00D03F89"/>
    <w:rsid w:val="00D12D16"/>
    <w:rsid w:val="00D378B7"/>
    <w:rsid w:val="00D713EF"/>
    <w:rsid w:val="00D71EE0"/>
    <w:rsid w:val="00D85B35"/>
    <w:rsid w:val="00D945F4"/>
    <w:rsid w:val="00DC5C1F"/>
    <w:rsid w:val="00DD2AF6"/>
    <w:rsid w:val="00DE0B9C"/>
    <w:rsid w:val="00E2012B"/>
    <w:rsid w:val="00E228F2"/>
    <w:rsid w:val="00E2753D"/>
    <w:rsid w:val="00E41A94"/>
    <w:rsid w:val="00E63A06"/>
    <w:rsid w:val="00E70BD4"/>
    <w:rsid w:val="00E777F5"/>
    <w:rsid w:val="00E848DE"/>
    <w:rsid w:val="00E8716A"/>
    <w:rsid w:val="00E9293C"/>
    <w:rsid w:val="00E94E81"/>
    <w:rsid w:val="00E95702"/>
    <w:rsid w:val="00E9586A"/>
    <w:rsid w:val="00E95BC1"/>
    <w:rsid w:val="00EA0C62"/>
    <w:rsid w:val="00EA3CB6"/>
    <w:rsid w:val="00EB48D7"/>
    <w:rsid w:val="00EE7E19"/>
    <w:rsid w:val="00F120F6"/>
    <w:rsid w:val="00F156FD"/>
    <w:rsid w:val="00F27936"/>
    <w:rsid w:val="00F41146"/>
    <w:rsid w:val="00F43715"/>
    <w:rsid w:val="00F44EFF"/>
    <w:rsid w:val="00F54003"/>
    <w:rsid w:val="00F61194"/>
    <w:rsid w:val="00F6187F"/>
    <w:rsid w:val="00F64174"/>
    <w:rsid w:val="00F64505"/>
    <w:rsid w:val="00F65C8F"/>
    <w:rsid w:val="00F757DB"/>
    <w:rsid w:val="00F96B17"/>
    <w:rsid w:val="00FB4FF7"/>
    <w:rsid w:val="00FC3F28"/>
    <w:rsid w:val="00FD0BEC"/>
    <w:rsid w:val="00FD13A2"/>
    <w:rsid w:val="00FD17C5"/>
    <w:rsid w:val="00FD1BDA"/>
    <w:rsid w:val="00FF1A7D"/>
    <w:rsid w:val="00FF353D"/>
    <w:rsid w:val="00FF407B"/>
    <w:rsid w:val="00FF4833"/>
    <w:rsid w:val="00FF4F5C"/>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1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11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35DC4"/>
    <w:rPr>
      <w:sz w:val="16"/>
      <w:szCs w:val="16"/>
    </w:rPr>
  </w:style>
  <w:style w:type="paragraph" w:styleId="CommentText">
    <w:name w:val="annotation text"/>
    <w:basedOn w:val="Normal"/>
    <w:link w:val="CommentTextChar"/>
    <w:uiPriority w:val="99"/>
    <w:semiHidden/>
    <w:unhideWhenUsed/>
    <w:rsid w:val="00935DC4"/>
    <w:pPr>
      <w:spacing w:line="240" w:lineRule="auto"/>
    </w:pPr>
    <w:rPr>
      <w:sz w:val="20"/>
      <w:szCs w:val="20"/>
    </w:rPr>
  </w:style>
  <w:style w:type="character" w:customStyle="1" w:styleId="CommentTextChar">
    <w:name w:val="Comment Text Char"/>
    <w:basedOn w:val="DefaultParagraphFont"/>
    <w:link w:val="CommentText"/>
    <w:uiPriority w:val="99"/>
    <w:semiHidden/>
    <w:rsid w:val="00935DC4"/>
    <w:rPr>
      <w:sz w:val="20"/>
      <w:szCs w:val="20"/>
    </w:rPr>
  </w:style>
  <w:style w:type="paragraph" w:styleId="CommentSubject">
    <w:name w:val="annotation subject"/>
    <w:basedOn w:val="CommentText"/>
    <w:next w:val="CommentText"/>
    <w:link w:val="CommentSubjectChar"/>
    <w:uiPriority w:val="99"/>
    <w:semiHidden/>
    <w:unhideWhenUsed/>
    <w:rsid w:val="00935DC4"/>
    <w:rPr>
      <w:b/>
      <w:bCs/>
    </w:rPr>
  </w:style>
  <w:style w:type="character" w:customStyle="1" w:styleId="CommentSubjectChar">
    <w:name w:val="Comment Subject Char"/>
    <w:basedOn w:val="CommentTextChar"/>
    <w:link w:val="CommentSubject"/>
    <w:uiPriority w:val="99"/>
    <w:semiHidden/>
    <w:rsid w:val="00935DC4"/>
    <w:rPr>
      <w:b/>
      <w:bCs/>
      <w:sz w:val="20"/>
      <w:szCs w:val="20"/>
    </w:rPr>
  </w:style>
  <w:style w:type="paragraph" w:styleId="BalloonText">
    <w:name w:val="Balloon Text"/>
    <w:basedOn w:val="Normal"/>
    <w:link w:val="BalloonTextChar"/>
    <w:uiPriority w:val="99"/>
    <w:semiHidden/>
    <w:unhideWhenUsed/>
    <w:rsid w:val="00935D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DC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5745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46A1D-F05E-46F2-B8B5-3B3609C9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dc:creator>
  <cp:keywords/>
  <dc:description/>
  <cp:lastModifiedBy>0014356</cp:lastModifiedBy>
  <cp:revision>3</cp:revision>
  <dcterms:created xsi:type="dcterms:W3CDTF">2017-10-31T22:03:00Z</dcterms:created>
  <dcterms:modified xsi:type="dcterms:W3CDTF">2017-12-20T11:09:00Z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ce757229-0c3a-3388-af48-6746e601c0f6</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http://www.zotero.org/styles/environmental-science-and-technology</vt:lpwstr>
  </property>
  <property fmtid="{D5CDD505-2E9C-101B-9397-08002B2CF9AE}" pid="10" name="Mendeley Recent Style Name 2_1">
    <vt:lpwstr>Environmental Science &amp; Technology</vt:lpwstr>
  </property>
  <property fmtid="{D5CDD505-2E9C-101B-9397-08002B2CF9AE}" pid="11" name="Mendeley Recent Style Id 3_1">
    <vt:lpwstr>http://www.zotero.org/styles/geoderma</vt:lpwstr>
  </property>
  <property fmtid="{D5CDD505-2E9C-101B-9397-08002B2CF9AE}" pid="12" name="Mendeley Recent Style Name 3_1">
    <vt:lpwstr>Geoderma</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http://www.zotero.org/styles/journal-of-environmental-quality</vt:lpwstr>
  </property>
  <property fmtid="{D5CDD505-2E9C-101B-9397-08002B2CF9AE}" pid="18" name="Mendeley Recent Style Name 6_1">
    <vt:lpwstr>Journal of Environmental Quality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