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8FB" w:rsidRPr="00831DB7" w:rsidRDefault="002528FB" w:rsidP="002528FB">
      <w:pPr>
        <w:spacing w:line="480" w:lineRule="auto"/>
        <w:jc w:val="both"/>
        <w:rPr>
          <w:b/>
          <w:sz w:val="24"/>
          <w:szCs w:val="24"/>
        </w:rPr>
      </w:pPr>
      <w:proofErr w:type="gramStart"/>
      <w:r w:rsidRPr="004912E2">
        <w:rPr>
          <w:b/>
          <w:bCs/>
          <w:noProof w:val="0"/>
          <w:sz w:val="24"/>
          <w:szCs w:val="24"/>
        </w:rPr>
        <w:t>Additional</w:t>
      </w:r>
      <w:r w:rsidRPr="004912E2">
        <w:rPr>
          <w:b/>
          <w:bCs/>
          <w:sz w:val="24"/>
          <w:szCs w:val="24"/>
        </w:rPr>
        <w:t xml:space="preserve"> Table </w:t>
      </w:r>
      <w:r w:rsidR="004912E2">
        <w:rPr>
          <w:b/>
          <w:bCs/>
          <w:sz w:val="24"/>
          <w:szCs w:val="24"/>
        </w:rPr>
        <w:t>S</w:t>
      </w:r>
      <w:r w:rsidRPr="004912E2">
        <w:rPr>
          <w:b/>
          <w:bCs/>
          <w:sz w:val="24"/>
          <w:szCs w:val="24"/>
        </w:rPr>
        <w:t>1.</w:t>
      </w:r>
      <w:proofErr w:type="gramEnd"/>
      <w:r w:rsidRPr="00831DB7">
        <w:rPr>
          <w:b/>
          <w:bCs/>
          <w:sz w:val="24"/>
          <w:szCs w:val="24"/>
        </w:rPr>
        <w:t xml:space="preserve"> Components of </w:t>
      </w:r>
      <w:r w:rsidRPr="00831DB7">
        <w:rPr>
          <w:b/>
          <w:sz w:val="24"/>
          <w:szCs w:val="24"/>
        </w:rPr>
        <w:t>microvascular and macrovascular disease</w:t>
      </w:r>
      <w:r w:rsidRPr="00831DB7">
        <w:rPr>
          <w:b/>
          <w:bCs/>
          <w:iCs/>
          <w:sz w:val="24"/>
          <w:szCs w:val="24"/>
        </w:rPr>
        <w:t xml:space="preserve"> at baseline</w:t>
      </w:r>
      <w:r w:rsidRPr="00831DB7">
        <w:rPr>
          <w:b/>
          <w:bCs/>
          <w:sz w:val="24"/>
          <w:szCs w:val="24"/>
        </w:rPr>
        <w:t xml:space="preserve"> </w:t>
      </w:r>
    </w:p>
    <w:tbl>
      <w:tblPr>
        <w:tblStyle w:val="TableGrid"/>
        <w:tblW w:w="16051" w:type="dxa"/>
        <w:tblInd w:w="-12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972"/>
        <w:gridCol w:w="2409"/>
        <w:gridCol w:w="2410"/>
        <w:gridCol w:w="3260"/>
      </w:tblGrid>
      <w:tr w:rsidR="002528FB" w:rsidRPr="00831DB7" w:rsidTr="007D68D7">
        <w:trPr>
          <w:trHeight w:val="552"/>
        </w:trPr>
        <w:tc>
          <w:tcPr>
            <w:tcW w:w="7972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Microvascular disease alone (n=761)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Macrovascular disease alone (n=3196)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Both micro- and macrovascular disease (n=394)</w:t>
            </w:r>
          </w:p>
        </w:tc>
      </w:tr>
      <w:tr w:rsidR="002528FB" w:rsidRPr="00831DB7" w:rsidTr="007D68D7">
        <w:tc>
          <w:tcPr>
            <w:tcW w:w="7972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 xml:space="preserve">Macroalbuminuria (urinary </w:t>
            </w:r>
            <w:r w:rsidRPr="00831DB7">
              <w:rPr>
                <w:bCs/>
                <w:sz w:val="24"/>
                <w:szCs w:val="24"/>
              </w:rPr>
              <w:t>albumin to creatinine ratio</w:t>
            </w:r>
            <w:r w:rsidRPr="00831DB7">
              <w:rPr>
                <w:sz w:val="24"/>
                <w:szCs w:val="24"/>
              </w:rPr>
              <w:t xml:space="preserve"> &gt; 300 </w:t>
            </w:r>
            <w:r w:rsidRPr="00831DB7">
              <w:rPr>
                <w:bCs/>
                <w:sz w:val="24"/>
                <w:szCs w:val="24"/>
              </w:rPr>
              <w:t>mg/g)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spacing w:before="120"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249 (62)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spacing w:before="120"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spacing w:before="120"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155 (38)</w:t>
            </w:r>
          </w:p>
        </w:tc>
      </w:tr>
      <w:tr w:rsidR="002528FB" w:rsidRPr="00831DB7" w:rsidTr="007D68D7">
        <w:tc>
          <w:tcPr>
            <w:tcW w:w="7972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Requirement of retinal photocoagulation therapy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270 (67)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134 (33)</w:t>
            </w:r>
          </w:p>
        </w:tc>
      </w:tr>
      <w:tr w:rsidR="002528FB" w:rsidRPr="00831DB7" w:rsidTr="007D68D7">
        <w:tc>
          <w:tcPr>
            <w:tcW w:w="7972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Proliferative retinopathy</w:t>
            </w:r>
          </w:p>
        </w:tc>
        <w:tc>
          <w:tcPr>
            <w:tcW w:w="240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269 (70.0)</w:t>
            </w:r>
          </w:p>
        </w:tc>
        <w:tc>
          <w:tcPr>
            <w:tcW w:w="241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115 (30)</w:t>
            </w:r>
          </w:p>
        </w:tc>
      </w:tr>
      <w:tr w:rsidR="002528FB" w:rsidRPr="00831DB7" w:rsidTr="007D68D7">
        <w:tc>
          <w:tcPr>
            <w:tcW w:w="7972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Macular oedema</w:t>
            </w:r>
          </w:p>
        </w:tc>
        <w:tc>
          <w:tcPr>
            <w:tcW w:w="240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110 (64)</w:t>
            </w:r>
          </w:p>
        </w:tc>
        <w:tc>
          <w:tcPr>
            <w:tcW w:w="241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63 (36)</w:t>
            </w:r>
          </w:p>
        </w:tc>
      </w:tr>
      <w:tr w:rsidR="002528FB" w:rsidRPr="00831DB7" w:rsidTr="007D68D7">
        <w:tc>
          <w:tcPr>
            <w:tcW w:w="7972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Diabetes-related blindness in either eye</w:t>
            </w:r>
          </w:p>
        </w:tc>
        <w:tc>
          <w:tcPr>
            <w:tcW w:w="240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63 (59)</w:t>
            </w:r>
          </w:p>
        </w:tc>
        <w:tc>
          <w:tcPr>
            <w:tcW w:w="241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44 (41)</w:t>
            </w:r>
          </w:p>
        </w:tc>
      </w:tr>
      <w:tr w:rsidR="002528FB" w:rsidRPr="00831DB7" w:rsidTr="007D68D7">
        <w:tc>
          <w:tcPr>
            <w:tcW w:w="7972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Myocardial infarction</w:t>
            </w:r>
          </w:p>
        </w:tc>
        <w:tc>
          <w:tcPr>
            <w:tcW w:w="240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1183 (89)</w:t>
            </w:r>
          </w:p>
        </w:tc>
        <w:tc>
          <w:tcPr>
            <w:tcW w:w="326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151 (11)</w:t>
            </w:r>
          </w:p>
        </w:tc>
      </w:tr>
      <w:tr w:rsidR="002528FB" w:rsidRPr="00831DB7" w:rsidTr="007D68D7">
        <w:tc>
          <w:tcPr>
            <w:tcW w:w="7972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Stroke</w:t>
            </w:r>
          </w:p>
        </w:tc>
        <w:tc>
          <w:tcPr>
            <w:tcW w:w="240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894 (87)</w:t>
            </w:r>
          </w:p>
        </w:tc>
        <w:tc>
          <w:tcPr>
            <w:tcW w:w="326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129 (13)</w:t>
            </w:r>
          </w:p>
        </w:tc>
      </w:tr>
      <w:tr w:rsidR="002528FB" w:rsidRPr="00831DB7" w:rsidTr="007D68D7">
        <w:tc>
          <w:tcPr>
            <w:tcW w:w="7972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color w:val="000000" w:themeColor="text1"/>
                <w:sz w:val="24"/>
                <w:szCs w:val="24"/>
              </w:rPr>
              <w:t xml:space="preserve">Coronary artery bypass graft or </w:t>
            </w:r>
            <w:r w:rsidRPr="00831DB7">
              <w:rPr>
                <w:sz w:val="24"/>
                <w:szCs w:val="24"/>
              </w:rPr>
              <w:t>p</w:t>
            </w:r>
            <w:r w:rsidRPr="00831DB7">
              <w:rPr>
                <w:bCs/>
                <w:color w:val="000000" w:themeColor="text1"/>
                <w:sz w:val="24"/>
                <w:szCs w:val="24"/>
              </w:rPr>
              <w:t>ercutaneous transluminal coronary angioplasty</w:t>
            </w:r>
          </w:p>
        </w:tc>
        <w:tc>
          <w:tcPr>
            <w:tcW w:w="240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rFonts w:eastAsia="MS Gothic"/>
                <w:sz w:val="24"/>
                <w:szCs w:val="24"/>
              </w:rPr>
            </w:pPr>
            <w:r w:rsidRPr="00831DB7">
              <w:rPr>
                <w:rFonts w:eastAsia="MS Gothic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rFonts w:eastAsia="MS Gothic"/>
                <w:sz w:val="24"/>
                <w:szCs w:val="24"/>
              </w:rPr>
            </w:pPr>
            <w:r w:rsidRPr="00831DB7">
              <w:rPr>
                <w:rFonts w:eastAsia="MS Gothic"/>
                <w:sz w:val="24"/>
                <w:szCs w:val="24"/>
              </w:rPr>
              <w:t>859 (90)</w:t>
            </w:r>
          </w:p>
        </w:tc>
        <w:tc>
          <w:tcPr>
            <w:tcW w:w="326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rFonts w:eastAsia="MS Gothic"/>
                <w:sz w:val="24"/>
                <w:szCs w:val="24"/>
              </w:rPr>
            </w:pPr>
            <w:r w:rsidRPr="00831DB7">
              <w:rPr>
                <w:rFonts w:eastAsia="MS Gothic"/>
                <w:sz w:val="24"/>
                <w:szCs w:val="24"/>
              </w:rPr>
              <w:t>92 (10)</w:t>
            </w:r>
          </w:p>
        </w:tc>
      </w:tr>
      <w:tr w:rsidR="002528FB" w:rsidRPr="00831DB7" w:rsidTr="007D68D7">
        <w:tc>
          <w:tcPr>
            <w:tcW w:w="7972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Hospital admission for unstable angina</w:t>
            </w:r>
          </w:p>
        </w:tc>
        <w:tc>
          <w:tcPr>
            <w:tcW w:w="240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1088 (90)</w:t>
            </w:r>
          </w:p>
        </w:tc>
        <w:tc>
          <w:tcPr>
            <w:tcW w:w="326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126 (10)</w:t>
            </w:r>
          </w:p>
        </w:tc>
      </w:tr>
      <w:tr w:rsidR="002528FB" w:rsidRPr="00831DB7" w:rsidTr="007D68D7">
        <w:tc>
          <w:tcPr>
            <w:tcW w:w="7972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 xml:space="preserve">Hospital admission for </w:t>
            </w:r>
            <w:r w:rsidRPr="00831DB7">
              <w:rPr>
                <w:bCs/>
                <w:color w:val="000000" w:themeColor="text1"/>
                <w:sz w:val="24"/>
                <w:szCs w:val="24"/>
              </w:rPr>
              <w:t>transient ischaemic attack</w:t>
            </w:r>
          </w:p>
        </w:tc>
        <w:tc>
          <w:tcPr>
            <w:tcW w:w="240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476 (89)</w:t>
            </w:r>
          </w:p>
        </w:tc>
        <w:tc>
          <w:tcPr>
            <w:tcW w:w="326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59 (11)</w:t>
            </w:r>
          </w:p>
        </w:tc>
      </w:tr>
      <w:tr w:rsidR="002528FB" w:rsidRPr="00831DB7" w:rsidTr="007D68D7">
        <w:tc>
          <w:tcPr>
            <w:tcW w:w="7972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Lower-extremity amputation secondary to arterial insufficiency</w:t>
            </w:r>
          </w:p>
        </w:tc>
        <w:tc>
          <w:tcPr>
            <w:tcW w:w="240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44 (68)</w:t>
            </w:r>
          </w:p>
        </w:tc>
        <w:tc>
          <w:tcPr>
            <w:tcW w:w="326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21 (32)</w:t>
            </w:r>
          </w:p>
        </w:tc>
      </w:tr>
      <w:tr w:rsidR="002528FB" w:rsidRPr="00831DB7" w:rsidTr="007D68D7">
        <w:tc>
          <w:tcPr>
            <w:tcW w:w="7972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 xml:space="preserve">Peripheral revascularisation procedure (surgery or </w:t>
            </w:r>
            <w:r w:rsidRPr="00831DB7">
              <w:rPr>
                <w:bCs/>
                <w:color w:val="000000" w:themeColor="text1"/>
                <w:sz w:val="24"/>
                <w:szCs w:val="24"/>
              </w:rPr>
              <w:t>angioplasty)</w:t>
            </w:r>
          </w:p>
        </w:tc>
        <w:tc>
          <w:tcPr>
            <w:tcW w:w="240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185 (86)</w:t>
            </w:r>
          </w:p>
        </w:tc>
        <w:tc>
          <w:tcPr>
            <w:tcW w:w="326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31 (14)</w:t>
            </w:r>
          </w:p>
        </w:tc>
      </w:tr>
    </w:tbl>
    <w:p w:rsidR="002528FB" w:rsidRPr="00831DB7" w:rsidRDefault="002528FB" w:rsidP="002528FB">
      <w:pPr>
        <w:jc w:val="both"/>
        <w:rPr>
          <w:bCs/>
          <w:sz w:val="24"/>
          <w:szCs w:val="24"/>
        </w:rPr>
      </w:pPr>
      <w:r w:rsidRPr="00831DB7">
        <w:rPr>
          <w:bCs/>
          <w:sz w:val="24"/>
          <w:szCs w:val="24"/>
        </w:rPr>
        <w:t xml:space="preserve">Data expressed as number (percent). </w:t>
      </w:r>
    </w:p>
    <w:p w:rsidR="002528FB" w:rsidRPr="00831DB7" w:rsidRDefault="002528FB" w:rsidP="002528FB">
      <w:pPr>
        <w:overflowPunct/>
        <w:autoSpaceDE/>
        <w:autoSpaceDN/>
        <w:adjustRightInd/>
        <w:textAlignment w:val="auto"/>
      </w:pPr>
      <w:r w:rsidRPr="00831DB7">
        <w:br w:type="page"/>
      </w:r>
    </w:p>
    <w:p w:rsidR="002528FB" w:rsidRPr="00831DB7" w:rsidRDefault="002528FB" w:rsidP="002528FB">
      <w:pPr>
        <w:spacing w:line="480" w:lineRule="auto"/>
        <w:jc w:val="both"/>
        <w:rPr>
          <w:b/>
          <w:color w:val="000000" w:themeColor="text1"/>
          <w:sz w:val="24"/>
          <w:szCs w:val="24"/>
        </w:rPr>
      </w:pPr>
      <w:proofErr w:type="gramStart"/>
      <w:r w:rsidRPr="004912E2">
        <w:rPr>
          <w:b/>
          <w:bCs/>
          <w:noProof w:val="0"/>
          <w:sz w:val="24"/>
          <w:szCs w:val="24"/>
        </w:rPr>
        <w:lastRenderedPageBreak/>
        <w:t>Additional</w:t>
      </w:r>
      <w:r w:rsidRPr="004912E2">
        <w:rPr>
          <w:b/>
          <w:bCs/>
          <w:sz w:val="24"/>
          <w:szCs w:val="24"/>
        </w:rPr>
        <w:t xml:space="preserve"> Table </w:t>
      </w:r>
      <w:r w:rsidR="004912E2">
        <w:rPr>
          <w:b/>
          <w:bCs/>
          <w:sz w:val="24"/>
          <w:szCs w:val="24"/>
        </w:rPr>
        <w:t>S</w:t>
      </w:r>
      <w:r w:rsidRPr="004912E2">
        <w:rPr>
          <w:b/>
          <w:bCs/>
          <w:sz w:val="24"/>
          <w:szCs w:val="24"/>
        </w:rPr>
        <w:t>2.</w:t>
      </w:r>
      <w:proofErr w:type="gramEnd"/>
      <w:r w:rsidRPr="004912E2">
        <w:rPr>
          <w:b/>
          <w:sz w:val="24"/>
          <w:szCs w:val="24"/>
        </w:rPr>
        <w:t xml:space="preserve"> Distibution</w:t>
      </w:r>
      <w:r w:rsidRPr="00831DB7">
        <w:rPr>
          <w:b/>
          <w:color w:val="000000" w:themeColor="text1"/>
          <w:sz w:val="24"/>
          <w:szCs w:val="24"/>
        </w:rPr>
        <w:t xml:space="preserve"> of patients, event rate (per 100 person years) and hazard ratios (HRs) for outcomes during follow-up, according to the history of microvascular (including chronic kidney disease) or macrovascular disease</w:t>
      </w:r>
      <w:r w:rsidRPr="00831DB7">
        <w:rPr>
          <w:b/>
          <w:bCs/>
          <w:iCs/>
          <w:color w:val="000000" w:themeColor="text1"/>
          <w:sz w:val="24"/>
          <w:szCs w:val="24"/>
        </w:rPr>
        <w:t xml:space="preserve"> at baseline</w:t>
      </w:r>
    </w:p>
    <w:tbl>
      <w:tblPr>
        <w:tblStyle w:val="TableGrid"/>
        <w:tblW w:w="16585" w:type="dxa"/>
        <w:tblInd w:w="-11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69"/>
        <w:gridCol w:w="1558"/>
        <w:gridCol w:w="1603"/>
        <w:gridCol w:w="1658"/>
        <w:gridCol w:w="1134"/>
        <w:gridCol w:w="1559"/>
        <w:gridCol w:w="1134"/>
        <w:gridCol w:w="1701"/>
        <w:gridCol w:w="1134"/>
        <w:gridCol w:w="1701"/>
        <w:gridCol w:w="1134"/>
      </w:tblGrid>
      <w:tr w:rsidR="002528FB" w:rsidRPr="00831DB7" w:rsidTr="007D68D7">
        <w:tc>
          <w:tcPr>
            <w:tcW w:w="2269" w:type="dxa"/>
            <w:tcBorders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953" w:type="dxa"/>
            <w:gridSpan w:val="4"/>
            <w:tcBorders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History of microvascular or macrovascular disease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Number of events (event rate)</w:t>
            </w:r>
          </w:p>
        </w:tc>
        <w:tc>
          <w:tcPr>
            <w:tcW w:w="2693" w:type="dxa"/>
            <w:gridSpan w:val="2"/>
            <w:tcBorders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Microvascular disease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alone vs. dual absence</w:t>
            </w:r>
          </w:p>
        </w:tc>
        <w:tc>
          <w:tcPr>
            <w:tcW w:w="2835" w:type="dxa"/>
            <w:gridSpan w:val="2"/>
            <w:tcBorders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Macrovascular disease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alone vs. dual absence</w:t>
            </w:r>
          </w:p>
        </w:tc>
        <w:tc>
          <w:tcPr>
            <w:tcW w:w="2835" w:type="dxa"/>
            <w:gridSpan w:val="2"/>
            <w:tcBorders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Both micro- and macrovascular disease vs. dual absence</w:t>
            </w:r>
          </w:p>
        </w:tc>
      </w:tr>
      <w:tr w:rsidR="002528FB" w:rsidRPr="00831DB7" w:rsidTr="007D68D7">
        <w:tc>
          <w:tcPr>
            <w:tcW w:w="2269" w:type="dxa"/>
            <w:tcBorders>
              <w:top w:val="nil"/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Dual absence (n=5473)</w:t>
            </w:r>
          </w:p>
        </w:tc>
        <w:tc>
          <w:tcPr>
            <w:tcW w:w="1603" w:type="dxa"/>
            <w:tcBorders>
              <w:top w:val="nil"/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Microvascular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Alone (n=2077)</w:t>
            </w:r>
          </w:p>
        </w:tc>
        <w:tc>
          <w:tcPr>
            <w:tcW w:w="1658" w:type="dxa"/>
            <w:tcBorders>
              <w:top w:val="nil"/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Macrovascular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Alone  (n=2427)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Both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(n=1163)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HR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(95% CI)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HR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(95% CI)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HR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(95% CI)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P</w:t>
            </w:r>
          </w:p>
        </w:tc>
      </w:tr>
      <w:tr w:rsidR="002528FB" w:rsidRPr="00831DB7" w:rsidTr="007D68D7"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2528FB" w:rsidRPr="00831DB7" w:rsidRDefault="002528FB" w:rsidP="007D68D7">
            <w:pPr>
              <w:spacing w:before="120"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All-cause mortality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823 (1.7)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514 (3.0)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501 (2.4)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427 (4.9)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1.36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(1.21 - 1.53)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1.42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(1.26 - 1.59)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1.99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(1.76 - 2.26)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26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Major macrovascular events</w:t>
            </w:r>
          </w:p>
        </w:tc>
        <w:tc>
          <w:tcPr>
            <w:tcW w:w="15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747 (1.6)</w:t>
            </w:r>
          </w:p>
        </w:tc>
        <w:tc>
          <w:tcPr>
            <w:tcW w:w="1603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400 (2.5)</w:t>
            </w:r>
          </w:p>
        </w:tc>
        <w:tc>
          <w:tcPr>
            <w:tcW w:w="16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620 (3.3)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399 (5.0)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1.30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(1.14 - 1.47)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701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2.04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(1.83 - 2.28)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701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2.52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(2.21 - 2.88)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26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Cardiovascular death</w:t>
            </w:r>
          </w:p>
        </w:tc>
        <w:tc>
          <w:tcPr>
            <w:tcW w:w="15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276 (0.6)</w:t>
            </w:r>
          </w:p>
        </w:tc>
        <w:tc>
          <w:tcPr>
            <w:tcW w:w="1603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218 (1.3)</w:t>
            </w:r>
          </w:p>
        </w:tc>
        <w:tc>
          <w:tcPr>
            <w:tcW w:w="16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271 (1.3)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223 (2.5)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1.68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(1.40 – 2.03)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701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2.30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(1.94 – 2.74)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701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2.95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(2.43 – 3.58)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26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Myocardial infarction</w:t>
            </w:r>
          </w:p>
        </w:tc>
        <w:tc>
          <w:tcPr>
            <w:tcW w:w="15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246 (0.5)</w:t>
            </w:r>
          </w:p>
        </w:tc>
        <w:tc>
          <w:tcPr>
            <w:tcW w:w="1603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121 (0.7)</w:t>
            </w:r>
          </w:p>
        </w:tc>
        <w:tc>
          <w:tcPr>
            <w:tcW w:w="16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212 (1.1)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143 (1.7)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1.21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(0.96 – 1.53)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0.10</w:t>
            </w:r>
          </w:p>
        </w:tc>
        <w:tc>
          <w:tcPr>
            <w:tcW w:w="1701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1.90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(1.57 – 2.29)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701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2.60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(2.08 – 3.26)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26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Stroke</w:t>
            </w:r>
          </w:p>
        </w:tc>
        <w:tc>
          <w:tcPr>
            <w:tcW w:w="15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352 (0.7)</w:t>
            </w:r>
          </w:p>
        </w:tc>
        <w:tc>
          <w:tcPr>
            <w:tcW w:w="1603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161 (1.0)</w:t>
            </w:r>
          </w:p>
        </w:tc>
        <w:tc>
          <w:tcPr>
            <w:tcW w:w="16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302 (1.5)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153 (1.8)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1.15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lastRenderedPageBreak/>
              <w:t>(0.94 – 1.39)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lastRenderedPageBreak/>
              <w:t>0.18</w:t>
            </w:r>
          </w:p>
        </w:tc>
        <w:tc>
          <w:tcPr>
            <w:tcW w:w="1701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2.20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lastRenderedPageBreak/>
              <w:t>(1.88 – 2.58)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lastRenderedPageBreak/>
              <w:t>&lt;0.0001</w:t>
            </w:r>
          </w:p>
        </w:tc>
        <w:tc>
          <w:tcPr>
            <w:tcW w:w="1701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2.20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lastRenderedPageBreak/>
              <w:t>(1.80 – 2.70)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lastRenderedPageBreak/>
              <w:t>&lt;0.0001</w:t>
            </w:r>
          </w:p>
        </w:tc>
      </w:tr>
      <w:tr w:rsidR="002528FB" w:rsidRPr="00831DB7" w:rsidTr="007D68D7">
        <w:tc>
          <w:tcPr>
            <w:tcW w:w="226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lastRenderedPageBreak/>
              <w:t>Major clinical microvascular events</w:t>
            </w:r>
          </w:p>
        </w:tc>
        <w:tc>
          <w:tcPr>
            <w:tcW w:w="1558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269 (0.6)</w:t>
            </w:r>
          </w:p>
        </w:tc>
        <w:tc>
          <w:tcPr>
            <w:tcW w:w="1603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243 (1.5)</w:t>
            </w:r>
          </w:p>
        </w:tc>
        <w:tc>
          <w:tcPr>
            <w:tcW w:w="1658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149 (0.7)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146 (1.8)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2.49</w:t>
            </w:r>
          </w:p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(2.06 – 3.00)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701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1.32</w:t>
            </w:r>
          </w:p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(1.08 – 1.62)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0.007</w:t>
            </w:r>
          </w:p>
        </w:tc>
        <w:tc>
          <w:tcPr>
            <w:tcW w:w="1701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2.97</w:t>
            </w:r>
          </w:p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(2.39 – 3.69)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26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Retinal photocoagulation or blindness</w:t>
            </w:r>
          </w:p>
        </w:tc>
        <w:tc>
          <w:tcPr>
            <w:tcW w:w="15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232 (0.5)</w:t>
            </w:r>
          </w:p>
        </w:tc>
        <w:tc>
          <w:tcPr>
            <w:tcW w:w="1603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195 (1.2)</w:t>
            </w:r>
          </w:p>
        </w:tc>
        <w:tc>
          <w:tcPr>
            <w:tcW w:w="16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132 (0.7)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110 (1.3)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2.52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(2.06 – 3.09)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701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1.39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(1.12 – 1.73)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0.003</w:t>
            </w:r>
          </w:p>
        </w:tc>
        <w:tc>
          <w:tcPr>
            <w:tcW w:w="1701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2.96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(2.33 – 3.77)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26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ESRD or renal death</w:t>
            </w:r>
          </w:p>
        </w:tc>
        <w:tc>
          <w:tcPr>
            <w:tcW w:w="15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44 (0.09)</w:t>
            </w:r>
          </w:p>
        </w:tc>
        <w:tc>
          <w:tcPr>
            <w:tcW w:w="1603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62 (0.4)</w:t>
            </w:r>
          </w:p>
        </w:tc>
        <w:tc>
          <w:tcPr>
            <w:tcW w:w="16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18 (0.09)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44 (0.5)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2.45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(1.60 – 3.78)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701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0.92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(0.53 – 1.61)-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0.77</w:t>
            </w:r>
          </w:p>
        </w:tc>
        <w:tc>
          <w:tcPr>
            <w:tcW w:w="1701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3.01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(1.90 – 4.79)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</w:tbl>
    <w:p w:rsidR="002528FB" w:rsidRPr="00831DB7" w:rsidRDefault="002528FB" w:rsidP="002528FB">
      <w:pPr>
        <w:widowControl w:val="0"/>
        <w:spacing w:before="120"/>
        <w:jc w:val="both"/>
        <w:rPr>
          <w:bCs/>
          <w:sz w:val="24"/>
          <w:szCs w:val="24"/>
        </w:rPr>
      </w:pPr>
      <w:r w:rsidRPr="00831DB7">
        <w:rPr>
          <w:bCs/>
          <w:sz w:val="24"/>
          <w:szCs w:val="24"/>
        </w:rPr>
        <w:t>Dual absence means absence of both macrovascular and microvascular disease at baseline. HRs estimated using Cox proportional hazards regression models, adjusting for sex, age, region of origin (</w:t>
      </w:r>
      <w:r w:rsidRPr="00831DB7">
        <w:rPr>
          <w:bCs/>
          <w:noProof w:val="0"/>
          <w:sz w:val="24"/>
          <w:szCs w:val="24"/>
        </w:rPr>
        <w:t>established market economies, Eastern Europe and Asia)</w:t>
      </w:r>
      <w:r w:rsidRPr="00831DB7">
        <w:rPr>
          <w:bCs/>
          <w:sz w:val="24"/>
          <w:szCs w:val="24"/>
        </w:rPr>
        <w:t xml:space="preserve">, BMI, duration of diabetes, HbA1c, systolic blood pressure, antihypertensive treatment, urinary albumin-creatinine ratio (normoalbuminuria, microalbuminuria and macroalbuminuria), LDL- and </w:t>
      </w:r>
      <w:r w:rsidRPr="00831DB7">
        <w:rPr>
          <w:bCs/>
          <w:noProof w:val="0"/>
          <w:sz w:val="24"/>
          <w:szCs w:val="24"/>
        </w:rPr>
        <w:t xml:space="preserve">HDL-cholesterol, </w:t>
      </w:r>
      <w:r w:rsidRPr="00831DB7">
        <w:rPr>
          <w:bCs/>
          <w:sz w:val="24"/>
          <w:szCs w:val="24"/>
        </w:rPr>
        <w:t>history of ever smoking,</w:t>
      </w:r>
      <w:r w:rsidRPr="00831DB7">
        <w:rPr>
          <w:sz w:val="24"/>
          <w:szCs w:val="24"/>
        </w:rPr>
        <w:t xml:space="preserve"> and randomized </w:t>
      </w:r>
      <w:r w:rsidRPr="00831DB7">
        <w:rPr>
          <w:bCs/>
          <w:sz w:val="24"/>
          <w:szCs w:val="24"/>
        </w:rPr>
        <w:t>study allocations.</w:t>
      </w:r>
    </w:p>
    <w:p w:rsidR="002528FB" w:rsidRPr="00831DB7" w:rsidRDefault="002528FB" w:rsidP="002528FB">
      <w:pPr>
        <w:overflowPunct/>
        <w:autoSpaceDE/>
        <w:autoSpaceDN/>
        <w:adjustRightInd/>
        <w:textAlignment w:val="auto"/>
        <w:rPr>
          <w:bCs/>
          <w:sz w:val="24"/>
          <w:szCs w:val="24"/>
        </w:rPr>
      </w:pPr>
      <w:r w:rsidRPr="00831DB7">
        <w:rPr>
          <w:bCs/>
          <w:sz w:val="24"/>
          <w:szCs w:val="24"/>
        </w:rPr>
        <w:br w:type="page"/>
      </w:r>
    </w:p>
    <w:p w:rsidR="002528FB" w:rsidRPr="00831DB7" w:rsidRDefault="002528FB" w:rsidP="002528FB">
      <w:pPr>
        <w:spacing w:line="480" w:lineRule="auto"/>
        <w:jc w:val="both"/>
        <w:rPr>
          <w:b/>
          <w:color w:val="000000" w:themeColor="text1"/>
          <w:sz w:val="24"/>
          <w:szCs w:val="24"/>
        </w:rPr>
      </w:pPr>
      <w:proofErr w:type="gramStart"/>
      <w:r w:rsidRPr="004912E2">
        <w:rPr>
          <w:b/>
          <w:bCs/>
          <w:noProof w:val="0"/>
          <w:sz w:val="24"/>
          <w:szCs w:val="24"/>
        </w:rPr>
        <w:lastRenderedPageBreak/>
        <w:t>Additional</w:t>
      </w:r>
      <w:r w:rsidRPr="004912E2">
        <w:rPr>
          <w:b/>
          <w:bCs/>
          <w:sz w:val="24"/>
          <w:szCs w:val="24"/>
        </w:rPr>
        <w:t xml:space="preserve"> Table </w:t>
      </w:r>
      <w:r w:rsidR="004912E2">
        <w:rPr>
          <w:b/>
          <w:bCs/>
          <w:sz w:val="24"/>
          <w:szCs w:val="24"/>
        </w:rPr>
        <w:t>S</w:t>
      </w:r>
      <w:r w:rsidRPr="004912E2">
        <w:rPr>
          <w:b/>
          <w:bCs/>
          <w:sz w:val="24"/>
          <w:szCs w:val="24"/>
        </w:rPr>
        <w:t>3.</w:t>
      </w:r>
      <w:proofErr w:type="gramEnd"/>
      <w:r w:rsidRPr="00831DB7">
        <w:rPr>
          <w:b/>
          <w:color w:val="000000" w:themeColor="text1"/>
          <w:sz w:val="24"/>
          <w:szCs w:val="24"/>
        </w:rPr>
        <w:t xml:space="preserve"> Distibution of patients, event rate (per 100 person years) and hazard ratios (HRs) for outcomes during follow-up, according to the history of microvascular (including peripheral neuropathy) or macrovascular disease</w:t>
      </w:r>
      <w:r w:rsidRPr="00831DB7">
        <w:rPr>
          <w:b/>
          <w:bCs/>
          <w:iCs/>
          <w:color w:val="000000" w:themeColor="text1"/>
          <w:sz w:val="24"/>
          <w:szCs w:val="24"/>
        </w:rPr>
        <w:t xml:space="preserve"> at baseline</w:t>
      </w:r>
    </w:p>
    <w:tbl>
      <w:tblPr>
        <w:tblStyle w:val="TableGrid"/>
        <w:tblW w:w="16444" w:type="dxa"/>
        <w:tblInd w:w="-11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50"/>
        <w:gridCol w:w="1177"/>
        <w:gridCol w:w="1603"/>
        <w:gridCol w:w="1658"/>
        <w:gridCol w:w="1276"/>
        <w:gridCol w:w="1559"/>
        <w:gridCol w:w="1134"/>
        <w:gridCol w:w="1559"/>
        <w:gridCol w:w="1134"/>
        <w:gridCol w:w="1560"/>
        <w:gridCol w:w="1134"/>
      </w:tblGrid>
      <w:tr w:rsidR="002528FB" w:rsidRPr="00831DB7" w:rsidTr="007D68D7">
        <w:tc>
          <w:tcPr>
            <w:tcW w:w="2650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14" w:type="dxa"/>
            <w:gridSpan w:val="4"/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History of microvascular or macrovascular disease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Number of events (event rate)</w:t>
            </w:r>
          </w:p>
        </w:tc>
        <w:tc>
          <w:tcPr>
            <w:tcW w:w="2693" w:type="dxa"/>
            <w:gridSpan w:val="2"/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Microvascular disease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alone vs. dual absence</w:t>
            </w:r>
          </w:p>
        </w:tc>
        <w:tc>
          <w:tcPr>
            <w:tcW w:w="2693" w:type="dxa"/>
            <w:gridSpan w:val="2"/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Macrovascular disease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alone vs. dual absence</w:t>
            </w:r>
          </w:p>
        </w:tc>
        <w:tc>
          <w:tcPr>
            <w:tcW w:w="2694" w:type="dxa"/>
            <w:gridSpan w:val="2"/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Both micro- and macrovascular disease vs. dual absence</w:t>
            </w:r>
          </w:p>
        </w:tc>
      </w:tr>
      <w:tr w:rsidR="002528FB" w:rsidRPr="00831DB7" w:rsidTr="007D68D7">
        <w:tc>
          <w:tcPr>
            <w:tcW w:w="2650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Dual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absence (n=5242)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Microvascular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alone (n=2308)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Macrovascular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alone (n=2391)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Both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(n=1199)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HR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(95% 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P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HR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(95% 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P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HR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(95% 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P</w:t>
            </w:r>
          </w:p>
        </w:tc>
      </w:tr>
      <w:tr w:rsidR="002528FB" w:rsidRPr="00831DB7" w:rsidTr="007D68D7">
        <w:tc>
          <w:tcPr>
            <w:tcW w:w="2650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spacing w:before="120"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All-cause mortality</w:t>
            </w:r>
          </w:p>
        </w:tc>
        <w:tc>
          <w:tcPr>
            <w:tcW w:w="1177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790 (1.7)</w:t>
            </w:r>
          </w:p>
        </w:tc>
        <w:tc>
          <w:tcPr>
            <w:tcW w:w="1603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547 (2.8)</w:t>
            </w:r>
          </w:p>
        </w:tc>
        <w:tc>
          <w:tcPr>
            <w:tcW w:w="1658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543 (2.7)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385 (4.2)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1.33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(1.18 – 1.49)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1.50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(1.34 – 1.68)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1.74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(1.53 – 1.99)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650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Major macrovascular events</w:t>
            </w:r>
          </w:p>
        </w:tc>
        <w:tc>
          <w:tcPr>
            <w:tcW w:w="1177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759 (1.7)</w:t>
            </w:r>
          </w:p>
        </w:tc>
        <w:tc>
          <w:tcPr>
            <w:tcW w:w="1603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388 (2.1)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647 (3.5)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372 (4.4)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1.14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(1.01 – 1.30)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0.04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2.02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(1.81 – 2.25)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2.24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(1.96 – 2.56)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65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Cardiovascular death</w:t>
            </w:r>
          </w:p>
        </w:tc>
        <w:tc>
          <w:tcPr>
            <w:tcW w:w="1177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301 (0.6)</w:t>
            </w:r>
          </w:p>
        </w:tc>
        <w:tc>
          <w:tcPr>
            <w:tcW w:w="1603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193 (1.0)</w:t>
            </w:r>
          </w:p>
        </w:tc>
        <w:tc>
          <w:tcPr>
            <w:tcW w:w="16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282 (1.4)</w:t>
            </w:r>
          </w:p>
        </w:tc>
        <w:tc>
          <w:tcPr>
            <w:tcW w:w="1276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212 (2.3)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1.26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(1.04 – 1.52)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0.02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2.05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(1.73 – 2.42)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560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2.50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(2.06 – 3.02)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65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Myocardial infarction</w:t>
            </w:r>
          </w:p>
        </w:tc>
        <w:tc>
          <w:tcPr>
            <w:tcW w:w="1177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236 (0.5)</w:t>
            </w:r>
          </w:p>
        </w:tc>
        <w:tc>
          <w:tcPr>
            <w:tcW w:w="1603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131 (0.7)</w:t>
            </w:r>
          </w:p>
        </w:tc>
        <w:tc>
          <w:tcPr>
            <w:tcW w:w="16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209 (1.1)</w:t>
            </w:r>
          </w:p>
        </w:tc>
        <w:tc>
          <w:tcPr>
            <w:tcW w:w="1276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146 (1.7)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1.14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(0.91 – 1.42)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0.27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1.86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(1.54 – 2.25)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560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2.45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(1.97 – 3.06)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65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lastRenderedPageBreak/>
              <w:t>Stroke</w:t>
            </w:r>
          </w:p>
        </w:tc>
        <w:tc>
          <w:tcPr>
            <w:tcW w:w="1177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357 (0.8)</w:t>
            </w:r>
          </w:p>
        </w:tc>
        <w:tc>
          <w:tcPr>
            <w:tcW w:w="1603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156 (0.8)</w:t>
            </w:r>
          </w:p>
        </w:tc>
        <w:tc>
          <w:tcPr>
            <w:tcW w:w="16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330 (1.7)</w:t>
            </w:r>
          </w:p>
        </w:tc>
        <w:tc>
          <w:tcPr>
            <w:tcW w:w="1276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125 (1.4)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1.10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(0.90 – 1.34)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0.34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2.30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(1.97 – 2.68)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560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1.86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(1.50 – 2.32)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65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Major clinical microvascular events</w:t>
            </w:r>
          </w:p>
        </w:tc>
        <w:tc>
          <w:tcPr>
            <w:tcW w:w="1177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249 (0.5)</w:t>
            </w:r>
          </w:p>
        </w:tc>
        <w:tc>
          <w:tcPr>
            <w:tcW w:w="1603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263 (1.5)</w:t>
            </w:r>
          </w:p>
        </w:tc>
        <w:tc>
          <w:tcPr>
            <w:tcW w:w="1658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157 (0.8)</w:t>
            </w:r>
          </w:p>
        </w:tc>
        <w:tc>
          <w:tcPr>
            <w:tcW w:w="1276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138 (1.6)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2.37</w:t>
            </w:r>
          </w:p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(1.97 – 2.85)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1.45</w:t>
            </w:r>
          </w:p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(1.18 – 1.77)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0.0004</w:t>
            </w:r>
          </w:p>
        </w:tc>
        <w:tc>
          <w:tcPr>
            <w:tcW w:w="156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2.54</w:t>
            </w:r>
          </w:p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(2.04 – 3.16)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65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Retinal photocoagulation or blindness</w:t>
            </w:r>
          </w:p>
        </w:tc>
        <w:tc>
          <w:tcPr>
            <w:tcW w:w="1177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209 (0.5)</w:t>
            </w:r>
          </w:p>
        </w:tc>
        <w:tc>
          <w:tcPr>
            <w:tcW w:w="1603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218 (1.2)</w:t>
            </w:r>
          </w:p>
        </w:tc>
        <w:tc>
          <w:tcPr>
            <w:tcW w:w="16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136 (0.7)</w:t>
            </w:r>
          </w:p>
        </w:tc>
        <w:tc>
          <w:tcPr>
            <w:tcW w:w="1276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106 (1.2)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2.54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(2.08 – 3.09)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1.57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(1.26 – 1.95)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560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2.69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(2.10 – 3.43)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65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ESRD or renal death</w:t>
            </w:r>
          </w:p>
        </w:tc>
        <w:tc>
          <w:tcPr>
            <w:tcW w:w="1177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49 (0.1)</w:t>
            </w:r>
          </w:p>
        </w:tc>
        <w:tc>
          <w:tcPr>
            <w:tcW w:w="1603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57 (0.3)</w:t>
            </w:r>
          </w:p>
        </w:tc>
        <w:tc>
          <w:tcPr>
            <w:tcW w:w="1658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24 (0.1)</w:t>
            </w:r>
          </w:p>
        </w:tc>
        <w:tc>
          <w:tcPr>
            <w:tcW w:w="1276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38 (0.4)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1.65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(1.07 – 2.55)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0.02</w:t>
            </w:r>
          </w:p>
        </w:tc>
        <w:tc>
          <w:tcPr>
            <w:tcW w:w="155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1.03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(0.63 – 1.69)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0.91</w:t>
            </w:r>
          </w:p>
        </w:tc>
        <w:tc>
          <w:tcPr>
            <w:tcW w:w="1560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2.08</w:t>
            </w:r>
          </w:p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(1.29 – 3.34)</w:t>
            </w:r>
          </w:p>
        </w:tc>
        <w:tc>
          <w:tcPr>
            <w:tcW w:w="1134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0.003</w:t>
            </w:r>
          </w:p>
        </w:tc>
      </w:tr>
    </w:tbl>
    <w:p w:rsidR="002528FB" w:rsidRPr="00831DB7" w:rsidRDefault="002528FB" w:rsidP="002528FB">
      <w:pPr>
        <w:widowControl w:val="0"/>
        <w:spacing w:before="120"/>
        <w:jc w:val="both"/>
        <w:rPr>
          <w:bCs/>
          <w:sz w:val="24"/>
          <w:szCs w:val="24"/>
        </w:rPr>
      </w:pPr>
      <w:r w:rsidRPr="00831DB7">
        <w:rPr>
          <w:bCs/>
          <w:sz w:val="24"/>
          <w:szCs w:val="24"/>
        </w:rPr>
        <w:t>Dual absence means absence of both macrovascular and microvascular disease at baseline. HRs estimated using Cox proportional hazards regression models, adjusting for sex, age, region of origin (</w:t>
      </w:r>
      <w:r w:rsidRPr="00831DB7">
        <w:rPr>
          <w:bCs/>
          <w:noProof w:val="0"/>
          <w:sz w:val="24"/>
          <w:szCs w:val="24"/>
        </w:rPr>
        <w:t>established market economies, Eastern Europe and Asia)</w:t>
      </w:r>
      <w:r w:rsidRPr="00831DB7">
        <w:rPr>
          <w:bCs/>
          <w:sz w:val="24"/>
          <w:szCs w:val="24"/>
        </w:rPr>
        <w:t xml:space="preserve">, BMI, duration of diabetes, HbA1c, systolic blood pressure, antihypertensive treatment, </w:t>
      </w:r>
      <w:r w:rsidRPr="00831DB7">
        <w:rPr>
          <w:sz w:val="24"/>
          <w:szCs w:val="24"/>
        </w:rPr>
        <w:t xml:space="preserve">eGFR and its </w:t>
      </w:r>
      <w:r w:rsidRPr="00831DB7">
        <w:rPr>
          <w:bCs/>
          <w:sz w:val="24"/>
          <w:szCs w:val="24"/>
        </w:rPr>
        <w:t xml:space="preserve">square, urinary albumin-creatinine ratio (normoalbuminuria, microalbuminuria and macroalbuminuria), LDL- and </w:t>
      </w:r>
      <w:r w:rsidRPr="00831DB7">
        <w:rPr>
          <w:bCs/>
          <w:noProof w:val="0"/>
          <w:sz w:val="24"/>
          <w:szCs w:val="24"/>
        </w:rPr>
        <w:t xml:space="preserve">HDL-cholesterol, </w:t>
      </w:r>
      <w:r w:rsidRPr="00831DB7">
        <w:rPr>
          <w:bCs/>
          <w:sz w:val="24"/>
          <w:szCs w:val="24"/>
        </w:rPr>
        <w:t>history of ever smoking,</w:t>
      </w:r>
      <w:r w:rsidRPr="00831DB7">
        <w:rPr>
          <w:sz w:val="24"/>
          <w:szCs w:val="24"/>
        </w:rPr>
        <w:t xml:space="preserve"> and randomized </w:t>
      </w:r>
      <w:r w:rsidRPr="00831DB7">
        <w:rPr>
          <w:bCs/>
          <w:sz w:val="24"/>
          <w:szCs w:val="24"/>
        </w:rPr>
        <w:t>study allocations.</w:t>
      </w:r>
    </w:p>
    <w:p w:rsidR="002528FB" w:rsidRPr="00831DB7" w:rsidRDefault="002528FB" w:rsidP="002528FB">
      <w:pPr>
        <w:overflowPunct/>
        <w:autoSpaceDE/>
        <w:autoSpaceDN/>
        <w:adjustRightInd/>
        <w:textAlignment w:val="auto"/>
        <w:rPr>
          <w:bCs/>
          <w:sz w:val="24"/>
          <w:szCs w:val="24"/>
        </w:rPr>
      </w:pPr>
      <w:r w:rsidRPr="00831DB7">
        <w:rPr>
          <w:bCs/>
          <w:sz w:val="24"/>
          <w:szCs w:val="24"/>
        </w:rPr>
        <w:br w:type="page"/>
      </w:r>
    </w:p>
    <w:p w:rsidR="002528FB" w:rsidRPr="00831DB7" w:rsidRDefault="002528FB" w:rsidP="002528FB">
      <w:pPr>
        <w:spacing w:line="480" w:lineRule="auto"/>
        <w:jc w:val="both"/>
        <w:rPr>
          <w:b/>
          <w:color w:val="000000" w:themeColor="text1"/>
          <w:sz w:val="24"/>
          <w:szCs w:val="24"/>
        </w:rPr>
      </w:pPr>
      <w:proofErr w:type="gramStart"/>
      <w:r w:rsidRPr="004912E2">
        <w:rPr>
          <w:bCs/>
          <w:noProof w:val="0"/>
          <w:sz w:val="24"/>
          <w:szCs w:val="24"/>
        </w:rPr>
        <w:lastRenderedPageBreak/>
        <w:t>Additional</w:t>
      </w:r>
      <w:r w:rsidRPr="004912E2">
        <w:rPr>
          <w:bCs/>
          <w:sz w:val="24"/>
          <w:szCs w:val="24"/>
        </w:rPr>
        <w:t xml:space="preserve"> Table </w:t>
      </w:r>
      <w:r w:rsidR="004912E2">
        <w:rPr>
          <w:bCs/>
          <w:sz w:val="24"/>
          <w:szCs w:val="24"/>
        </w:rPr>
        <w:t>S</w:t>
      </w:r>
      <w:r w:rsidRPr="004912E2">
        <w:rPr>
          <w:bCs/>
          <w:sz w:val="24"/>
          <w:szCs w:val="24"/>
        </w:rPr>
        <w:t>4.</w:t>
      </w:r>
      <w:proofErr w:type="gramEnd"/>
      <w:r w:rsidRPr="00831DB7">
        <w:rPr>
          <w:b/>
          <w:color w:val="000000" w:themeColor="text1"/>
          <w:sz w:val="24"/>
          <w:szCs w:val="24"/>
        </w:rPr>
        <w:t xml:space="preserve"> </w:t>
      </w:r>
      <w:r w:rsidRPr="00831DB7">
        <w:rPr>
          <w:b/>
          <w:bCs/>
          <w:color w:val="000000" w:themeColor="text1"/>
          <w:sz w:val="24"/>
          <w:szCs w:val="24"/>
        </w:rPr>
        <w:t>Subdistribution hazard ratios</w:t>
      </w:r>
      <w:r w:rsidRPr="00831DB7">
        <w:rPr>
          <w:b/>
          <w:color w:val="000000" w:themeColor="text1"/>
          <w:sz w:val="24"/>
          <w:szCs w:val="24"/>
        </w:rPr>
        <w:t xml:space="preserve"> for outcomes during follow-up according to the history of microvascular or macrovascular disease</w:t>
      </w:r>
      <w:r w:rsidRPr="00831DB7">
        <w:rPr>
          <w:b/>
          <w:bCs/>
          <w:iCs/>
          <w:color w:val="000000" w:themeColor="text1"/>
          <w:sz w:val="24"/>
          <w:szCs w:val="24"/>
        </w:rPr>
        <w:t xml:space="preserve"> at baseline with correction for competing risk of non-renal and non-cardiovascular death</w:t>
      </w:r>
    </w:p>
    <w:tbl>
      <w:tblPr>
        <w:tblStyle w:val="TableGrid"/>
        <w:tblW w:w="13467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50"/>
        <w:gridCol w:w="2879"/>
        <w:gridCol w:w="1275"/>
        <w:gridCol w:w="1985"/>
        <w:gridCol w:w="1417"/>
        <w:gridCol w:w="1985"/>
        <w:gridCol w:w="1276"/>
      </w:tblGrid>
      <w:tr w:rsidR="002528FB" w:rsidRPr="00831DB7" w:rsidTr="007D68D7">
        <w:tc>
          <w:tcPr>
            <w:tcW w:w="2650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54" w:type="dxa"/>
            <w:gridSpan w:val="2"/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Microvascular disease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alone vs. dual absence</w:t>
            </w:r>
          </w:p>
        </w:tc>
        <w:tc>
          <w:tcPr>
            <w:tcW w:w="3402" w:type="dxa"/>
            <w:gridSpan w:val="2"/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Macrovascular disease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alone vs. dual absence</w:t>
            </w:r>
          </w:p>
        </w:tc>
        <w:tc>
          <w:tcPr>
            <w:tcW w:w="3261" w:type="dxa"/>
            <w:gridSpan w:val="2"/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Both micro- and macrovascular disease vs. dual absence</w:t>
            </w:r>
          </w:p>
        </w:tc>
      </w:tr>
      <w:tr w:rsidR="002528FB" w:rsidRPr="00831DB7" w:rsidTr="007D68D7">
        <w:tc>
          <w:tcPr>
            <w:tcW w:w="2650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9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SHR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(95% CI)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P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SHR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(95% CI)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P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SHR</w:t>
            </w:r>
          </w:p>
          <w:p w:rsidR="002528FB" w:rsidRPr="00831DB7" w:rsidRDefault="002528FB" w:rsidP="007D68D7">
            <w:pPr>
              <w:widowControl w:val="0"/>
              <w:spacing w:before="120" w:after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(95% CI)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P</w:t>
            </w:r>
          </w:p>
        </w:tc>
      </w:tr>
      <w:tr w:rsidR="002528FB" w:rsidRPr="00831DB7" w:rsidTr="007D68D7">
        <w:tc>
          <w:tcPr>
            <w:tcW w:w="2650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Major macrovascular events</w:t>
            </w:r>
          </w:p>
        </w:tc>
        <w:tc>
          <w:tcPr>
            <w:tcW w:w="2879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1.42 (1.09 – 1.85)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0.01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1.97 (1.73 – 2.24)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 xml:space="preserve">2.59 (1.91 – 3.50)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650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Myocardial infarction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1.62 (1.10 – 2.40)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0.02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1.94 (1.60 – 2.37)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3.45 (2.30 – 5.17)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65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Stroke</w:t>
            </w:r>
          </w:p>
        </w:tc>
        <w:tc>
          <w:tcPr>
            <w:tcW w:w="287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1.23 (0.87 – 1.74)</w:t>
            </w:r>
          </w:p>
        </w:tc>
        <w:tc>
          <w:tcPr>
            <w:tcW w:w="1275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0.24</w:t>
            </w:r>
          </w:p>
        </w:tc>
        <w:tc>
          <w:tcPr>
            <w:tcW w:w="1985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2.07 (1.77 - 2.43)</w:t>
            </w:r>
          </w:p>
        </w:tc>
        <w:tc>
          <w:tcPr>
            <w:tcW w:w="1417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985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1.98 (1.31 – 3.01)</w:t>
            </w:r>
          </w:p>
        </w:tc>
        <w:tc>
          <w:tcPr>
            <w:tcW w:w="1276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0.001</w:t>
            </w:r>
          </w:p>
        </w:tc>
      </w:tr>
      <w:tr w:rsidR="002528FB" w:rsidRPr="00831DB7" w:rsidTr="007D68D7">
        <w:tc>
          <w:tcPr>
            <w:tcW w:w="265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Major clinical microvascular events</w:t>
            </w:r>
          </w:p>
        </w:tc>
        <w:tc>
          <w:tcPr>
            <w:tcW w:w="2879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4.97 (3.94 – 6.28)</w:t>
            </w:r>
          </w:p>
        </w:tc>
        <w:tc>
          <w:tcPr>
            <w:tcW w:w="1275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&lt;0.0001</w:t>
            </w:r>
          </w:p>
        </w:tc>
        <w:tc>
          <w:tcPr>
            <w:tcW w:w="1985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1.36 (1.11 – 1.65)</w:t>
            </w:r>
          </w:p>
        </w:tc>
        <w:tc>
          <w:tcPr>
            <w:tcW w:w="1417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0.003</w:t>
            </w:r>
          </w:p>
        </w:tc>
        <w:tc>
          <w:tcPr>
            <w:tcW w:w="1985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5.97 (4.40 – 8.12)</w:t>
            </w:r>
          </w:p>
        </w:tc>
        <w:tc>
          <w:tcPr>
            <w:tcW w:w="1276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1DB7">
              <w:rPr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65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Retinal photocoagulation or blindness</w:t>
            </w:r>
          </w:p>
        </w:tc>
        <w:tc>
          <w:tcPr>
            <w:tcW w:w="287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5.15 (4.06 – 6.53)</w:t>
            </w:r>
          </w:p>
        </w:tc>
        <w:tc>
          <w:tcPr>
            <w:tcW w:w="1275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  <w:tc>
          <w:tcPr>
            <w:tcW w:w="1985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1.42 (1.16 – 1.74)</w:t>
            </w:r>
          </w:p>
        </w:tc>
        <w:tc>
          <w:tcPr>
            <w:tcW w:w="1417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0.001</w:t>
            </w:r>
          </w:p>
        </w:tc>
        <w:tc>
          <w:tcPr>
            <w:tcW w:w="1985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6.52 (4.78 – 8.89)</w:t>
            </w:r>
          </w:p>
        </w:tc>
        <w:tc>
          <w:tcPr>
            <w:tcW w:w="1276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&lt;0.0001</w:t>
            </w:r>
          </w:p>
        </w:tc>
      </w:tr>
      <w:tr w:rsidR="002528FB" w:rsidRPr="00831DB7" w:rsidTr="007D68D7">
        <w:tc>
          <w:tcPr>
            <w:tcW w:w="2650" w:type="dxa"/>
            <w:vAlign w:val="center"/>
          </w:tcPr>
          <w:p w:rsidR="002528FB" w:rsidRPr="00831DB7" w:rsidRDefault="002528FB" w:rsidP="007D68D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 xml:space="preserve">ESRD </w:t>
            </w:r>
          </w:p>
        </w:tc>
        <w:tc>
          <w:tcPr>
            <w:tcW w:w="2879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1.41 (0.48 – 4.11)</w:t>
            </w:r>
          </w:p>
        </w:tc>
        <w:tc>
          <w:tcPr>
            <w:tcW w:w="1275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0.53</w:t>
            </w:r>
          </w:p>
        </w:tc>
        <w:tc>
          <w:tcPr>
            <w:tcW w:w="1985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0.65 (0.29 – 1.40)</w:t>
            </w:r>
          </w:p>
        </w:tc>
        <w:tc>
          <w:tcPr>
            <w:tcW w:w="1417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0.27</w:t>
            </w:r>
          </w:p>
        </w:tc>
        <w:tc>
          <w:tcPr>
            <w:tcW w:w="1985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1.05 (0.29 – 3.82)</w:t>
            </w:r>
          </w:p>
        </w:tc>
        <w:tc>
          <w:tcPr>
            <w:tcW w:w="1276" w:type="dxa"/>
            <w:vAlign w:val="center"/>
          </w:tcPr>
          <w:p w:rsidR="002528FB" w:rsidRPr="00831DB7" w:rsidRDefault="002528FB" w:rsidP="007D68D7">
            <w:pPr>
              <w:widowControl w:val="0"/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 w:rsidRPr="00831DB7">
              <w:rPr>
                <w:bCs/>
                <w:sz w:val="24"/>
                <w:szCs w:val="24"/>
              </w:rPr>
              <w:t>0.94</w:t>
            </w:r>
          </w:p>
        </w:tc>
      </w:tr>
    </w:tbl>
    <w:p w:rsidR="002528FB" w:rsidRPr="000F306E" w:rsidRDefault="002528FB" w:rsidP="002528FB">
      <w:pPr>
        <w:widowControl w:val="0"/>
        <w:spacing w:before="120"/>
        <w:jc w:val="both"/>
        <w:rPr>
          <w:bCs/>
          <w:sz w:val="24"/>
          <w:szCs w:val="24"/>
        </w:rPr>
      </w:pPr>
      <w:r w:rsidRPr="00831DB7">
        <w:rPr>
          <w:bCs/>
          <w:sz w:val="24"/>
          <w:szCs w:val="24"/>
        </w:rPr>
        <w:t>Dual absence means absence of both macrovascular and microvascular disease at baseline. Subdistribution hazard ratios (SHR) adjusted for sex, age, region of origin (</w:t>
      </w:r>
      <w:r w:rsidRPr="00831DB7">
        <w:rPr>
          <w:bCs/>
          <w:noProof w:val="0"/>
          <w:sz w:val="24"/>
          <w:szCs w:val="24"/>
        </w:rPr>
        <w:t>established market economies, Eastern Europe and Asia)</w:t>
      </w:r>
      <w:r w:rsidRPr="00831DB7">
        <w:rPr>
          <w:bCs/>
          <w:sz w:val="24"/>
          <w:szCs w:val="24"/>
        </w:rPr>
        <w:t xml:space="preserve">, BMI, duration of diabetes, HbA1c, systolic blood pressure, antihypertensive treatment, </w:t>
      </w:r>
      <w:r w:rsidRPr="00831DB7">
        <w:rPr>
          <w:sz w:val="24"/>
          <w:szCs w:val="24"/>
        </w:rPr>
        <w:t xml:space="preserve">eGFR and its </w:t>
      </w:r>
      <w:r w:rsidRPr="00831DB7">
        <w:rPr>
          <w:bCs/>
          <w:sz w:val="24"/>
          <w:szCs w:val="24"/>
        </w:rPr>
        <w:t xml:space="preserve">square, urinary albumin-creatinine ratio (normoalbuminuria, microalbuminuria and macroalbuminuria), LDL- and </w:t>
      </w:r>
      <w:r w:rsidRPr="00831DB7">
        <w:rPr>
          <w:bCs/>
          <w:noProof w:val="0"/>
          <w:sz w:val="24"/>
          <w:szCs w:val="24"/>
        </w:rPr>
        <w:t xml:space="preserve">HDL-cholesterol, </w:t>
      </w:r>
      <w:r w:rsidRPr="00831DB7">
        <w:rPr>
          <w:bCs/>
          <w:sz w:val="24"/>
          <w:szCs w:val="24"/>
        </w:rPr>
        <w:t>history of ever smoking,</w:t>
      </w:r>
      <w:r w:rsidRPr="00831DB7">
        <w:rPr>
          <w:sz w:val="24"/>
          <w:szCs w:val="24"/>
        </w:rPr>
        <w:t xml:space="preserve"> and randomized </w:t>
      </w:r>
      <w:r w:rsidRPr="00831DB7">
        <w:rPr>
          <w:bCs/>
          <w:sz w:val="24"/>
          <w:szCs w:val="24"/>
        </w:rPr>
        <w:t>study allocations.</w:t>
      </w:r>
      <w:bookmarkStart w:id="0" w:name="_GoBack"/>
      <w:bookmarkEnd w:id="0"/>
    </w:p>
    <w:p w:rsidR="00D07DC6" w:rsidRPr="000F0FBB" w:rsidRDefault="00D07DC6" w:rsidP="000F0FBB"/>
    <w:sectPr w:rsidR="00D07DC6" w:rsidRPr="000F0FBB" w:rsidSect="00BF2B16">
      <w:footerReference w:type="even" r:id="rId6"/>
      <w:footerReference w:type="default" r:id="rId7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E6B" w:rsidRDefault="00734E6B" w:rsidP="00F7490B">
      <w:r>
        <w:separator/>
      </w:r>
    </w:p>
  </w:endnote>
  <w:endnote w:type="continuationSeparator" w:id="0">
    <w:p w:rsidR="00734E6B" w:rsidRDefault="00734E6B" w:rsidP="00F74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E6B" w:rsidRDefault="00C96E90" w:rsidP="00F749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34E6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34E6B" w:rsidRDefault="00734E6B" w:rsidP="00F7490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E6B" w:rsidRDefault="00C96E90" w:rsidP="00F749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34E6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12E2">
      <w:rPr>
        <w:rStyle w:val="PageNumber"/>
      </w:rPr>
      <w:t>6</w:t>
    </w:r>
    <w:r>
      <w:rPr>
        <w:rStyle w:val="PageNumber"/>
      </w:rPr>
      <w:fldChar w:fldCharType="end"/>
    </w:r>
  </w:p>
  <w:p w:rsidR="00734E6B" w:rsidRDefault="00734E6B" w:rsidP="00F7490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E6B" w:rsidRDefault="00734E6B" w:rsidP="00F7490B">
      <w:r>
        <w:separator/>
      </w:r>
    </w:p>
  </w:footnote>
  <w:footnote w:type="continuationSeparator" w:id="0">
    <w:p w:rsidR="00734E6B" w:rsidRDefault="00734E6B" w:rsidP="00F7490B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k Woodward">
    <w15:presenceInfo w15:providerId="AD" w15:userId="S-1-5-21-2718785560-4068422674-851720049-333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rdiovascular Diab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vetew5vffptmeaarwv2a5td2fsxsz2xdat&quot;&gt;Micro &amp;amp; macrovascular disease &amp;amp; outcomes&lt;record-ids&gt;&lt;item&gt;1&lt;/item&gt;&lt;item&gt;4&lt;/item&gt;&lt;item&gt;5&lt;/item&gt;&lt;item&gt;6&lt;/item&gt;&lt;item&gt;7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/record-ids&gt;&lt;/item&gt;&lt;/Libraries&gt;"/>
  </w:docVars>
  <w:rsids>
    <w:rsidRoot w:val="009803E9"/>
    <w:rsid w:val="00002467"/>
    <w:rsid w:val="000055FC"/>
    <w:rsid w:val="00005E2D"/>
    <w:rsid w:val="00007E0B"/>
    <w:rsid w:val="00010B6D"/>
    <w:rsid w:val="000117CE"/>
    <w:rsid w:val="00011C32"/>
    <w:rsid w:val="0001420F"/>
    <w:rsid w:val="00015042"/>
    <w:rsid w:val="00020C6A"/>
    <w:rsid w:val="000240AF"/>
    <w:rsid w:val="00024591"/>
    <w:rsid w:val="00024BD3"/>
    <w:rsid w:val="000250BE"/>
    <w:rsid w:val="00026FE9"/>
    <w:rsid w:val="00027087"/>
    <w:rsid w:val="0002771A"/>
    <w:rsid w:val="000302CF"/>
    <w:rsid w:val="00030F41"/>
    <w:rsid w:val="00031014"/>
    <w:rsid w:val="0003357E"/>
    <w:rsid w:val="000336E4"/>
    <w:rsid w:val="000341A7"/>
    <w:rsid w:val="0003445B"/>
    <w:rsid w:val="00034813"/>
    <w:rsid w:val="00035BF1"/>
    <w:rsid w:val="00035F2C"/>
    <w:rsid w:val="000364A5"/>
    <w:rsid w:val="000374A3"/>
    <w:rsid w:val="0003754B"/>
    <w:rsid w:val="00037C14"/>
    <w:rsid w:val="000443C5"/>
    <w:rsid w:val="00044E18"/>
    <w:rsid w:val="00045D17"/>
    <w:rsid w:val="00046994"/>
    <w:rsid w:val="00053879"/>
    <w:rsid w:val="00053A5C"/>
    <w:rsid w:val="000547DF"/>
    <w:rsid w:val="0005517B"/>
    <w:rsid w:val="00056629"/>
    <w:rsid w:val="00056E57"/>
    <w:rsid w:val="000579AD"/>
    <w:rsid w:val="00057BD7"/>
    <w:rsid w:val="00060CDD"/>
    <w:rsid w:val="00066280"/>
    <w:rsid w:val="00066967"/>
    <w:rsid w:val="00067472"/>
    <w:rsid w:val="00071769"/>
    <w:rsid w:val="00071DA9"/>
    <w:rsid w:val="0007541A"/>
    <w:rsid w:val="00075DD9"/>
    <w:rsid w:val="00076F9D"/>
    <w:rsid w:val="000802B0"/>
    <w:rsid w:val="00081089"/>
    <w:rsid w:val="00081E5E"/>
    <w:rsid w:val="00082925"/>
    <w:rsid w:val="0008322C"/>
    <w:rsid w:val="00084161"/>
    <w:rsid w:val="00094D0E"/>
    <w:rsid w:val="00094F3B"/>
    <w:rsid w:val="000A06C3"/>
    <w:rsid w:val="000A2DF0"/>
    <w:rsid w:val="000A308B"/>
    <w:rsid w:val="000A3D6D"/>
    <w:rsid w:val="000A5DE9"/>
    <w:rsid w:val="000A6F40"/>
    <w:rsid w:val="000B00CC"/>
    <w:rsid w:val="000B03A7"/>
    <w:rsid w:val="000B0F5D"/>
    <w:rsid w:val="000B15E4"/>
    <w:rsid w:val="000B25F6"/>
    <w:rsid w:val="000B2AF9"/>
    <w:rsid w:val="000B2E4D"/>
    <w:rsid w:val="000B3A6A"/>
    <w:rsid w:val="000B5DC2"/>
    <w:rsid w:val="000B6442"/>
    <w:rsid w:val="000C103A"/>
    <w:rsid w:val="000C3D6B"/>
    <w:rsid w:val="000C41E0"/>
    <w:rsid w:val="000C44B7"/>
    <w:rsid w:val="000C4CDF"/>
    <w:rsid w:val="000C6630"/>
    <w:rsid w:val="000D0005"/>
    <w:rsid w:val="000D07B6"/>
    <w:rsid w:val="000D1DB4"/>
    <w:rsid w:val="000D2A64"/>
    <w:rsid w:val="000D5291"/>
    <w:rsid w:val="000D555B"/>
    <w:rsid w:val="000D5E83"/>
    <w:rsid w:val="000D62C7"/>
    <w:rsid w:val="000D74F4"/>
    <w:rsid w:val="000E0377"/>
    <w:rsid w:val="000E1E28"/>
    <w:rsid w:val="000E2578"/>
    <w:rsid w:val="000E289E"/>
    <w:rsid w:val="000E29E7"/>
    <w:rsid w:val="000E2E07"/>
    <w:rsid w:val="000E5ADC"/>
    <w:rsid w:val="000E6C6A"/>
    <w:rsid w:val="000E71D0"/>
    <w:rsid w:val="000E722B"/>
    <w:rsid w:val="000E7B14"/>
    <w:rsid w:val="000E7CE9"/>
    <w:rsid w:val="000F0FBB"/>
    <w:rsid w:val="000F1264"/>
    <w:rsid w:val="000F153F"/>
    <w:rsid w:val="000F28D3"/>
    <w:rsid w:val="000F306E"/>
    <w:rsid w:val="000F50AA"/>
    <w:rsid w:val="000F56E8"/>
    <w:rsid w:val="000F5F9A"/>
    <w:rsid w:val="000F6F35"/>
    <w:rsid w:val="001004E2"/>
    <w:rsid w:val="00100AED"/>
    <w:rsid w:val="001017D5"/>
    <w:rsid w:val="00103250"/>
    <w:rsid w:val="0010515E"/>
    <w:rsid w:val="00106935"/>
    <w:rsid w:val="00107976"/>
    <w:rsid w:val="00107FE3"/>
    <w:rsid w:val="00111712"/>
    <w:rsid w:val="00112BE5"/>
    <w:rsid w:val="00115B9E"/>
    <w:rsid w:val="0011655A"/>
    <w:rsid w:val="00116FEB"/>
    <w:rsid w:val="001172F9"/>
    <w:rsid w:val="001206E8"/>
    <w:rsid w:val="00120E8B"/>
    <w:rsid w:val="00121194"/>
    <w:rsid w:val="00121981"/>
    <w:rsid w:val="00121B56"/>
    <w:rsid w:val="00122BFE"/>
    <w:rsid w:val="001233A0"/>
    <w:rsid w:val="0012476E"/>
    <w:rsid w:val="00126AF4"/>
    <w:rsid w:val="00127D14"/>
    <w:rsid w:val="00127D4C"/>
    <w:rsid w:val="0013116E"/>
    <w:rsid w:val="001313F9"/>
    <w:rsid w:val="0013647F"/>
    <w:rsid w:val="00136B00"/>
    <w:rsid w:val="0013728A"/>
    <w:rsid w:val="00137F4A"/>
    <w:rsid w:val="00141B42"/>
    <w:rsid w:val="00142404"/>
    <w:rsid w:val="001436DB"/>
    <w:rsid w:val="001438EF"/>
    <w:rsid w:val="00144937"/>
    <w:rsid w:val="00144BA8"/>
    <w:rsid w:val="00144CE2"/>
    <w:rsid w:val="00146412"/>
    <w:rsid w:val="00147B7E"/>
    <w:rsid w:val="0015133F"/>
    <w:rsid w:val="001523CA"/>
    <w:rsid w:val="00152497"/>
    <w:rsid w:val="001535C3"/>
    <w:rsid w:val="0015657C"/>
    <w:rsid w:val="00156D40"/>
    <w:rsid w:val="00156DE6"/>
    <w:rsid w:val="0015707C"/>
    <w:rsid w:val="001615A5"/>
    <w:rsid w:val="00161886"/>
    <w:rsid w:val="00161D04"/>
    <w:rsid w:val="00165CE1"/>
    <w:rsid w:val="00166F97"/>
    <w:rsid w:val="00167CAC"/>
    <w:rsid w:val="00167DE6"/>
    <w:rsid w:val="00170234"/>
    <w:rsid w:val="00171BD4"/>
    <w:rsid w:val="00172403"/>
    <w:rsid w:val="001738C4"/>
    <w:rsid w:val="0017423D"/>
    <w:rsid w:val="00175252"/>
    <w:rsid w:val="001809A4"/>
    <w:rsid w:val="00181B25"/>
    <w:rsid w:val="00181E1E"/>
    <w:rsid w:val="00182BE3"/>
    <w:rsid w:val="00183B3F"/>
    <w:rsid w:val="00184FFB"/>
    <w:rsid w:val="00185B27"/>
    <w:rsid w:val="00186598"/>
    <w:rsid w:val="001902C1"/>
    <w:rsid w:val="00193378"/>
    <w:rsid w:val="001936AF"/>
    <w:rsid w:val="0019629A"/>
    <w:rsid w:val="00196622"/>
    <w:rsid w:val="00196E9A"/>
    <w:rsid w:val="00197867"/>
    <w:rsid w:val="001A14BD"/>
    <w:rsid w:val="001A26AE"/>
    <w:rsid w:val="001A3043"/>
    <w:rsid w:val="001A3283"/>
    <w:rsid w:val="001A364F"/>
    <w:rsid w:val="001A3A64"/>
    <w:rsid w:val="001B4511"/>
    <w:rsid w:val="001B538E"/>
    <w:rsid w:val="001B53FB"/>
    <w:rsid w:val="001B5F9D"/>
    <w:rsid w:val="001B6457"/>
    <w:rsid w:val="001C1870"/>
    <w:rsid w:val="001C3748"/>
    <w:rsid w:val="001C376D"/>
    <w:rsid w:val="001C3F47"/>
    <w:rsid w:val="001C5239"/>
    <w:rsid w:val="001C5AB4"/>
    <w:rsid w:val="001C6425"/>
    <w:rsid w:val="001D081B"/>
    <w:rsid w:val="001D13DD"/>
    <w:rsid w:val="001D2BD4"/>
    <w:rsid w:val="001D2BF4"/>
    <w:rsid w:val="001D7945"/>
    <w:rsid w:val="001E17BB"/>
    <w:rsid w:val="001E2FA1"/>
    <w:rsid w:val="001E3257"/>
    <w:rsid w:val="001E4918"/>
    <w:rsid w:val="001E6AC4"/>
    <w:rsid w:val="001F0EC9"/>
    <w:rsid w:val="001F153C"/>
    <w:rsid w:val="001F1A35"/>
    <w:rsid w:val="001F33CF"/>
    <w:rsid w:val="001F3AA3"/>
    <w:rsid w:val="001F4002"/>
    <w:rsid w:val="001F54D8"/>
    <w:rsid w:val="001F7176"/>
    <w:rsid w:val="001F7447"/>
    <w:rsid w:val="00201B32"/>
    <w:rsid w:val="0020230C"/>
    <w:rsid w:val="002038EE"/>
    <w:rsid w:val="00204472"/>
    <w:rsid w:val="002048E1"/>
    <w:rsid w:val="002049BD"/>
    <w:rsid w:val="00205153"/>
    <w:rsid w:val="00206755"/>
    <w:rsid w:val="00207344"/>
    <w:rsid w:val="00210347"/>
    <w:rsid w:val="00210862"/>
    <w:rsid w:val="002109B1"/>
    <w:rsid w:val="00211F59"/>
    <w:rsid w:val="002122B9"/>
    <w:rsid w:val="002123D9"/>
    <w:rsid w:val="00213179"/>
    <w:rsid w:val="00214670"/>
    <w:rsid w:val="0021713E"/>
    <w:rsid w:val="0021781B"/>
    <w:rsid w:val="002239F7"/>
    <w:rsid w:val="00223F84"/>
    <w:rsid w:val="0022481E"/>
    <w:rsid w:val="00227471"/>
    <w:rsid w:val="00234045"/>
    <w:rsid w:val="002340CD"/>
    <w:rsid w:val="00234F34"/>
    <w:rsid w:val="00243E72"/>
    <w:rsid w:val="00244588"/>
    <w:rsid w:val="002454F7"/>
    <w:rsid w:val="002469EA"/>
    <w:rsid w:val="00250A9F"/>
    <w:rsid w:val="002528FB"/>
    <w:rsid w:val="00252D76"/>
    <w:rsid w:val="00253289"/>
    <w:rsid w:val="00253621"/>
    <w:rsid w:val="00254F35"/>
    <w:rsid w:val="00257A1B"/>
    <w:rsid w:val="00257ABC"/>
    <w:rsid w:val="00257EE4"/>
    <w:rsid w:val="00260826"/>
    <w:rsid w:val="00260D77"/>
    <w:rsid w:val="0026176B"/>
    <w:rsid w:val="00261CD3"/>
    <w:rsid w:val="00261D16"/>
    <w:rsid w:val="00263F8D"/>
    <w:rsid w:val="00265837"/>
    <w:rsid w:val="00266E20"/>
    <w:rsid w:val="0027063A"/>
    <w:rsid w:val="00270DCE"/>
    <w:rsid w:val="00272510"/>
    <w:rsid w:val="00272D34"/>
    <w:rsid w:val="0027409C"/>
    <w:rsid w:val="00275903"/>
    <w:rsid w:val="00275981"/>
    <w:rsid w:val="002770DE"/>
    <w:rsid w:val="0027752D"/>
    <w:rsid w:val="00280555"/>
    <w:rsid w:val="00280AA5"/>
    <w:rsid w:val="0028124C"/>
    <w:rsid w:val="00282F3C"/>
    <w:rsid w:val="00283010"/>
    <w:rsid w:val="00283B7E"/>
    <w:rsid w:val="002850A8"/>
    <w:rsid w:val="00286712"/>
    <w:rsid w:val="00287686"/>
    <w:rsid w:val="0029042F"/>
    <w:rsid w:val="00290FD1"/>
    <w:rsid w:val="002936E2"/>
    <w:rsid w:val="00294645"/>
    <w:rsid w:val="002A0A8D"/>
    <w:rsid w:val="002A1BD8"/>
    <w:rsid w:val="002A1CCE"/>
    <w:rsid w:val="002A2DA5"/>
    <w:rsid w:val="002A365B"/>
    <w:rsid w:val="002A4738"/>
    <w:rsid w:val="002A5F49"/>
    <w:rsid w:val="002B1ABE"/>
    <w:rsid w:val="002B465C"/>
    <w:rsid w:val="002B483F"/>
    <w:rsid w:val="002B4C24"/>
    <w:rsid w:val="002B5B74"/>
    <w:rsid w:val="002B6477"/>
    <w:rsid w:val="002C25D3"/>
    <w:rsid w:val="002C37A0"/>
    <w:rsid w:val="002C3ED4"/>
    <w:rsid w:val="002C4F03"/>
    <w:rsid w:val="002C521E"/>
    <w:rsid w:val="002C5386"/>
    <w:rsid w:val="002C78E6"/>
    <w:rsid w:val="002D149A"/>
    <w:rsid w:val="002D1DFA"/>
    <w:rsid w:val="002D41A5"/>
    <w:rsid w:val="002E2173"/>
    <w:rsid w:val="002E6D48"/>
    <w:rsid w:val="002F2BBE"/>
    <w:rsid w:val="002F3CC6"/>
    <w:rsid w:val="002F3E9B"/>
    <w:rsid w:val="002F40FF"/>
    <w:rsid w:val="002F4D81"/>
    <w:rsid w:val="002F4EE5"/>
    <w:rsid w:val="002F5843"/>
    <w:rsid w:val="002F5EB1"/>
    <w:rsid w:val="002F5F7F"/>
    <w:rsid w:val="002F6E4F"/>
    <w:rsid w:val="002F7D1D"/>
    <w:rsid w:val="00301111"/>
    <w:rsid w:val="00301BAD"/>
    <w:rsid w:val="0030265E"/>
    <w:rsid w:val="0030513E"/>
    <w:rsid w:val="0030583C"/>
    <w:rsid w:val="00307F67"/>
    <w:rsid w:val="00311999"/>
    <w:rsid w:val="00311C85"/>
    <w:rsid w:val="00312199"/>
    <w:rsid w:val="00312715"/>
    <w:rsid w:val="00313B69"/>
    <w:rsid w:val="00313BBD"/>
    <w:rsid w:val="00315563"/>
    <w:rsid w:val="00316A4C"/>
    <w:rsid w:val="00317B09"/>
    <w:rsid w:val="00320124"/>
    <w:rsid w:val="0032247C"/>
    <w:rsid w:val="0032269D"/>
    <w:rsid w:val="00322C18"/>
    <w:rsid w:val="00323B4B"/>
    <w:rsid w:val="0032400C"/>
    <w:rsid w:val="00325002"/>
    <w:rsid w:val="0032791A"/>
    <w:rsid w:val="003302C0"/>
    <w:rsid w:val="00330490"/>
    <w:rsid w:val="00331A5B"/>
    <w:rsid w:val="00332222"/>
    <w:rsid w:val="003331B3"/>
    <w:rsid w:val="00333781"/>
    <w:rsid w:val="00333D28"/>
    <w:rsid w:val="00335BF5"/>
    <w:rsid w:val="00337F18"/>
    <w:rsid w:val="0034001F"/>
    <w:rsid w:val="00341990"/>
    <w:rsid w:val="00342416"/>
    <w:rsid w:val="00346632"/>
    <w:rsid w:val="00347F8D"/>
    <w:rsid w:val="003524AA"/>
    <w:rsid w:val="00353FC6"/>
    <w:rsid w:val="0035407B"/>
    <w:rsid w:val="00354537"/>
    <w:rsid w:val="00355203"/>
    <w:rsid w:val="00355AB2"/>
    <w:rsid w:val="0036090D"/>
    <w:rsid w:val="00360F02"/>
    <w:rsid w:val="0036155F"/>
    <w:rsid w:val="00361777"/>
    <w:rsid w:val="003631E3"/>
    <w:rsid w:val="00364711"/>
    <w:rsid w:val="0036480E"/>
    <w:rsid w:val="00364A4B"/>
    <w:rsid w:val="00366781"/>
    <w:rsid w:val="00371C46"/>
    <w:rsid w:val="003739C3"/>
    <w:rsid w:val="00373DD4"/>
    <w:rsid w:val="0037698E"/>
    <w:rsid w:val="0038058D"/>
    <w:rsid w:val="0038149E"/>
    <w:rsid w:val="00384479"/>
    <w:rsid w:val="00384615"/>
    <w:rsid w:val="00385F94"/>
    <w:rsid w:val="00387CD2"/>
    <w:rsid w:val="00391DB1"/>
    <w:rsid w:val="003939A0"/>
    <w:rsid w:val="00395EAD"/>
    <w:rsid w:val="003A01C5"/>
    <w:rsid w:val="003A12CB"/>
    <w:rsid w:val="003A6736"/>
    <w:rsid w:val="003A6B16"/>
    <w:rsid w:val="003A7207"/>
    <w:rsid w:val="003A74A7"/>
    <w:rsid w:val="003A757B"/>
    <w:rsid w:val="003A77DB"/>
    <w:rsid w:val="003B0170"/>
    <w:rsid w:val="003B11E2"/>
    <w:rsid w:val="003B2E38"/>
    <w:rsid w:val="003B3558"/>
    <w:rsid w:val="003B3A4A"/>
    <w:rsid w:val="003B4332"/>
    <w:rsid w:val="003B4BAE"/>
    <w:rsid w:val="003B4FEF"/>
    <w:rsid w:val="003B5408"/>
    <w:rsid w:val="003B545F"/>
    <w:rsid w:val="003B645E"/>
    <w:rsid w:val="003B7343"/>
    <w:rsid w:val="003B79A2"/>
    <w:rsid w:val="003C02D3"/>
    <w:rsid w:val="003C038B"/>
    <w:rsid w:val="003C1C2D"/>
    <w:rsid w:val="003C21AF"/>
    <w:rsid w:val="003C3106"/>
    <w:rsid w:val="003C5F29"/>
    <w:rsid w:val="003C6778"/>
    <w:rsid w:val="003D0907"/>
    <w:rsid w:val="003D0AAE"/>
    <w:rsid w:val="003D26DA"/>
    <w:rsid w:val="003D3C62"/>
    <w:rsid w:val="003D3F8F"/>
    <w:rsid w:val="003D4999"/>
    <w:rsid w:val="003D4F3B"/>
    <w:rsid w:val="003D6011"/>
    <w:rsid w:val="003D69D0"/>
    <w:rsid w:val="003D7E59"/>
    <w:rsid w:val="003E06B5"/>
    <w:rsid w:val="003E2E2D"/>
    <w:rsid w:val="003E3DC2"/>
    <w:rsid w:val="003E4263"/>
    <w:rsid w:val="003E4C19"/>
    <w:rsid w:val="003E5908"/>
    <w:rsid w:val="003E5C69"/>
    <w:rsid w:val="003E60CB"/>
    <w:rsid w:val="003E65E6"/>
    <w:rsid w:val="003E76A2"/>
    <w:rsid w:val="003F0F53"/>
    <w:rsid w:val="003F13D3"/>
    <w:rsid w:val="003F205A"/>
    <w:rsid w:val="003F23D6"/>
    <w:rsid w:val="003F27D5"/>
    <w:rsid w:val="003F462E"/>
    <w:rsid w:val="003F544B"/>
    <w:rsid w:val="003F5AB4"/>
    <w:rsid w:val="003F704E"/>
    <w:rsid w:val="003F7DAA"/>
    <w:rsid w:val="00400030"/>
    <w:rsid w:val="0040136E"/>
    <w:rsid w:val="004018FD"/>
    <w:rsid w:val="004040AD"/>
    <w:rsid w:val="004064A6"/>
    <w:rsid w:val="004077EB"/>
    <w:rsid w:val="0041110F"/>
    <w:rsid w:val="00411E23"/>
    <w:rsid w:val="004148EF"/>
    <w:rsid w:val="00415CFC"/>
    <w:rsid w:val="00416995"/>
    <w:rsid w:val="004211A2"/>
    <w:rsid w:val="00421E93"/>
    <w:rsid w:val="00423046"/>
    <w:rsid w:val="0042373C"/>
    <w:rsid w:val="0042377B"/>
    <w:rsid w:val="00423B63"/>
    <w:rsid w:val="00424756"/>
    <w:rsid w:val="0042527F"/>
    <w:rsid w:val="00430DB9"/>
    <w:rsid w:val="0043322F"/>
    <w:rsid w:val="004338D4"/>
    <w:rsid w:val="00435A68"/>
    <w:rsid w:val="00436015"/>
    <w:rsid w:val="00437B9E"/>
    <w:rsid w:val="00440FB3"/>
    <w:rsid w:val="004423A3"/>
    <w:rsid w:val="004447D7"/>
    <w:rsid w:val="004447F1"/>
    <w:rsid w:val="00444BB0"/>
    <w:rsid w:val="00454731"/>
    <w:rsid w:val="004547C0"/>
    <w:rsid w:val="00454BF4"/>
    <w:rsid w:val="0045548E"/>
    <w:rsid w:val="00456877"/>
    <w:rsid w:val="00456FA8"/>
    <w:rsid w:val="004573C2"/>
    <w:rsid w:val="00460DD8"/>
    <w:rsid w:val="004613CE"/>
    <w:rsid w:val="00461EB7"/>
    <w:rsid w:val="004630CB"/>
    <w:rsid w:val="00463B46"/>
    <w:rsid w:val="004647F6"/>
    <w:rsid w:val="00465DB1"/>
    <w:rsid w:val="004718F9"/>
    <w:rsid w:val="0047233D"/>
    <w:rsid w:val="00480696"/>
    <w:rsid w:val="00481450"/>
    <w:rsid w:val="00481749"/>
    <w:rsid w:val="00482F51"/>
    <w:rsid w:val="0048594A"/>
    <w:rsid w:val="004912E2"/>
    <w:rsid w:val="00492D5E"/>
    <w:rsid w:val="00494C32"/>
    <w:rsid w:val="0049527A"/>
    <w:rsid w:val="004954E1"/>
    <w:rsid w:val="004A21EE"/>
    <w:rsid w:val="004A2CE2"/>
    <w:rsid w:val="004A32AF"/>
    <w:rsid w:val="004A3419"/>
    <w:rsid w:val="004A5C20"/>
    <w:rsid w:val="004A61E2"/>
    <w:rsid w:val="004A72CA"/>
    <w:rsid w:val="004A7CD1"/>
    <w:rsid w:val="004A7DA3"/>
    <w:rsid w:val="004B0F46"/>
    <w:rsid w:val="004B50BA"/>
    <w:rsid w:val="004B5E7F"/>
    <w:rsid w:val="004C04CD"/>
    <w:rsid w:val="004C0C15"/>
    <w:rsid w:val="004C3557"/>
    <w:rsid w:val="004D2E61"/>
    <w:rsid w:val="004D3541"/>
    <w:rsid w:val="004D5138"/>
    <w:rsid w:val="004D6F62"/>
    <w:rsid w:val="004D7699"/>
    <w:rsid w:val="004D7E27"/>
    <w:rsid w:val="004E0512"/>
    <w:rsid w:val="004E0661"/>
    <w:rsid w:val="004E2013"/>
    <w:rsid w:val="004E2AB1"/>
    <w:rsid w:val="004E351C"/>
    <w:rsid w:val="004E50CD"/>
    <w:rsid w:val="004E5329"/>
    <w:rsid w:val="004E5B14"/>
    <w:rsid w:val="004E77D2"/>
    <w:rsid w:val="004F044F"/>
    <w:rsid w:val="004F12C6"/>
    <w:rsid w:val="004F2094"/>
    <w:rsid w:val="004F29BE"/>
    <w:rsid w:val="004F42C0"/>
    <w:rsid w:val="004F49C3"/>
    <w:rsid w:val="004F5288"/>
    <w:rsid w:val="004F5293"/>
    <w:rsid w:val="00502B79"/>
    <w:rsid w:val="00504B60"/>
    <w:rsid w:val="00504F1E"/>
    <w:rsid w:val="005053D7"/>
    <w:rsid w:val="005063E5"/>
    <w:rsid w:val="00510920"/>
    <w:rsid w:val="00512C3B"/>
    <w:rsid w:val="005146AE"/>
    <w:rsid w:val="005172D1"/>
    <w:rsid w:val="00517C0B"/>
    <w:rsid w:val="00521AD2"/>
    <w:rsid w:val="00521BB9"/>
    <w:rsid w:val="00522178"/>
    <w:rsid w:val="00522BA2"/>
    <w:rsid w:val="00522DA8"/>
    <w:rsid w:val="005248ED"/>
    <w:rsid w:val="00525268"/>
    <w:rsid w:val="00525E16"/>
    <w:rsid w:val="00531469"/>
    <w:rsid w:val="005321C4"/>
    <w:rsid w:val="00532DFB"/>
    <w:rsid w:val="00533347"/>
    <w:rsid w:val="00533A31"/>
    <w:rsid w:val="00533BC3"/>
    <w:rsid w:val="00533FCF"/>
    <w:rsid w:val="00536C8C"/>
    <w:rsid w:val="00537416"/>
    <w:rsid w:val="00540BC5"/>
    <w:rsid w:val="00541995"/>
    <w:rsid w:val="0054213A"/>
    <w:rsid w:val="0054228C"/>
    <w:rsid w:val="00543C44"/>
    <w:rsid w:val="00545037"/>
    <w:rsid w:val="00546CA7"/>
    <w:rsid w:val="005507B0"/>
    <w:rsid w:val="00550941"/>
    <w:rsid w:val="00551E22"/>
    <w:rsid w:val="00556B4A"/>
    <w:rsid w:val="005574E6"/>
    <w:rsid w:val="005627C7"/>
    <w:rsid w:val="005636A5"/>
    <w:rsid w:val="005664AA"/>
    <w:rsid w:val="0056713A"/>
    <w:rsid w:val="00570DC0"/>
    <w:rsid w:val="005710F6"/>
    <w:rsid w:val="00574477"/>
    <w:rsid w:val="00575822"/>
    <w:rsid w:val="00575EA8"/>
    <w:rsid w:val="0057768F"/>
    <w:rsid w:val="005805F1"/>
    <w:rsid w:val="00582C62"/>
    <w:rsid w:val="00583505"/>
    <w:rsid w:val="00583D07"/>
    <w:rsid w:val="00584522"/>
    <w:rsid w:val="005848F9"/>
    <w:rsid w:val="00587B1B"/>
    <w:rsid w:val="0059141E"/>
    <w:rsid w:val="00591534"/>
    <w:rsid w:val="005A002C"/>
    <w:rsid w:val="005A01B6"/>
    <w:rsid w:val="005A1C25"/>
    <w:rsid w:val="005A23B6"/>
    <w:rsid w:val="005A2B88"/>
    <w:rsid w:val="005A4340"/>
    <w:rsid w:val="005A6433"/>
    <w:rsid w:val="005A7272"/>
    <w:rsid w:val="005A7480"/>
    <w:rsid w:val="005B1F19"/>
    <w:rsid w:val="005B22A7"/>
    <w:rsid w:val="005B418C"/>
    <w:rsid w:val="005C19E7"/>
    <w:rsid w:val="005C3049"/>
    <w:rsid w:val="005C68D4"/>
    <w:rsid w:val="005C7854"/>
    <w:rsid w:val="005D2823"/>
    <w:rsid w:val="005D2FAF"/>
    <w:rsid w:val="005D3DA5"/>
    <w:rsid w:val="005D4515"/>
    <w:rsid w:val="005D4B1D"/>
    <w:rsid w:val="005E25CC"/>
    <w:rsid w:val="005E2A20"/>
    <w:rsid w:val="005E776E"/>
    <w:rsid w:val="005F1530"/>
    <w:rsid w:val="005F16C1"/>
    <w:rsid w:val="005F181B"/>
    <w:rsid w:val="005F22CA"/>
    <w:rsid w:val="005F30F2"/>
    <w:rsid w:val="005F4010"/>
    <w:rsid w:val="005F411E"/>
    <w:rsid w:val="005F4656"/>
    <w:rsid w:val="005F4B44"/>
    <w:rsid w:val="005F5512"/>
    <w:rsid w:val="005F56CB"/>
    <w:rsid w:val="005F5CE9"/>
    <w:rsid w:val="005F6A6D"/>
    <w:rsid w:val="005F6E4B"/>
    <w:rsid w:val="006013C5"/>
    <w:rsid w:val="00602B47"/>
    <w:rsid w:val="00605D9F"/>
    <w:rsid w:val="00606513"/>
    <w:rsid w:val="00606889"/>
    <w:rsid w:val="00606F8A"/>
    <w:rsid w:val="0061000C"/>
    <w:rsid w:val="00610930"/>
    <w:rsid w:val="006146E1"/>
    <w:rsid w:val="0061562D"/>
    <w:rsid w:val="00616E12"/>
    <w:rsid w:val="00620AAC"/>
    <w:rsid w:val="0062155F"/>
    <w:rsid w:val="00622B8A"/>
    <w:rsid w:val="006304F1"/>
    <w:rsid w:val="00632629"/>
    <w:rsid w:val="00632AC4"/>
    <w:rsid w:val="00634806"/>
    <w:rsid w:val="00635B9F"/>
    <w:rsid w:val="0063679F"/>
    <w:rsid w:val="00637F78"/>
    <w:rsid w:val="00641589"/>
    <w:rsid w:val="00641E29"/>
    <w:rsid w:val="00641E78"/>
    <w:rsid w:val="00642AD4"/>
    <w:rsid w:val="00644306"/>
    <w:rsid w:val="00646D1A"/>
    <w:rsid w:val="00652791"/>
    <w:rsid w:val="00652BA0"/>
    <w:rsid w:val="006531E7"/>
    <w:rsid w:val="0065395E"/>
    <w:rsid w:val="006542E1"/>
    <w:rsid w:val="00656EC5"/>
    <w:rsid w:val="00657C1F"/>
    <w:rsid w:val="00661B53"/>
    <w:rsid w:val="00663493"/>
    <w:rsid w:val="00664C30"/>
    <w:rsid w:val="00664D81"/>
    <w:rsid w:val="00665EAD"/>
    <w:rsid w:val="00670765"/>
    <w:rsid w:val="006722C3"/>
    <w:rsid w:val="00672918"/>
    <w:rsid w:val="006742F4"/>
    <w:rsid w:val="00676E16"/>
    <w:rsid w:val="00680092"/>
    <w:rsid w:val="006831CB"/>
    <w:rsid w:val="0068627A"/>
    <w:rsid w:val="0068696C"/>
    <w:rsid w:val="006903AE"/>
    <w:rsid w:val="00691957"/>
    <w:rsid w:val="00693EDE"/>
    <w:rsid w:val="00694B00"/>
    <w:rsid w:val="00694FEA"/>
    <w:rsid w:val="00695290"/>
    <w:rsid w:val="006957EA"/>
    <w:rsid w:val="00696ED5"/>
    <w:rsid w:val="0069733A"/>
    <w:rsid w:val="006A1012"/>
    <w:rsid w:val="006A286C"/>
    <w:rsid w:val="006A4004"/>
    <w:rsid w:val="006A551F"/>
    <w:rsid w:val="006A5B83"/>
    <w:rsid w:val="006A5B8E"/>
    <w:rsid w:val="006A5F88"/>
    <w:rsid w:val="006A6187"/>
    <w:rsid w:val="006A61EC"/>
    <w:rsid w:val="006B126B"/>
    <w:rsid w:val="006B13FC"/>
    <w:rsid w:val="006B14A4"/>
    <w:rsid w:val="006B17D9"/>
    <w:rsid w:val="006B2CA9"/>
    <w:rsid w:val="006B2F0D"/>
    <w:rsid w:val="006B305E"/>
    <w:rsid w:val="006B343B"/>
    <w:rsid w:val="006B3E6D"/>
    <w:rsid w:val="006B433A"/>
    <w:rsid w:val="006B4C72"/>
    <w:rsid w:val="006B5870"/>
    <w:rsid w:val="006B5E5F"/>
    <w:rsid w:val="006B6012"/>
    <w:rsid w:val="006B696B"/>
    <w:rsid w:val="006B6C72"/>
    <w:rsid w:val="006B770C"/>
    <w:rsid w:val="006C025C"/>
    <w:rsid w:val="006C309D"/>
    <w:rsid w:val="006C356A"/>
    <w:rsid w:val="006C389B"/>
    <w:rsid w:val="006C49F9"/>
    <w:rsid w:val="006C5844"/>
    <w:rsid w:val="006C6641"/>
    <w:rsid w:val="006D018A"/>
    <w:rsid w:val="006D0A5A"/>
    <w:rsid w:val="006D0ED1"/>
    <w:rsid w:val="006D1ECB"/>
    <w:rsid w:val="006D44EE"/>
    <w:rsid w:val="006D4A28"/>
    <w:rsid w:val="006D65E1"/>
    <w:rsid w:val="006D731B"/>
    <w:rsid w:val="006E559F"/>
    <w:rsid w:val="006F05FE"/>
    <w:rsid w:val="006F2B63"/>
    <w:rsid w:val="006F398C"/>
    <w:rsid w:val="006F4D8C"/>
    <w:rsid w:val="006F5C51"/>
    <w:rsid w:val="006F65A3"/>
    <w:rsid w:val="00703907"/>
    <w:rsid w:val="007048F9"/>
    <w:rsid w:val="00704AE5"/>
    <w:rsid w:val="00705971"/>
    <w:rsid w:val="007101D2"/>
    <w:rsid w:val="0071119F"/>
    <w:rsid w:val="00711C7E"/>
    <w:rsid w:val="00713CB9"/>
    <w:rsid w:val="007148C1"/>
    <w:rsid w:val="00714E32"/>
    <w:rsid w:val="00715100"/>
    <w:rsid w:val="00715CA2"/>
    <w:rsid w:val="00717260"/>
    <w:rsid w:val="00717AAC"/>
    <w:rsid w:val="00723B77"/>
    <w:rsid w:val="00724A21"/>
    <w:rsid w:val="007271BC"/>
    <w:rsid w:val="00730DB4"/>
    <w:rsid w:val="00732469"/>
    <w:rsid w:val="007331B5"/>
    <w:rsid w:val="00733559"/>
    <w:rsid w:val="007344F7"/>
    <w:rsid w:val="00734E6B"/>
    <w:rsid w:val="00734E81"/>
    <w:rsid w:val="00734EBB"/>
    <w:rsid w:val="00735654"/>
    <w:rsid w:val="00741366"/>
    <w:rsid w:val="007413C0"/>
    <w:rsid w:val="00741B84"/>
    <w:rsid w:val="00742979"/>
    <w:rsid w:val="00745847"/>
    <w:rsid w:val="00746291"/>
    <w:rsid w:val="00746930"/>
    <w:rsid w:val="007472B0"/>
    <w:rsid w:val="007511B1"/>
    <w:rsid w:val="0075137E"/>
    <w:rsid w:val="00755885"/>
    <w:rsid w:val="00755FA8"/>
    <w:rsid w:val="007564B8"/>
    <w:rsid w:val="00756EDC"/>
    <w:rsid w:val="00757D2C"/>
    <w:rsid w:val="007600D1"/>
    <w:rsid w:val="007642A8"/>
    <w:rsid w:val="007643B7"/>
    <w:rsid w:val="00767771"/>
    <w:rsid w:val="00771E4E"/>
    <w:rsid w:val="00773864"/>
    <w:rsid w:val="00774499"/>
    <w:rsid w:val="00774D8C"/>
    <w:rsid w:val="00776F48"/>
    <w:rsid w:val="007800D8"/>
    <w:rsid w:val="00780704"/>
    <w:rsid w:val="00783625"/>
    <w:rsid w:val="0078461E"/>
    <w:rsid w:val="00785027"/>
    <w:rsid w:val="00786F59"/>
    <w:rsid w:val="00787867"/>
    <w:rsid w:val="007903B0"/>
    <w:rsid w:val="0079182D"/>
    <w:rsid w:val="00793288"/>
    <w:rsid w:val="00796794"/>
    <w:rsid w:val="00796B1D"/>
    <w:rsid w:val="00796E58"/>
    <w:rsid w:val="007979AC"/>
    <w:rsid w:val="00797EBE"/>
    <w:rsid w:val="007A0A67"/>
    <w:rsid w:val="007A0FBF"/>
    <w:rsid w:val="007A1A50"/>
    <w:rsid w:val="007A36E2"/>
    <w:rsid w:val="007A4915"/>
    <w:rsid w:val="007A49F2"/>
    <w:rsid w:val="007A54C2"/>
    <w:rsid w:val="007A5AF7"/>
    <w:rsid w:val="007A60A9"/>
    <w:rsid w:val="007A6782"/>
    <w:rsid w:val="007A68D6"/>
    <w:rsid w:val="007A72B7"/>
    <w:rsid w:val="007A7686"/>
    <w:rsid w:val="007B087A"/>
    <w:rsid w:val="007B1157"/>
    <w:rsid w:val="007B2078"/>
    <w:rsid w:val="007B337F"/>
    <w:rsid w:val="007B3717"/>
    <w:rsid w:val="007B5E36"/>
    <w:rsid w:val="007B6264"/>
    <w:rsid w:val="007B798A"/>
    <w:rsid w:val="007B7CC0"/>
    <w:rsid w:val="007C01C2"/>
    <w:rsid w:val="007C089D"/>
    <w:rsid w:val="007C1901"/>
    <w:rsid w:val="007D019E"/>
    <w:rsid w:val="007D0DA8"/>
    <w:rsid w:val="007D15E1"/>
    <w:rsid w:val="007D1969"/>
    <w:rsid w:val="007D19B6"/>
    <w:rsid w:val="007D2365"/>
    <w:rsid w:val="007D2777"/>
    <w:rsid w:val="007D2D3E"/>
    <w:rsid w:val="007D4205"/>
    <w:rsid w:val="007D483A"/>
    <w:rsid w:val="007D4AE6"/>
    <w:rsid w:val="007D5412"/>
    <w:rsid w:val="007D5B82"/>
    <w:rsid w:val="007D6478"/>
    <w:rsid w:val="007E07A3"/>
    <w:rsid w:val="007E0ADC"/>
    <w:rsid w:val="007E1343"/>
    <w:rsid w:val="007E200F"/>
    <w:rsid w:val="007E21D9"/>
    <w:rsid w:val="007E277C"/>
    <w:rsid w:val="007E2CAA"/>
    <w:rsid w:val="007E60C0"/>
    <w:rsid w:val="007E7D14"/>
    <w:rsid w:val="007F05A3"/>
    <w:rsid w:val="007F13A2"/>
    <w:rsid w:val="007F6730"/>
    <w:rsid w:val="007F7973"/>
    <w:rsid w:val="008027CC"/>
    <w:rsid w:val="00802825"/>
    <w:rsid w:val="00803131"/>
    <w:rsid w:val="0080320E"/>
    <w:rsid w:val="00803C84"/>
    <w:rsid w:val="00804089"/>
    <w:rsid w:val="00804A45"/>
    <w:rsid w:val="00804E62"/>
    <w:rsid w:val="00805AD7"/>
    <w:rsid w:val="00805F6A"/>
    <w:rsid w:val="0080640C"/>
    <w:rsid w:val="00806B16"/>
    <w:rsid w:val="008104F1"/>
    <w:rsid w:val="008149E8"/>
    <w:rsid w:val="00814D3A"/>
    <w:rsid w:val="00815648"/>
    <w:rsid w:val="00815C00"/>
    <w:rsid w:val="00815C89"/>
    <w:rsid w:val="00816A43"/>
    <w:rsid w:val="00822475"/>
    <w:rsid w:val="00822B39"/>
    <w:rsid w:val="00823964"/>
    <w:rsid w:val="00823B03"/>
    <w:rsid w:val="00824B2C"/>
    <w:rsid w:val="00826880"/>
    <w:rsid w:val="008269D2"/>
    <w:rsid w:val="008269E5"/>
    <w:rsid w:val="00826AE6"/>
    <w:rsid w:val="008302BA"/>
    <w:rsid w:val="00830485"/>
    <w:rsid w:val="008305F9"/>
    <w:rsid w:val="00831DB7"/>
    <w:rsid w:val="00832DB9"/>
    <w:rsid w:val="00833C81"/>
    <w:rsid w:val="00836381"/>
    <w:rsid w:val="00837413"/>
    <w:rsid w:val="00837A46"/>
    <w:rsid w:val="00842410"/>
    <w:rsid w:val="00843766"/>
    <w:rsid w:val="0084510C"/>
    <w:rsid w:val="00846491"/>
    <w:rsid w:val="008512E4"/>
    <w:rsid w:val="008516BB"/>
    <w:rsid w:val="00852666"/>
    <w:rsid w:val="008549D2"/>
    <w:rsid w:val="00856DE0"/>
    <w:rsid w:val="00857DCC"/>
    <w:rsid w:val="00860C24"/>
    <w:rsid w:val="00860D3C"/>
    <w:rsid w:val="00861B92"/>
    <w:rsid w:val="008624BC"/>
    <w:rsid w:val="008629AE"/>
    <w:rsid w:val="00865214"/>
    <w:rsid w:val="0086595F"/>
    <w:rsid w:val="00865A87"/>
    <w:rsid w:val="0086610A"/>
    <w:rsid w:val="0087160C"/>
    <w:rsid w:val="0087219E"/>
    <w:rsid w:val="0087239F"/>
    <w:rsid w:val="0087266F"/>
    <w:rsid w:val="00872AFE"/>
    <w:rsid w:val="00872E46"/>
    <w:rsid w:val="008740EC"/>
    <w:rsid w:val="008743C9"/>
    <w:rsid w:val="008761BC"/>
    <w:rsid w:val="0087741E"/>
    <w:rsid w:val="00877C1F"/>
    <w:rsid w:val="00880483"/>
    <w:rsid w:val="00881F08"/>
    <w:rsid w:val="00883843"/>
    <w:rsid w:val="00883993"/>
    <w:rsid w:val="00883A03"/>
    <w:rsid w:val="008863BE"/>
    <w:rsid w:val="00886BB0"/>
    <w:rsid w:val="00886C25"/>
    <w:rsid w:val="008901AB"/>
    <w:rsid w:val="008909FE"/>
    <w:rsid w:val="008942B9"/>
    <w:rsid w:val="0089531C"/>
    <w:rsid w:val="00895929"/>
    <w:rsid w:val="00895F23"/>
    <w:rsid w:val="0089611F"/>
    <w:rsid w:val="008A03DE"/>
    <w:rsid w:val="008A1EEA"/>
    <w:rsid w:val="008A319A"/>
    <w:rsid w:val="008A35D4"/>
    <w:rsid w:val="008A40F9"/>
    <w:rsid w:val="008A42A7"/>
    <w:rsid w:val="008A5D46"/>
    <w:rsid w:val="008A6485"/>
    <w:rsid w:val="008A7C5F"/>
    <w:rsid w:val="008B079B"/>
    <w:rsid w:val="008B0AD8"/>
    <w:rsid w:val="008B2469"/>
    <w:rsid w:val="008B2CFF"/>
    <w:rsid w:val="008B5F97"/>
    <w:rsid w:val="008B6819"/>
    <w:rsid w:val="008B7E24"/>
    <w:rsid w:val="008C2223"/>
    <w:rsid w:val="008C2C5D"/>
    <w:rsid w:val="008C307D"/>
    <w:rsid w:val="008C3F46"/>
    <w:rsid w:val="008C5532"/>
    <w:rsid w:val="008C5E72"/>
    <w:rsid w:val="008C7D98"/>
    <w:rsid w:val="008D0882"/>
    <w:rsid w:val="008D110B"/>
    <w:rsid w:val="008D18DA"/>
    <w:rsid w:val="008D2205"/>
    <w:rsid w:val="008D322D"/>
    <w:rsid w:val="008D3473"/>
    <w:rsid w:val="008D363F"/>
    <w:rsid w:val="008D3AE4"/>
    <w:rsid w:val="008D3B18"/>
    <w:rsid w:val="008D4A84"/>
    <w:rsid w:val="008D5B0E"/>
    <w:rsid w:val="008D5EB1"/>
    <w:rsid w:val="008D6346"/>
    <w:rsid w:val="008D7A32"/>
    <w:rsid w:val="008E00A4"/>
    <w:rsid w:val="008E1F94"/>
    <w:rsid w:val="008E2062"/>
    <w:rsid w:val="008E33F8"/>
    <w:rsid w:val="008E3875"/>
    <w:rsid w:val="008E54EF"/>
    <w:rsid w:val="008E5716"/>
    <w:rsid w:val="008E6D69"/>
    <w:rsid w:val="008F1654"/>
    <w:rsid w:val="008F1ECA"/>
    <w:rsid w:val="008F282C"/>
    <w:rsid w:val="008F40C7"/>
    <w:rsid w:val="008F432A"/>
    <w:rsid w:val="008F4D36"/>
    <w:rsid w:val="008F6F2A"/>
    <w:rsid w:val="00900ACA"/>
    <w:rsid w:val="0090372E"/>
    <w:rsid w:val="0090581C"/>
    <w:rsid w:val="00906886"/>
    <w:rsid w:val="0091120D"/>
    <w:rsid w:val="00914ED3"/>
    <w:rsid w:val="0091689D"/>
    <w:rsid w:val="0092531A"/>
    <w:rsid w:val="00925DC7"/>
    <w:rsid w:val="00927589"/>
    <w:rsid w:val="00931A82"/>
    <w:rsid w:val="00931B6D"/>
    <w:rsid w:val="00932F68"/>
    <w:rsid w:val="00933AC1"/>
    <w:rsid w:val="00933CC7"/>
    <w:rsid w:val="00935BC9"/>
    <w:rsid w:val="00936265"/>
    <w:rsid w:val="00936377"/>
    <w:rsid w:val="00937A8F"/>
    <w:rsid w:val="00937BA9"/>
    <w:rsid w:val="00940FD5"/>
    <w:rsid w:val="00942A38"/>
    <w:rsid w:val="00942B42"/>
    <w:rsid w:val="00943838"/>
    <w:rsid w:val="009446E8"/>
    <w:rsid w:val="00945AF4"/>
    <w:rsid w:val="009515D9"/>
    <w:rsid w:val="0095280E"/>
    <w:rsid w:val="00954547"/>
    <w:rsid w:val="00956B13"/>
    <w:rsid w:val="0095702B"/>
    <w:rsid w:val="009618EE"/>
    <w:rsid w:val="00961AC8"/>
    <w:rsid w:val="0096604F"/>
    <w:rsid w:val="00967EFA"/>
    <w:rsid w:val="0097010F"/>
    <w:rsid w:val="00971CCA"/>
    <w:rsid w:val="009724E2"/>
    <w:rsid w:val="00972953"/>
    <w:rsid w:val="00980210"/>
    <w:rsid w:val="009803E9"/>
    <w:rsid w:val="00980EDC"/>
    <w:rsid w:val="00981508"/>
    <w:rsid w:val="009826FC"/>
    <w:rsid w:val="00985AC3"/>
    <w:rsid w:val="009861B6"/>
    <w:rsid w:val="009869EE"/>
    <w:rsid w:val="00986F21"/>
    <w:rsid w:val="009870D6"/>
    <w:rsid w:val="009876A4"/>
    <w:rsid w:val="00987E27"/>
    <w:rsid w:val="00991299"/>
    <w:rsid w:val="009924CB"/>
    <w:rsid w:val="0099261A"/>
    <w:rsid w:val="009926A7"/>
    <w:rsid w:val="00993D2A"/>
    <w:rsid w:val="00993D69"/>
    <w:rsid w:val="009970F5"/>
    <w:rsid w:val="009A1362"/>
    <w:rsid w:val="009A23EC"/>
    <w:rsid w:val="009A2D40"/>
    <w:rsid w:val="009A3518"/>
    <w:rsid w:val="009A4CC4"/>
    <w:rsid w:val="009A5F2C"/>
    <w:rsid w:val="009B1072"/>
    <w:rsid w:val="009B55E4"/>
    <w:rsid w:val="009B6F47"/>
    <w:rsid w:val="009B7C09"/>
    <w:rsid w:val="009B7DAB"/>
    <w:rsid w:val="009C280F"/>
    <w:rsid w:val="009C2BB4"/>
    <w:rsid w:val="009C3523"/>
    <w:rsid w:val="009C4D77"/>
    <w:rsid w:val="009C555E"/>
    <w:rsid w:val="009C6762"/>
    <w:rsid w:val="009C70A3"/>
    <w:rsid w:val="009C751F"/>
    <w:rsid w:val="009C778D"/>
    <w:rsid w:val="009D039B"/>
    <w:rsid w:val="009D1683"/>
    <w:rsid w:val="009D1961"/>
    <w:rsid w:val="009D1F73"/>
    <w:rsid w:val="009D3E98"/>
    <w:rsid w:val="009D53F1"/>
    <w:rsid w:val="009D53FA"/>
    <w:rsid w:val="009D740A"/>
    <w:rsid w:val="009E048F"/>
    <w:rsid w:val="009E0DFA"/>
    <w:rsid w:val="009E1E62"/>
    <w:rsid w:val="009E2D3D"/>
    <w:rsid w:val="009E323B"/>
    <w:rsid w:val="009E3348"/>
    <w:rsid w:val="009E74F8"/>
    <w:rsid w:val="009E7BA0"/>
    <w:rsid w:val="009F0341"/>
    <w:rsid w:val="009F076A"/>
    <w:rsid w:val="009F125C"/>
    <w:rsid w:val="009F2C23"/>
    <w:rsid w:val="009F51D2"/>
    <w:rsid w:val="009F5626"/>
    <w:rsid w:val="009F67C6"/>
    <w:rsid w:val="00A000CA"/>
    <w:rsid w:val="00A01E5A"/>
    <w:rsid w:val="00A02110"/>
    <w:rsid w:val="00A037CC"/>
    <w:rsid w:val="00A048A8"/>
    <w:rsid w:val="00A05A35"/>
    <w:rsid w:val="00A07B2D"/>
    <w:rsid w:val="00A1303A"/>
    <w:rsid w:val="00A1376B"/>
    <w:rsid w:val="00A137D0"/>
    <w:rsid w:val="00A1679F"/>
    <w:rsid w:val="00A177A1"/>
    <w:rsid w:val="00A2093C"/>
    <w:rsid w:val="00A2099E"/>
    <w:rsid w:val="00A20C82"/>
    <w:rsid w:val="00A22078"/>
    <w:rsid w:val="00A24432"/>
    <w:rsid w:val="00A2453C"/>
    <w:rsid w:val="00A25DF5"/>
    <w:rsid w:val="00A26CE6"/>
    <w:rsid w:val="00A27478"/>
    <w:rsid w:val="00A3018B"/>
    <w:rsid w:val="00A308D1"/>
    <w:rsid w:val="00A3207C"/>
    <w:rsid w:val="00A32A0F"/>
    <w:rsid w:val="00A32FEC"/>
    <w:rsid w:val="00A34897"/>
    <w:rsid w:val="00A34B11"/>
    <w:rsid w:val="00A368CB"/>
    <w:rsid w:val="00A40053"/>
    <w:rsid w:val="00A42D8D"/>
    <w:rsid w:val="00A43D18"/>
    <w:rsid w:val="00A4544B"/>
    <w:rsid w:val="00A45AF8"/>
    <w:rsid w:val="00A460C4"/>
    <w:rsid w:val="00A50A31"/>
    <w:rsid w:val="00A510D9"/>
    <w:rsid w:val="00A54F37"/>
    <w:rsid w:val="00A551FD"/>
    <w:rsid w:val="00A63F6A"/>
    <w:rsid w:val="00A64B12"/>
    <w:rsid w:val="00A66568"/>
    <w:rsid w:val="00A7024B"/>
    <w:rsid w:val="00A72608"/>
    <w:rsid w:val="00A74094"/>
    <w:rsid w:val="00A74C90"/>
    <w:rsid w:val="00A751DF"/>
    <w:rsid w:val="00A765AC"/>
    <w:rsid w:val="00A76B25"/>
    <w:rsid w:val="00A77975"/>
    <w:rsid w:val="00A8002C"/>
    <w:rsid w:val="00A80D4E"/>
    <w:rsid w:val="00A81100"/>
    <w:rsid w:val="00A81104"/>
    <w:rsid w:val="00A83159"/>
    <w:rsid w:val="00A849C6"/>
    <w:rsid w:val="00A8615F"/>
    <w:rsid w:val="00A86557"/>
    <w:rsid w:val="00A86925"/>
    <w:rsid w:val="00A86E5C"/>
    <w:rsid w:val="00A87678"/>
    <w:rsid w:val="00A902CD"/>
    <w:rsid w:val="00A90F48"/>
    <w:rsid w:val="00A913D9"/>
    <w:rsid w:val="00A91494"/>
    <w:rsid w:val="00A92AA7"/>
    <w:rsid w:val="00A92BF2"/>
    <w:rsid w:val="00A93384"/>
    <w:rsid w:val="00A94C07"/>
    <w:rsid w:val="00AA1029"/>
    <w:rsid w:val="00AA2B29"/>
    <w:rsid w:val="00AA351A"/>
    <w:rsid w:val="00AA3CE2"/>
    <w:rsid w:val="00AA3D7F"/>
    <w:rsid w:val="00AA452E"/>
    <w:rsid w:val="00AA4C63"/>
    <w:rsid w:val="00AA4E58"/>
    <w:rsid w:val="00AA5671"/>
    <w:rsid w:val="00AA57DE"/>
    <w:rsid w:val="00AB0BA5"/>
    <w:rsid w:val="00AB4602"/>
    <w:rsid w:val="00AB4650"/>
    <w:rsid w:val="00AB52AD"/>
    <w:rsid w:val="00AB78CB"/>
    <w:rsid w:val="00AC044C"/>
    <w:rsid w:val="00AC0861"/>
    <w:rsid w:val="00AC2149"/>
    <w:rsid w:val="00AC2719"/>
    <w:rsid w:val="00AC3DDC"/>
    <w:rsid w:val="00AC44B6"/>
    <w:rsid w:val="00AC4B08"/>
    <w:rsid w:val="00AC5FFD"/>
    <w:rsid w:val="00AC6B13"/>
    <w:rsid w:val="00AC7562"/>
    <w:rsid w:val="00AC7D3B"/>
    <w:rsid w:val="00AD2034"/>
    <w:rsid w:val="00AD3FE3"/>
    <w:rsid w:val="00AD4241"/>
    <w:rsid w:val="00AD4958"/>
    <w:rsid w:val="00AD5E61"/>
    <w:rsid w:val="00AD796B"/>
    <w:rsid w:val="00AE02C1"/>
    <w:rsid w:val="00AE1ABB"/>
    <w:rsid w:val="00AE1BC8"/>
    <w:rsid w:val="00AE2B91"/>
    <w:rsid w:val="00AE716C"/>
    <w:rsid w:val="00AE7FC0"/>
    <w:rsid w:val="00AF29F3"/>
    <w:rsid w:val="00AF3C7F"/>
    <w:rsid w:val="00AF4D76"/>
    <w:rsid w:val="00AF51E8"/>
    <w:rsid w:val="00AF78C7"/>
    <w:rsid w:val="00B00829"/>
    <w:rsid w:val="00B03379"/>
    <w:rsid w:val="00B045C7"/>
    <w:rsid w:val="00B05046"/>
    <w:rsid w:val="00B116A8"/>
    <w:rsid w:val="00B11D67"/>
    <w:rsid w:val="00B144D7"/>
    <w:rsid w:val="00B14FD8"/>
    <w:rsid w:val="00B17C96"/>
    <w:rsid w:val="00B2005C"/>
    <w:rsid w:val="00B21B90"/>
    <w:rsid w:val="00B23420"/>
    <w:rsid w:val="00B252C2"/>
    <w:rsid w:val="00B26273"/>
    <w:rsid w:val="00B26553"/>
    <w:rsid w:val="00B26E34"/>
    <w:rsid w:val="00B30144"/>
    <w:rsid w:val="00B338CA"/>
    <w:rsid w:val="00B36CBF"/>
    <w:rsid w:val="00B409C4"/>
    <w:rsid w:val="00B42034"/>
    <w:rsid w:val="00B4228C"/>
    <w:rsid w:val="00B43735"/>
    <w:rsid w:val="00B44EA8"/>
    <w:rsid w:val="00B46C16"/>
    <w:rsid w:val="00B50508"/>
    <w:rsid w:val="00B524DC"/>
    <w:rsid w:val="00B55BC1"/>
    <w:rsid w:val="00B57D05"/>
    <w:rsid w:val="00B6280A"/>
    <w:rsid w:val="00B63A72"/>
    <w:rsid w:val="00B64F2A"/>
    <w:rsid w:val="00B70757"/>
    <w:rsid w:val="00B72902"/>
    <w:rsid w:val="00B80A32"/>
    <w:rsid w:val="00B81D08"/>
    <w:rsid w:val="00B831E6"/>
    <w:rsid w:val="00B8404A"/>
    <w:rsid w:val="00B84BFF"/>
    <w:rsid w:val="00B84E1B"/>
    <w:rsid w:val="00B865C7"/>
    <w:rsid w:val="00B9172D"/>
    <w:rsid w:val="00B91823"/>
    <w:rsid w:val="00B92B31"/>
    <w:rsid w:val="00B934D6"/>
    <w:rsid w:val="00B94C60"/>
    <w:rsid w:val="00B95C26"/>
    <w:rsid w:val="00B97945"/>
    <w:rsid w:val="00B97B32"/>
    <w:rsid w:val="00BA0684"/>
    <w:rsid w:val="00BA2380"/>
    <w:rsid w:val="00BA2C7C"/>
    <w:rsid w:val="00BA3792"/>
    <w:rsid w:val="00BA3AD8"/>
    <w:rsid w:val="00BA542C"/>
    <w:rsid w:val="00BA6067"/>
    <w:rsid w:val="00BB22E4"/>
    <w:rsid w:val="00BB5A66"/>
    <w:rsid w:val="00BB6445"/>
    <w:rsid w:val="00BC1065"/>
    <w:rsid w:val="00BC182B"/>
    <w:rsid w:val="00BC1D01"/>
    <w:rsid w:val="00BC21C9"/>
    <w:rsid w:val="00BC29A5"/>
    <w:rsid w:val="00BC2B0D"/>
    <w:rsid w:val="00BC45AF"/>
    <w:rsid w:val="00BC7310"/>
    <w:rsid w:val="00BD06FA"/>
    <w:rsid w:val="00BD071C"/>
    <w:rsid w:val="00BD418F"/>
    <w:rsid w:val="00BD779A"/>
    <w:rsid w:val="00BD7D5C"/>
    <w:rsid w:val="00BE24B2"/>
    <w:rsid w:val="00BE2D2C"/>
    <w:rsid w:val="00BE43F4"/>
    <w:rsid w:val="00BE514C"/>
    <w:rsid w:val="00BE54C4"/>
    <w:rsid w:val="00BE77A9"/>
    <w:rsid w:val="00BE78D1"/>
    <w:rsid w:val="00BE7F71"/>
    <w:rsid w:val="00BF073D"/>
    <w:rsid w:val="00BF12E7"/>
    <w:rsid w:val="00BF2B16"/>
    <w:rsid w:val="00BF2BC7"/>
    <w:rsid w:val="00BF4E89"/>
    <w:rsid w:val="00BF6EAE"/>
    <w:rsid w:val="00C00355"/>
    <w:rsid w:val="00C00363"/>
    <w:rsid w:val="00C004F8"/>
    <w:rsid w:val="00C0114F"/>
    <w:rsid w:val="00C059E8"/>
    <w:rsid w:val="00C06534"/>
    <w:rsid w:val="00C066CB"/>
    <w:rsid w:val="00C06ED9"/>
    <w:rsid w:val="00C105D9"/>
    <w:rsid w:val="00C1125F"/>
    <w:rsid w:val="00C122DB"/>
    <w:rsid w:val="00C12B00"/>
    <w:rsid w:val="00C1424A"/>
    <w:rsid w:val="00C14CF7"/>
    <w:rsid w:val="00C208CA"/>
    <w:rsid w:val="00C241AF"/>
    <w:rsid w:val="00C24CBA"/>
    <w:rsid w:val="00C2765A"/>
    <w:rsid w:val="00C30960"/>
    <w:rsid w:val="00C33781"/>
    <w:rsid w:val="00C348C7"/>
    <w:rsid w:val="00C367E5"/>
    <w:rsid w:val="00C3719B"/>
    <w:rsid w:val="00C40639"/>
    <w:rsid w:val="00C40A56"/>
    <w:rsid w:val="00C40C74"/>
    <w:rsid w:val="00C416DE"/>
    <w:rsid w:val="00C440A9"/>
    <w:rsid w:val="00C4461D"/>
    <w:rsid w:val="00C45594"/>
    <w:rsid w:val="00C461E5"/>
    <w:rsid w:val="00C474A3"/>
    <w:rsid w:val="00C513DC"/>
    <w:rsid w:val="00C52819"/>
    <w:rsid w:val="00C52B80"/>
    <w:rsid w:val="00C53938"/>
    <w:rsid w:val="00C54191"/>
    <w:rsid w:val="00C544D7"/>
    <w:rsid w:val="00C5471D"/>
    <w:rsid w:val="00C56CDE"/>
    <w:rsid w:val="00C61097"/>
    <w:rsid w:val="00C61343"/>
    <w:rsid w:val="00C613E4"/>
    <w:rsid w:val="00C615C8"/>
    <w:rsid w:val="00C622A6"/>
    <w:rsid w:val="00C64494"/>
    <w:rsid w:val="00C646A4"/>
    <w:rsid w:val="00C64A8C"/>
    <w:rsid w:val="00C66F93"/>
    <w:rsid w:val="00C674C0"/>
    <w:rsid w:val="00C7001D"/>
    <w:rsid w:val="00C71160"/>
    <w:rsid w:val="00C7209D"/>
    <w:rsid w:val="00C731D6"/>
    <w:rsid w:val="00C7376F"/>
    <w:rsid w:val="00C742D7"/>
    <w:rsid w:val="00C74DCD"/>
    <w:rsid w:val="00C76477"/>
    <w:rsid w:val="00C773B5"/>
    <w:rsid w:val="00C83718"/>
    <w:rsid w:val="00C8462E"/>
    <w:rsid w:val="00C86E23"/>
    <w:rsid w:val="00C87796"/>
    <w:rsid w:val="00C907F2"/>
    <w:rsid w:val="00C91AC0"/>
    <w:rsid w:val="00C91B91"/>
    <w:rsid w:val="00C9235B"/>
    <w:rsid w:val="00C93EC0"/>
    <w:rsid w:val="00C9509D"/>
    <w:rsid w:val="00C96261"/>
    <w:rsid w:val="00C96E90"/>
    <w:rsid w:val="00C97188"/>
    <w:rsid w:val="00CA0714"/>
    <w:rsid w:val="00CA0D39"/>
    <w:rsid w:val="00CA216A"/>
    <w:rsid w:val="00CA5316"/>
    <w:rsid w:val="00CA53A7"/>
    <w:rsid w:val="00CB1237"/>
    <w:rsid w:val="00CB1817"/>
    <w:rsid w:val="00CB1DC0"/>
    <w:rsid w:val="00CC02BF"/>
    <w:rsid w:val="00CC2B33"/>
    <w:rsid w:val="00CD0572"/>
    <w:rsid w:val="00CD06C9"/>
    <w:rsid w:val="00CD0BA9"/>
    <w:rsid w:val="00CD0E49"/>
    <w:rsid w:val="00CD3504"/>
    <w:rsid w:val="00CD373B"/>
    <w:rsid w:val="00CD4580"/>
    <w:rsid w:val="00CD483C"/>
    <w:rsid w:val="00CD5292"/>
    <w:rsid w:val="00CD53B8"/>
    <w:rsid w:val="00CD58C9"/>
    <w:rsid w:val="00CD6626"/>
    <w:rsid w:val="00CE1E1E"/>
    <w:rsid w:val="00CE224C"/>
    <w:rsid w:val="00CE6337"/>
    <w:rsid w:val="00CE6B81"/>
    <w:rsid w:val="00CE7F81"/>
    <w:rsid w:val="00CF0984"/>
    <w:rsid w:val="00CF35AF"/>
    <w:rsid w:val="00CF40FD"/>
    <w:rsid w:val="00CF6449"/>
    <w:rsid w:val="00CF6E72"/>
    <w:rsid w:val="00CF76AD"/>
    <w:rsid w:val="00CF7893"/>
    <w:rsid w:val="00D00DE2"/>
    <w:rsid w:val="00D028C9"/>
    <w:rsid w:val="00D02F3B"/>
    <w:rsid w:val="00D03C7A"/>
    <w:rsid w:val="00D04B9B"/>
    <w:rsid w:val="00D07DC6"/>
    <w:rsid w:val="00D10581"/>
    <w:rsid w:val="00D13B5A"/>
    <w:rsid w:val="00D14016"/>
    <w:rsid w:val="00D15713"/>
    <w:rsid w:val="00D1600D"/>
    <w:rsid w:val="00D16475"/>
    <w:rsid w:val="00D1757D"/>
    <w:rsid w:val="00D203CA"/>
    <w:rsid w:val="00D2192A"/>
    <w:rsid w:val="00D21A76"/>
    <w:rsid w:val="00D23347"/>
    <w:rsid w:val="00D243CB"/>
    <w:rsid w:val="00D279DE"/>
    <w:rsid w:val="00D30F23"/>
    <w:rsid w:val="00D3178D"/>
    <w:rsid w:val="00D32D9D"/>
    <w:rsid w:val="00D34642"/>
    <w:rsid w:val="00D362F4"/>
    <w:rsid w:val="00D40AC9"/>
    <w:rsid w:val="00D41F7D"/>
    <w:rsid w:val="00D42D2B"/>
    <w:rsid w:val="00D43014"/>
    <w:rsid w:val="00D43437"/>
    <w:rsid w:val="00D4381D"/>
    <w:rsid w:val="00D4611D"/>
    <w:rsid w:val="00D46247"/>
    <w:rsid w:val="00D46485"/>
    <w:rsid w:val="00D4687F"/>
    <w:rsid w:val="00D46DBC"/>
    <w:rsid w:val="00D47868"/>
    <w:rsid w:val="00D50611"/>
    <w:rsid w:val="00D5309A"/>
    <w:rsid w:val="00D53431"/>
    <w:rsid w:val="00D55161"/>
    <w:rsid w:val="00D55289"/>
    <w:rsid w:val="00D566F6"/>
    <w:rsid w:val="00D5674F"/>
    <w:rsid w:val="00D57E0D"/>
    <w:rsid w:val="00D600BE"/>
    <w:rsid w:val="00D604AC"/>
    <w:rsid w:val="00D60D75"/>
    <w:rsid w:val="00D62BE8"/>
    <w:rsid w:val="00D62F81"/>
    <w:rsid w:val="00D659E6"/>
    <w:rsid w:val="00D66261"/>
    <w:rsid w:val="00D66E57"/>
    <w:rsid w:val="00D67BD0"/>
    <w:rsid w:val="00D67DD3"/>
    <w:rsid w:val="00D700D2"/>
    <w:rsid w:val="00D7090A"/>
    <w:rsid w:val="00D715D5"/>
    <w:rsid w:val="00D719A3"/>
    <w:rsid w:val="00D723EB"/>
    <w:rsid w:val="00D76116"/>
    <w:rsid w:val="00D76C52"/>
    <w:rsid w:val="00D77C98"/>
    <w:rsid w:val="00D77FEF"/>
    <w:rsid w:val="00D827FB"/>
    <w:rsid w:val="00D86D9A"/>
    <w:rsid w:val="00D86FE7"/>
    <w:rsid w:val="00D927E1"/>
    <w:rsid w:val="00D93934"/>
    <w:rsid w:val="00D94F30"/>
    <w:rsid w:val="00D95543"/>
    <w:rsid w:val="00D955CD"/>
    <w:rsid w:val="00DA15E0"/>
    <w:rsid w:val="00DA1986"/>
    <w:rsid w:val="00DA2849"/>
    <w:rsid w:val="00DA2D36"/>
    <w:rsid w:val="00DA3423"/>
    <w:rsid w:val="00DA6AA2"/>
    <w:rsid w:val="00DB05E9"/>
    <w:rsid w:val="00DB2F12"/>
    <w:rsid w:val="00DC0DC9"/>
    <w:rsid w:val="00DC1403"/>
    <w:rsid w:val="00DC272A"/>
    <w:rsid w:val="00DC3253"/>
    <w:rsid w:val="00DC42C7"/>
    <w:rsid w:val="00DC5E46"/>
    <w:rsid w:val="00DC63C5"/>
    <w:rsid w:val="00DC7831"/>
    <w:rsid w:val="00DD19D1"/>
    <w:rsid w:val="00DD1C55"/>
    <w:rsid w:val="00DD30C9"/>
    <w:rsid w:val="00DD4F1C"/>
    <w:rsid w:val="00DD50A5"/>
    <w:rsid w:val="00DD617D"/>
    <w:rsid w:val="00DD6CF9"/>
    <w:rsid w:val="00DD6FEE"/>
    <w:rsid w:val="00DE1225"/>
    <w:rsid w:val="00DE1FAE"/>
    <w:rsid w:val="00DE2A8E"/>
    <w:rsid w:val="00DE2C74"/>
    <w:rsid w:val="00DE2CF9"/>
    <w:rsid w:val="00DE342C"/>
    <w:rsid w:val="00DE4DE8"/>
    <w:rsid w:val="00DE7049"/>
    <w:rsid w:val="00DE74BD"/>
    <w:rsid w:val="00DE7F03"/>
    <w:rsid w:val="00DF0BA5"/>
    <w:rsid w:val="00DF53F9"/>
    <w:rsid w:val="00DF5BFB"/>
    <w:rsid w:val="00DF62DC"/>
    <w:rsid w:val="00DF74D7"/>
    <w:rsid w:val="00DF7CF6"/>
    <w:rsid w:val="00E009BD"/>
    <w:rsid w:val="00E03360"/>
    <w:rsid w:val="00E03DE5"/>
    <w:rsid w:val="00E0491E"/>
    <w:rsid w:val="00E0495C"/>
    <w:rsid w:val="00E04CD4"/>
    <w:rsid w:val="00E058E0"/>
    <w:rsid w:val="00E05BFC"/>
    <w:rsid w:val="00E05F49"/>
    <w:rsid w:val="00E0731F"/>
    <w:rsid w:val="00E14ACB"/>
    <w:rsid w:val="00E17AEF"/>
    <w:rsid w:val="00E17E4C"/>
    <w:rsid w:val="00E20FF0"/>
    <w:rsid w:val="00E21BBD"/>
    <w:rsid w:val="00E21D07"/>
    <w:rsid w:val="00E231E4"/>
    <w:rsid w:val="00E2333F"/>
    <w:rsid w:val="00E26E79"/>
    <w:rsid w:val="00E27C48"/>
    <w:rsid w:val="00E27D30"/>
    <w:rsid w:val="00E27E07"/>
    <w:rsid w:val="00E3059C"/>
    <w:rsid w:val="00E3075E"/>
    <w:rsid w:val="00E310EB"/>
    <w:rsid w:val="00E334B7"/>
    <w:rsid w:val="00E349D4"/>
    <w:rsid w:val="00E4239D"/>
    <w:rsid w:val="00E44313"/>
    <w:rsid w:val="00E44AA6"/>
    <w:rsid w:val="00E44C70"/>
    <w:rsid w:val="00E45477"/>
    <w:rsid w:val="00E4581B"/>
    <w:rsid w:val="00E45B80"/>
    <w:rsid w:val="00E46B6F"/>
    <w:rsid w:val="00E479DF"/>
    <w:rsid w:val="00E507D3"/>
    <w:rsid w:val="00E57A11"/>
    <w:rsid w:val="00E60C9B"/>
    <w:rsid w:val="00E61815"/>
    <w:rsid w:val="00E6478D"/>
    <w:rsid w:val="00E6722E"/>
    <w:rsid w:val="00E70CAF"/>
    <w:rsid w:val="00E71364"/>
    <w:rsid w:val="00E72C51"/>
    <w:rsid w:val="00E73512"/>
    <w:rsid w:val="00E735C3"/>
    <w:rsid w:val="00E74856"/>
    <w:rsid w:val="00E75009"/>
    <w:rsid w:val="00E761B5"/>
    <w:rsid w:val="00E77974"/>
    <w:rsid w:val="00E77F44"/>
    <w:rsid w:val="00E81A2F"/>
    <w:rsid w:val="00E81F75"/>
    <w:rsid w:val="00E822A8"/>
    <w:rsid w:val="00E8282B"/>
    <w:rsid w:val="00E83E5D"/>
    <w:rsid w:val="00E84238"/>
    <w:rsid w:val="00E842F9"/>
    <w:rsid w:val="00E84809"/>
    <w:rsid w:val="00E84967"/>
    <w:rsid w:val="00E863AE"/>
    <w:rsid w:val="00E86C98"/>
    <w:rsid w:val="00E93FB3"/>
    <w:rsid w:val="00E94114"/>
    <w:rsid w:val="00E94B08"/>
    <w:rsid w:val="00EA1077"/>
    <w:rsid w:val="00EA23A6"/>
    <w:rsid w:val="00EA2706"/>
    <w:rsid w:val="00EA2F94"/>
    <w:rsid w:val="00EA4580"/>
    <w:rsid w:val="00EA6F45"/>
    <w:rsid w:val="00EA756F"/>
    <w:rsid w:val="00EB01B9"/>
    <w:rsid w:val="00EB41DF"/>
    <w:rsid w:val="00EB56A9"/>
    <w:rsid w:val="00EB6D8E"/>
    <w:rsid w:val="00EC19DF"/>
    <w:rsid w:val="00EC5D77"/>
    <w:rsid w:val="00EC651B"/>
    <w:rsid w:val="00EC6AFC"/>
    <w:rsid w:val="00EC726D"/>
    <w:rsid w:val="00EC7313"/>
    <w:rsid w:val="00EC761A"/>
    <w:rsid w:val="00EC7B60"/>
    <w:rsid w:val="00ED046E"/>
    <w:rsid w:val="00ED35FD"/>
    <w:rsid w:val="00ED4C79"/>
    <w:rsid w:val="00ED5CD7"/>
    <w:rsid w:val="00ED6A0E"/>
    <w:rsid w:val="00ED6E8A"/>
    <w:rsid w:val="00EE0BAC"/>
    <w:rsid w:val="00EE1D8F"/>
    <w:rsid w:val="00EE1F6D"/>
    <w:rsid w:val="00EE5A67"/>
    <w:rsid w:val="00EE65E4"/>
    <w:rsid w:val="00EE6760"/>
    <w:rsid w:val="00EE72E9"/>
    <w:rsid w:val="00EF0D9D"/>
    <w:rsid w:val="00EF79B3"/>
    <w:rsid w:val="00F02756"/>
    <w:rsid w:val="00F02B12"/>
    <w:rsid w:val="00F03266"/>
    <w:rsid w:val="00F04467"/>
    <w:rsid w:val="00F04643"/>
    <w:rsid w:val="00F050C4"/>
    <w:rsid w:val="00F10726"/>
    <w:rsid w:val="00F10EFE"/>
    <w:rsid w:val="00F10FD6"/>
    <w:rsid w:val="00F111C3"/>
    <w:rsid w:val="00F12247"/>
    <w:rsid w:val="00F1256B"/>
    <w:rsid w:val="00F138BA"/>
    <w:rsid w:val="00F14020"/>
    <w:rsid w:val="00F2034A"/>
    <w:rsid w:val="00F20D0F"/>
    <w:rsid w:val="00F2163F"/>
    <w:rsid w:val="00F2360D"/>
    <w:rsid w:val="00F2453C"/>
    <w:rsid w:val="00F2666E"/>
    <w:rsid w:val="00F26731"/>
    <w:rsid w:val="00F302E5"/>
    <w:rsid w:val="00F30B19"/>
    <w:rsid w:val="00F318AE"/>
    <w:rsid w:val="00F353C7"/>
    <w:rsid w:val="00F36091"/>
    <w:rsid w:val="00F401EC"/>
    <w:rsid w:val="00F41862"/>
    <w:rsid w:val="00F44B20"/>
    <w:rsid w:val="00F44E9E"/>
    <w:rsid w:val="00F451D7"/>
    <w:rsid w:val="00F47C0C"/>
    <w:rsid w:val="00F51225"/>
    <w:rsid w:val="00F51F48"/>
    <w:rsid w:val="00F52E51"/>
    <w:rsid w:val="00F53F0A"/>
    <w:rsid w:val="00F5620A"/>
    <w:rsid w:val="00F608DB"/>
    <w:rsid w:val="00F6139B"/>
    <w:rsid w:val="00F6164B"/>
    <w:rsid w:val="00F61E11"/>
    <w:rsid w:val="00F63AF0"/>
    <w:rsid w:val="00F63B4D"/>
    <w:rsid w:val="00F63CFE"/>
    <w:rsid w:val="00F650CC"/>
    <w:rsid w:val="00F656E9"/>
    <w:rsid w:val="00F6578C"/>
    <w:rsid w:val="00F6726B"/>
    <w:rsid w:val="00F70344"/>
    <w:rsid w:val="00F7051C"/>
    <w:rsid w:val="00F7072A"/>
    <w:rsid w:val="00F73728"/>
    <w:rsid w:val="00F73F2E"/>
    <w:rsid w:val="00F7490B"/>
    <w:rsid w:val="00F76F20"/>
    <w:rsid w:val="00F7745C"/>
    <w:rsid w:val="00F80164"/>
    <w:rsid w:val="00F8061F"/>
    <w:rsid w:val="00F817B8"/>
    <w:rsid w:val="00F81C0E"/>
    <w:rsid w:val="00F85022"/>
    <w:rsid w:val="00F85F99"/>
    <w:rsid w:val="00F869EE"/>
    <w:rsid w:val="00F92C69"/>
    <w:rsid w:val="00F93862"/>
    <w:rsid w:val="00F943B9"/>
    <w:rsid w:val="00F95385"/>
    <w:rsid w:val="00F955B0"/>
    <w:rsid w:val="00F9574E"/>
    <w:rsid w:val="00F95BF6"/>
    <w:rsid w:val="00F9636D"/>
    <w:rsid w:val="00FA0DAE"/>
    <w:rsid w:val="00FA2233"/>
    <w:rsid w:val="00FA2DE5"/>
    <w:rsid w:val="00FA2F7B"/>
    <w:rsid w:val="00FA3592"/>
    <w:rsid w:val="00FA379C"/>
    <w:rsid w:val="00FA3B73"/>
    <w:rsid w:val="00FA4FDA"/>
    <w:rsid w:val="00FA6592"/>
    <w:rsid w:val="00FA758E"/>
    <w:rsid w:val="00FA7B1A"/>
    <w:rsid w:val="00FB14FA"/>
    <w:rsid w:val="00FB3171"/>
    <w:rsid w:val="00FB4A7E"/>
    <w:rsid w:val="00FB655F"/>
    <w:rsid w:val="00FC18FA"/>
    <w:rsid w:val="00FC37F7"/>
    <w:rsid w:val="00FC3B55"/>
    <w:rsid w:val="00FC5AE3"/>
    <w:rsid w:val="00FC64B5"/>
    <w:rsid w:val="00FC6A9C"/>
    <w:rsid w:val="00FC6BF3"/>
    <w:rsid w:val="00FD0F31"/>
    <w:rsid w:val="00FD1ECA"/>
    <w:rsid w:val="00FD2BA0"/>
    <w:rsid w:val="00FD3623"/>
    <w:rsid w:val="00FD3B8B"/>
    <w:rsid w:val="00FD4785"/>
    <w:rsid w:val="00FD4BAA"/>
    <w:rsid w:val="00FD6784"/>
    <w:rsid w:val="00FD7913"/>
    <w:rsid w:val="00FE1358"/>
    <w:rsid w:val="00FE3EC3"/>
    <w:rsid w:val="00FE4028"/>
    <w:rsid w:val="00FE4635"/>
    <w:rsid w:val="00FE5861"/>
    <w:rsid w:val="00FE5DF8"/>
    <w:rsid w:val="00FF03F8"/>
    <w:rsid w:val="00FF1805"/>
    <w:rsid w:val="00FF561E"/>
    <w:rsid w:val="00FF6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3E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noProof/>
      <w:sz w:val="20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50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03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36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6AF"/>
    <w:rPr>
      <w:rFonts w:ascii="Lucida Grande" w:eastAsia="Times New Roman" w:hAnsi="Lucida Grande" w:cs="Lucida Grande"/>
      <w:noProof/>
      <w:sz w:val="18"/>
      <w:szCs w:val="18"/>
      <w:lang w:val="en-AU"/>
    </w:rPr>
  </w:style>
  <w:style w:type="character" w:styleId="Hyperlink">
    <w:name w:val="Hyperlink"/>
    <w:basedOn w:val="DefaultParagraphFont"/>
    <w:uiPriority w:val="99"/>
    <w:unhideWhenUsed/>
    <w:rsid w:val="007D4AE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3523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rsid w:val="00B865C7"/>
    <w:pPr>
      <w:jc w:val="center"/>
    </w:pPr>
    <w:rPr>
      <w:lang w:val="fr-FR"/>
    </w:rPr>
  </w:style>
  <w:style w:type="paragraph" w:customStyle="1" w:styleId="EndNoteBibliography">
    <w:name w:val="EndNote Bibliography"/>
    <w:basedOn w:val="Normal"/>
    <w:rsid w:val="00B865C7"/>
    <w:rPr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E073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31F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31F"/>
    <w:rPr>
      <w:rFonts w:ascii="Times New Roman" w:eastAsia="Times New Roman" w:hAnsi="Times New Roman" w:cs="Times New Roman"/>
      <w:noProof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31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31F"/>
    <w:rPr>
      <w:rFonts w:ascii="Times New Roman" w:eastAsia="Times New Roman" w:hAnsi="Times New Roman" w:cs="Times New Roman"/>
      <w:b/>
      <w:bCs/>
      <w:noProof/>
      <w:sz w:val="20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5046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6B6C72"/>
  </w:style>
  <w:style w:type="paragraph" w:styleId="Footer">
    <w:name w:val="footer"/>
    <w:basedOn w:val="Normal"/>
    <w:link w:val="FooterChar"/>
    <w:uiPriority w:val="99"/>
    <w:unhideWhenUsed/>
    <w:rsid w:val="00F7490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90B"/>
    <w:rPr>
      <w:rFonts w:ascii="Times New Roman" w:eastAsia="Times New Roman" w:hAnsi="Times New Roman" w:cs="Times New Roman"/>
      <w:noProof/>
      <w:sz w:val="20"/>
      <w:szCs w:val="20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749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3E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noProof/>
      <w:sz w:val="20"/>
      <w:szCs w:val="20"/>
      <w:lang w:val="en-AU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050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80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936A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36AF"/>
    <w:rPr>
      <w:rFonts w:ascii="Lucida Grande" w:eastAsia="Times New Roman" w:hAnsi="Lucida Grande" w:cs="Lucida Grande"/>
      <w:noProof/>
      <w:sz w:val="18"/>
      <w:szCs w:val="18"/>
      <w:lang w:val="en-AU"/>
    </w:rPr>
  </w:style>
  <w:style w:type="character" w:styleId="Lienhypertexte">
    <w:name w:val="Hyperlink"/>
    <w:basedOn w:val="Policepardfaut"/>
    <w:uiPriority w:val="99"/>
    <w:unhideWhenUsed/>
    <w:rsid w:val="007D4AE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C3523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rsid w:val="00B865C7"/>
    <w:pPr>
      <w:jc w:val="center"/>
    </w:pPr>
    <w:rPr>
      <w:lang w:val="fr-FR"/>
    </w:rPr>
  </w:style>
  <w:style w:type="paragraph" w:customStyle="1" w:styleId="EndNoteBibliography">
    <w:name w:val="EndNote Bibliography"/>
    <w:basedOn w:val="Normal"/>
    <w:rsid w:val="00B865C7"/>
    <w:rPr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0731F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731F"/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731F"/>
    <w:rPr>
      <w:rFonts w:ascii="Times New Roman" w:eastAsia="Times New Roman" w:hAnsi="Times New Roman" w:cs="Times New Roman"/>
      <w:noProof/>
      <w:lang w:val="en-AU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731F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731F"/>
    <w:rPr>
      <w:rFonts w:ascii="Times New Roman" w:eastAsia="Times New Roman" w:hAnsi="Times New Roman" w:cs="Times New Roman"/>
      <w:b/>
      <w:bCs/>
      <w:noProof/>
      <w:sz w:val="20"/>
      <w:szCs w:val="20"/>
      <w:lang w:val="en-AU"/>
    </w:rPr>
  </w:style>
  <w:style w:type="character" w:customStyle="1" w:styleId="Titre2Car">
    <w:name w:val="Titre 2 Car"/>
    <w:basedOn w:val="Policepardfaut"/>
    <w:link w:val="Titre2"/>
    <w:uiPriority w:val="9"/>
    <w:semiHidden/>
    <w:rsid w:val="00B05046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en-AU"/>
    </w:rPr>
  </w:style>
  <w:style w:type="character" w:styleId="Numrodeligne">
    <w:name w:val="line number"/>
    <w:basedOn w:val="Policepardfaut"/>
    <w:uiPriority w:val="99"/>
    <w:semiHidden/>
    <w:unhideWhenUsed/>
    <w:rsid w:val="006B6C72"/>
  </w:style>
  <w:style w:type="paragraph" w:styleId="Pieddepage">
    <w:name w:val="footer"/>
    <w:basedOn w:val="Normal"/>
    <w:link w:val="PieddepageCar"/>
    <w:uiPriority w:val="99"/>
    <w:unhideWhenUsed/>
    <w:rsid w:val="00F7490B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490B"/>
    <w:rPr>
      <w:rFonts w:ascii="Times New Roman" w:eastAsia="Times New Roman" w:hAnsi="Times New Roman" w:cs="Times New Roman"/>
      <w:noProof/>
      <w:sz w:val="20"/>
      <w:szCs w:val="20"/>
      <w:lang w:val="en-AU"/>
    </w:rPr>
  </w:style>
  <w:style w:type="character" w:styleId="Numrodepage">
    <w:name w:val="page number"/>
    <w:basedOn w:val="Policepardfaut"/>
    <w:uiPriority w:val="99"/>
    <w:semiHidden/>
    <w:unhideWhenUsed/>
    <w:rsid w:val="00F749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0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1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0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4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0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3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4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Hôpital Bichat</Company>
  <LinksUpToDate>false</LinksUpToDate>
  <CharactersWithSpaces>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 Mohammedi</dc:creator>
  <cp:lastModifiedBy>0013358</cp:lastModifiedBy>
  <cp:revision>6</cp:revision>
  <dcterms:created xsi:type="dcterms:W3CDTF">2017-07-17T14:03:00Z</dcterms:created>
  <dcterms:modified xsi:type="dcterms:W3CDTF">2017-07-22T11:12:00Z</dcterms:modified>
</cp:coreProperties>
</file>