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B6" w:rsidRPr="0091204E" w:rsidRDefault="0091204E" w:rsidP="0091204E">
      <w:pPr>
        <w:spacing w:line="480" w:lineRule="auto"/>
        <w:rPr>
          <w:rFonts w:ascii="Helvetica" w:hAnsi="Helvetica"/>
          <w:sz w:val="22"/>
          <w:szCs w:val="22"/>
        </w:rPr>
      </w:pPr>
      <w:r w:rsidRPr="0091204E">
        <w:rPr>
          <w:rFonts w:ascii="Helvetica" w:hAnsi="Helvetica"/>
          <w:sz w:val="22"/>
          <w:szCs w:val="22"/>
        </w:rPr>
        <w:t xml:space="preserve">Table </w:t>
      </w:r>
      <w:r w:rsidR="00272153">
        <w:rPr>
          <w:rFonts w:ascii="Helvetica" w:hAnsi="Helvetica"/>
          <w:sz w:val="22"/>
          <w:szCs w:val="22"/>
        </w:rPr>
        <w:t>S</w:t>
      </w:r>
      <w:r w:rsidRPr="0091204E">
        <w:rPr>
          <w:rFonts w:ascii="Helvetica" w:hAnsi="Helvetica"/>
          <w:sz w:val="22"/>
          <w:szCs w:val="22"/>
        </w:rPr>
        <w:t>2: Cox multivariate analysis for the risk of minor amputation after exclusion of patients with CKD defined by eGFR&lt; 30ml/min/1.73m2 or renal replacement therapy necessity (n= 91)</w:t>
      </w:r>
    </w:p>
    <w:p w:rsidR="00C875B6" w:rsidRDefault="00C875B6" w:rsidP="00BF2F0E">
      <w:pPr>
        <w:rPr>
          <w:sz w:val="20"/>
          <w:szCs w:val="20"/>
        </w:rPr>
      </w:pPr>
    </w:p>
    <w:tbl>
      <w:tblPr>
        <w:tblStyle w:val="LightShading"/>
        <w:tblpPr w:leftFromText="141" w:rightFromText="141" w:vertAnchor="page" w:horzAnchor="page" w:tblpX="986" w:tblpY="3038"/>
        <w:tblW w:w="5778" w:type="pct"/>
        <w:tblLayout w:type="fixed"/>
        <w:tblLook w:val="04A0"/>
      </w:tblPr>
      <w:tblGrid>
        <w:gridCol w:w="4111"/>
        <w:gridCol w:w="2005"/>
        <w:gridCol w:w="1067"/>
        <w:gridCol w:w="268"/>
        <w:gridCol w:w="2230"/>
        <w:gridCol w:w="1052"/>
      </w:tblGrid>
      <w:tr w:rsidR="0091204E" w:rsidRPr="0091204E" w:rsidTr="0091204E">
        <w:trPr>
          <w:cnfStyle w:val="100000000000"/>
          <w:trHeight w:val="441"/>
        </w:trPr>
        <w:tc>
          <w:tcPr>
            <w:cnfStyle w:val="001000000000"/>
            <w:tcW w:w="1915" w:type="pct"/>
            <w:vMerge w:val="restart"/>
            <w:tcBorders>
              <w:top w:val="single" w:sz="18" w:space="0" w:color="auto"/>
            </w:tcBorders>
          </w:tcPr>
          <w:p w:rsidR="0091204E" w:rsidRPr="0091204E" w:rsidRDefault="0091204E" w:rsidP="0091204E">
            <w:pPr>
              <w:pStyle w:val="Styledetableau2"/>
              <w:rPr>
                <w:lang w:val="en-US"/>
              </w:rPr>
            </w:pPr>
          </w:p>
        </w:tc>
        <w:tc>
          <w:tcPr>
            <w:tcW w:w="934" w:type="pct"/>
            <w:tcBorders>
              <w:top w:val="single" w:sz="18" w:space="0" w:color="auto"/>
              <w:bottom w:val="single" w:sz="18" w:space="0" w:color="auto"/>
            </w:tcBorders>
          </w:tcPr>
          <w:p w:rsidR="0091204E" w:rsidRPr="0091204E" w:rsidRDefault="0091204E" w:rsidP="0091204E">
            <w:pPr>
              <w:cnfStyle w:val="100000000000"/>
              <w:rPr>
                <w:rFonts w:ascii="Helvetica" w:hAnsi="Helvetica"/>
                <w:sz w:val="20"/>
                <w:szCs w:val="20"/>
              </w:rPr>
            </w:pPr>
            <w:r w:rsidRPr="0091204E">
              <w:rPr>
                <w:rFonts w:ascii="Helvetica" w:hAnsi="Helvetica"/>
                <w:sz w:val="20"/>
                <w:szCs w:val="20"/>
              </w:rPr>
              <w:t>Maximal Model</w:t>
            </w:r>
          </w:p>
        </w:tc>
        <w:tc>
          <w:tcPr>
            <w:tcW w:w="497" w:type="pct"/>
            <w:tcBorders>
              <w:top w:val="single" w:sz="18" w:space="0" w:color="auto"/>
              <w:bottom w:val="single" w:sz="18" w:space="0" w:color="auto"/>
            </w:tcBorders>
          </w:tcPr>
          <w:p w:rsidR="0091204E" w:rsidRPr="0091204E" w:rsidRDefault="0091204E" w:rsidP="0091204E">
            <w:pPr>
              <w:cnfStyle w:val="10000000000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" w:type="pct"/>
            <w:vMerge w:val="restart"/>
            <w:tcBorders>
              <w:top w:val="single" w:sz="18" w:space="0" w:color="auto"/>
            </w:tcBorders>
          </w:tcPr>
          <w:p w:rsidR="0091204E" w:rsidRPr="0091204E" w:rsidRDefault="0091204E" w:rsidP="0091204E">
            <w:pPr>
              <w:cnfStyle w:val="10000000000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18" w:space="0" w:color="auto"/>
              <w:bottom w:val="single" w:sz="18" w:space="0" w:color="auto"/>
            </w:tcBorders>
          </w:tcPr>
          <w:p w:rsidR="0091204E" w:rsidRPr="0091204E" w:rsidRDefault="0091204E" w:rsidP="0091204E">
            <w:pPr>
              <w:cnfStyle w:val="100000000000"/>
              <w:rPr>
                <w:rFonts w:ascii="Helvetica" w:hAnsi="Helvetica"/>
                <w:sz w:val="20"/>
                <w:szCs w:val="20"/>
              </w:rPr>
            </w:pPr>
            <w:r w:rsidRPr="0091204E">
              <w:rPr>
                <w:rFonts w:ascii="Helvetica" w:hAnsi="Helvetica"/>
                <w:sz w:val="20"/>
                <w:szCs w:val="20"/>
              </w:rPr>
              <w:t xml:space="preserve">Final Model </w:t>
            </w:r>
          </w:p>
        </w:tc>
        <w:tc>
          <w:tcPr>
            <w:tcW w:w="490" w:type="pct"/>
            <w:tcBorders>
              <w:top w:val="single" w:sz="18" w:space="0" w:color="auto"/>
              <w:bottom w:val="single" w:sz="18" w:space="0" w:color="auto"/>
            </w:tcBorders>
          </w:tcPr>
          <w:p w:rsidR="0091204E" w:rsidRPr="0091204E" w:rsidRDefault="0091204E" w:rsidP="0091204E">
            <w:pPr>
              <w:cnfStyle w:val="100000000000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91204E" w:rsidRPr="0091204E" w:rsidTr="0091204E">
        <w:trPr>
          <w:cnfStyle w:val="000000100000"/>
          <w:trHeight w:val="441"/>
        </w:trPr>
        <w:tc>
          <w:tcPr>
            <w:cnfStyle w:val="001000000000"/>
            <w:tcW w:w="1915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91204E" w:rsidRPr="0091204E" w:rsidRDefault="0091204E" w:rsidP="0091204E">
            <w:pPr>
              <w:pStyle w:val="Styledetableau2"/>
            </w:pPr>
          </w:p>
        </w:tc>
        <w:tc>
          <w:tcPr>
            <w:tcW w:w="93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91204E" w:rsidRPr="0091204E" w:rsidRDefault="0091204E" w:rsidP="0091204E">
            <w:pPr>
              <w:cnfStyle w:val="000000100000"/>
              <w:rPr>
                <w:rFonts w:ascii="Helvetica" w:hAnsi="Helvetica"/>
                <w:sz w:val="20"/>
                <w:szCs w:val="20"/>
              </w:rPr>
            </w:pPr>
            <w:r w:rsidRPr="0091204E">
              <w:rPr>
                <w:rFonts w:ascii="Helvetica" w:hAnsi="Helvetica"/>
                <w:sz w:val="20"/>
                <w:szCs w:val="20"/>
              </w:rPr>
              <w:t>HR (95% CI)</w:t>
            </w:r>
          </w:p>
        </w:tc>
        <w:tc>
          <w:tcPr>
            <w:tcW w:w="49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91204E" w:rsidRPr="0091204E" w:rsidRDefault="0091204E" w:rsidP="0091204E">
            <w:pPr>
              <w:cnfStyle w:val="000000100000"/>
              <w:rPr>
                <w:rFonts w:ascii="Helvetica" w:hAnsi="Helvetica"/>
                <w:sz w:val="20"/>
                <w:szCs w:val="20"/>
              </w:rPr>
            </w:pPr>
            <w:r w:rsidRPr="0091204E">
              <w:rPr>
                <w:rFonts w:ascii="Helvetica" w:hAnsi="Helvetica"/>
                <w:sz w:val="20"/>
                <w:szCs w:val="20"/>
              </w:rPr>
              <w:t xml:space="preserve"> </w:t>
            </w:r>
            <w:r w:rsidRPr="0091204E">
              <w:rPr>
                <w:rFonts w:ascii="Helvetica" w:hAnsi="Helvetica"/>
                <w:i/>
                <w:sz w:val="20"/>
                <w:szCs w:val="20"/>
              </w:rPr>
              <w:t xml:space="preserve">p </w:t>
            </w:r>
            <w:r w:rsidRPr="0091204E">
              <w:rPr>
                <w:rFonts w:ascii="Helvetica" w:hAnsi="Helvetica"/>
                <w:sz w:val="20"/>
                <w:szCs w:val="20"/>
              </w:rPr>
              <w:t>value</w:t>
            </w:r>
          </w:p>
        </w:tc>
        <w:tc>
          <w:tcPr>
            <w:tcW w:w="125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91204E" w:rsidRPr="0091204E" w:rsidRDefault="0091204E" w:rsidP="0091204E">
            <w:pPr>
              <w:cnfStyle w:val="00000010000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91204E" w:rsidRPr="0091204E" w:rsidRDefault="0091204E" w:rsidP="0091204E">
            <w:pPr>
              <w:cnfStyle w:val="000000100000"/>
              <w:rPr>
                <w:rFonts w:ascii="Helvetica" w:hAnsi="Helvetica"/>
                <w:sz w:val="20"/>
                <w:szCs w:val="20"/>
              </w:rPr>
            </w:pPr>
            <w:r w:rsidRPr="0091204E">
              <w:rPr>
                <w:rFonts w:ascii="Helvetica" w:hAnsi="Helvetica"/>
                <w:sz w:val="20"/>
                <w:szCs w:val="20"/>
              </w:rPr>
              <w:t>HR (95% CI)</w:t>
            </w:r>
          </w:p>
        </w:tc>
        <w:tc>
          <w:tcPr>
            <w:tcW w:w="49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91204E" w:rsidRPr="0091204E" w:rsidRDefault="0091204E" w:rsidP="0091204E">
            <w:pPr>
              <w:cnfStyle w:val="000000100000"/>
              <w:rPr>
                <w:rFonts w:ascii="Helvetica" w:hAnsi="Helvetica"/>
                <w:sz w:val="20"/>
                <w:szCs w:val="20"/>
              </w:rPr>
            </w:pPr>
            <w:r w:rsidRPr="0091204E">
              <w:rPr>
                <w:rFonts w:ascii="Helvetica" w:hAnsi="Helvetica"/>
                <w:i/>
                <w:sz w:val="20"/>
                <w:szCs w:val="20"/>
              </w:rPr>
              <w:t>p</w:t>
            </w:r>
            <w:r w:rsidRPr="0091204E">
              <w:rPr>
                <w:rFonts w:ascii="Helvetica" w:hAnsi="Helvetica"/>
                <w:sz w:val="20"/>
                <w:szCs w:val="20"/>
              </w:rPr>
              <w:t xml:space="preserve"> value</w:t>
            </w:r>
          </w:p>
        </w:tc>
      </w:tr>
      <w:tr w:rsidR="0091204E" w:rsidRPr="0091204E" w:rsidTr="0091204E">
        <w:trPr>
          <w:trHeight w:val="441"/>
        </w:trPr>
        <w:tc>
          <w:tcPr>
            <w:cnfStyle w:val="001000000000"/>
            <w:tcW w:w="1915" w:type="pct"/>
            <w:tcBorders>
              <w:top w:val="single" w:sz="18" w:space="0" w:color="auto"/>
              <w:bottom w:val="nil"/>
            </w:tcBorders>
          </w:tcPr>
          <w:p w:rsidR="0091204E" w:rsidRPr="0091204E" w:rsidRDefault="0091204E" w:rsidP="0091204E">
            <w:pPr>
              <w:pStyle w:val="Styledetableau2"/>
            </w:pPr>
            <w:r w:rsidRPr="0091204E">
              <w:rPr>
                <w:rFonts w:eastAsia="Arial Unicode MS" w:cs="Arial Unicode MS"/>
              </w:rPr>
              <w:t>Sex (ref. women)</w:t>
            </w:r>
          </w:p>
        </w:tc>
        <w:tc>
          <w:tcPr>
            <w:tcW w:w="934" w:type="pct"/>
            <w:tcBorders>
              <w:top w:val="single" w:sz="18" w:space="0" w:color="auto"/>
              <w:bottom w:val="nil"/>
            </w:tcBorders>
          </w:tcPr>
          <w:p w:rsidR="0091204E" w:rsidRPr="0091204E" w:rsidRDefault="0091204E" w:rsidP="0091204E">
            <w:pPr>
              <w:pStyle w:val="Styledetableau2"/>
              <w:cnfStyle w:val="000000000000"/>
            </w:pPr>
            <w:r w:rsidRPr="0091204E">
              <w:rPr>
                <w:rFonts w:eastAsia="Arial Unicode MS" w:cs="Arial Unicode MS"/>
              </w:rPr>
              <w:t>7.44 (1.70-32.45)</w:t>
            </w:r>
          </w:p>
        </w:tc>
        <w:tc>
          <w:tcPr>
            <w:tcW w:w="497" w:type="pct"/>
            <w:tcBorders>
              <w:top w:val="single" w:sz="18" w:space="0" w:color="auto"/>
              <w:bottom w:val="nil"/>
            </w:tcBorders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0.0076</w:t>
            </w:r>
          </w:p>
        </w:tc>
        <w:tc>
          <w:tcPr>
            <w:tcW w:w="125" w:type="pct"/>
            <w:tcBorders>
              <w:top w:val="single" w:sz="18" w:space="0" w:color="auto"/>
              <w:bottom w:val="nil"/>
            </w:tcBorders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  <w:tc>
          <w:tcPr>
            <w:tcW w:w="1039" w:type="pct"/>
            <w:tcBorders>
              <w:top w:val="single" w:sz="18" w:space="0" w:color="auto"/>
              <w:bottom w:val="nil"/>
            </w:tcBorders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8.22 (1.94-34.81)</w:t>
            </w:r>
          </w:p>
        </w:tc>
        <w:tc>
          <w:tcPr>
            <w:tcW w:w="490" w:type="pct"/>
            <w:tcBorders>
              <w:top w:val="single" w:sz="18" w:space="0" w:color="auto"/>
              <w:bottom w:val="nil"/>
            </w:tcBorders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b/>
              </w:rPr>
            </w:pPr>
            <w:r w:rsidRPr="0091204E">
              <w:rPr>
                <w:rFonts w:eastAsia="Arial Unicode MS" w:cs="Arial Unicode MS"/>
                <w:b/>
              </w:rPr>
              <w:t>0.0042</w:t>
            </w:r>
          </w:p>
        </w:tc>
      </w:tr>
      <w:tr w:rsidR="0091204E" w:rsidRPr="0091204E" w:rsidTr="0091204E">
        <w:trPr>
          <w:cnfStyle w:val="000000100000"/>
          <w:trHeight w:val="441"/>
        </w:trPr>
        <w:tc>
          <w:tcPr>
            <w:cnfStyle w:val="001000000000"/>
            <w:tcW w:w="1915" w:type="pct"/>
            <w:tcBorders>
              <w:top w:val="nil"/>
            </w:tcBorders>
            <w:shd w:val="clear" w:color="auto" w:fill="auto"/>
          </w:tcPr>
          <w:p w:rsidR="0091204E" w:rsidRPr="0091204E" w:rsidRDefault="0091204E" w:rsidP="0091204E">
            <w:pPr>
              <w:pStyle w:val="Styledetableau2"/>
            </w:pPr>
            <w:r w:rsidRPr="0091204E">
              <w:rPr>
                <w:rFonts w:eastAsia="Arial Unicode MS" w:cs="Arial Unicode MS"/>
              </w:rPr>
              <w:t xml:space="preserve">SBP (mmHg) </w:t>
            </w:r>
          </w:p>
        </w:tc>
        <w:tc>
          <w:tcPr>
            <w:tcW w:w="934" w:type="pct"/>
            <w:tcBorders>
              <w:top w:val="nil"/>
            </w:tcBorders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</w:pPr>
            <w:r w:rsidRPr="0091204E">
              <w:rPr>
                <w:rFonts w:eastAsia="Arial Unicode MS" w:cs="Arial Unicode MS"/>
              </w:rPr>
              <w:t>1.02 (0.99-1.04)</w:t>
            </w:r>
          </w:p>
        </w:tc>
        <w:tc>
          <w:tcPr>
            <w:tcW w:w="497" w:type="pct"/>
            <w:tcBorders>
              <w:top w:val="nil"/>
            </w:tcBorders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0.089</w:t>
            </w:r>
          </w:p>
        </w:tc>
        <w:tc>
          <w:tcPr>
            <w:tcW w:w="125" w:type="pct"/>
            <w:tcBorders>
              <w:top w:val="nil"/>
            </w:tcBorders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</w:p>
        </w:tc>
        <w:tc>
          <w:tcPr>
            <w:tcW w:w="1039" w:type="pct"/>
            <w:tcBorders>
              <w:top w:val="nil"/>
            </w:tcBorders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1.01 (1.00-1.03</w:t>
            </w:r>
          </w:p>
        </w:tc>
        <w:tc>
          <w:tcPr>
            <w:tcW w:w="490" w:type="pct"/>
            <w:tcBorders>
              <w:top w:val="nil"/>
            </w:tcBorders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  <w:b/>
              </w:rPr>
              <w:t>0.043</w:t>
            </w:r>
          </w:p>
        </w:tc>
      </w:tr>
      <w:tr w:rsidR="0091204E" w:rsidRPr="0091204E" w:rsidTr="0091204E">
        <w:trPr>
          <w:trHeight w:val="441"/>
        </w:trPr>
        <w:tc>
          <w:tcPr>
            <w:cnfStyle w:val="001000000000"/>
            <w:tcW w:w="1915" w:type="pct"/>
          </w:tcPr>
          <w:p w:rsidR="0091204E" w:rsidRPr="0091204E" w:rsidRDefault="0091204E" w:rsidP="0091204E">
            <w:pPr>
              <w:pStyle w:val="Styledetableau2"/>
            </w:pPr>
            <w:r w:rsidRPr="0091204E">
              <w:rPr>
                <w:rFonts w:eastAsia="Arial Unicode MS" w:cs="Arial Unicode MS"/>
              </w:rPr>
              <w:t xml:space="preserve">DBP (mmHg) </w:t>
            </w:r>
          </w:p>
        </w:tc>
        <w:tc>
          <w:tcPr>
            <w:tcW w:w="934" w:type="pct"/>
          </w:tcPr>
          <w:p w:rsidR="0091204E" w:rsidRPr="0091204E" w:rsidRDefault="0091204E" w:rsidP="0091204E">
            <w:pPr>
              <w:pStyle w:val="Styledetableau2"/>
              <w:cnfStyle w:val="000000000000"/>
            </w:pPr>
            <w:r w:rsidRPr="0091204E">
              <w:rPr>
                <w:rFonts w:eastAsia="Arial Unicode MS" w:cs="Arial Unicode MS"/>
              </w:rPr>
              <w:t>1.00 (0.96-1.05)</w:t>
            </w:r>
          </w:p>
        </w:tc>
        <w:tc>
          <w:tcPr>
            <w:tcW w:w="497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0.816</w:t>
            </w:r>
          </w:p>
        </w:tc>
        <w:tc>
          <w:tcPr>
            <w:tcW w:w="125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  <w:tc>
          <w:tcPr>
            <w:tcW w:w="1039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  <w:tc>
          <w:tcPr>
            <w:tcW w:w="490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b/>
              </w:rPr>
            </w:pPr>
          </w:p>
        </w:tc>
      </w:tr>
      <w:tr w:rsidR="0091204E" w:rsidRPr="0091204E" w:rsidTr="0091204E">
        <w:trPr>
          <w:cnfStyle w:val="000000100000"/>
          <w:trHeight w:val="441"/>
        </w:trPr>
        <w:tc>
          <w:tcPr>
            <w:cnfStyle w:val="001000000000"/>
            <w:tcW w:w="1915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rPr>
                <w:lang w:val="en-US"/>
              </w:rPr>
            </w:pPr>
            <w:r w:rsidRPr="0091204E">
              <w:rPr>
                <w:lang w:val="en-US"/>
              </w:rPr>
              <w:t>uACR (reference &lt; 3 mg/mmol)</w:t>
            </w:r>
            <w:r w:rsidRPr="0091204E">
              <w:rPr>
                <w:vertAlign w:val="superscript"/>
                <w:lang w:val="en-US"/>
              </w:rPr>
              <w:t>+</w:t>
            </w:r>
          </w:p>
        </w:tc>
        <w:tc>
          <w:tcPr>
            <w:tcW w:w="934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lang w:val="en-US"/>
              </w:rPr>
            </w:pPr>
          </w:p>
        </w:tc>
        <w:tc>
          <w:tcPr>
            <w:tcW w:w="497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  <w:r w:rsidRPr="0091204E">
              <w:rPr>
                <w:rFonts w:eastAsia="Arial Unicode MS" w:cs="Arial Unicode MS"/>
                <w:lang w:val="en-US"/>
              </w:rPr>
              <w:t>0.638</w:t>
            </w:r>
          </w:p>
        </w:tc>
        <w:tc>
          <w:tcPr>
            <w:tcW w:w="125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1039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490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</w:tr>
      <w:tr w:rsidR="0091204E" w:rsidRPr="0091204E" w:rsidTr="0091204E">
        <w:trPr>
          <w:trHeight w:val="441"/>
        </w:trPr>
        <w:tc>
          <w:tcPr>
            <w:cnfStyle w:val="001000000000"/>
            <w:tcW w:w="1915" w:type="pct"/>
          </w:tcPr>
          <w:p w:rsidR="0091204E" w:rsidRPr="0091204E" w:rsidRDefault="0091204E" w:rsidP="0091204E">
            <w:pPr>
              <w:pStyle w:val="Styledetableau2"/>
              <w:jc w:val="center"/>
              <w:rPr>
                <w:lang w:val="en-US"/>
              </w:rPr>
            </w:pPr>
            <w:r w:rsidRPr="0091204E">
              <w:rPr>
                <w:lang w:val="en-US"/>
              </w:rPr>
              <w:t>3-30</w:t>
            </w:r>
          </w:p>
        </w:tc>
        <w:tc>
          <w:tcPr>
            <w:tcW w:w="934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lang w:val="en-US"/>
              </w:rPr>
            </w:pPr>
            <w:r w:rsidRPr="0091204E">
              <w:rPr>
                <w:lang w:val="en-US"/>
              </w:rPr>
              <w:t>1.22 (0.43-3.46)</w:t>
            </w:r>
          </w:p>
        </w:tc>
        <w:tc>
          <w:tcPr>
            <w:tcW w:w="497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125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1039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490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</w:p>
        </w:tc>
      </w:tr>
      <w:tr w:rsidR="0091204E" w:rsidRPr="0091204E" w:rsidTr="0091204E">
        <w:trPr>
          <w:cnfStyle w:val="000000100000"/>
          <w:trHeight w:val="441"/>
        </w:trPr>
        <w:tc>
          <w:tcPr>
            <w:cnfStyle w:val="001000000000"/>
            <w:tcW w:w="1915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jc w:val="center"/>
              <w:rPr>
                <w:lang w:val="en-US"/>
              </w:rPr>
            </w:pPr>
            <w:r w:rsidRPr="0091204E">
              <w:rPr>
                <w:lang w:val="en-US"/>
              </w:rPr>
              <w:t>&gt; 30</w:t>
            </w:r>
          </w:p>
        </w:tc>
        <w:tc>
          <w:tcPr>
            <w:tcW w:w="934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lang w:val="en-US"/>
              </w:rPr>
            </w:pPr>
            <w:r w:rsidRPr="0091204E">
              <w:rPr>
                <w:lang w:val="en-US"/>
              </w:rPr>
              <w:t>0.75 (0.22-2.51)</w:t>
            </w:r>
          </w:p>
        </w:tc>
        <w:tc>
          <w:tcPr>
            <w:tcW w:w="497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125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1039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490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  <w:lang w:val="en-US"/>
              </w:rPr>
            </w:pPr>
          </w:p>
        </w:tc>
      </w:tr>
      <w:tr w:rsidR="0091204E" w:rsidRPr="0091204E" w:rsidTr="0091204E">
        <w:trPr>
          <w:trHeight w:val="441"/>
        </w:trPr>
        <w:tc>
          <w:tcPr>
            <w:cnfStyle w:val="001000000000"/>
            <w:tcW w:w="1915" w:type="pct"/>
          </w:tcPr>
          <w:p w:rsidR="0091204E" w:rsidRPr="0091204E" w:rsidRDefault="0091204E" w:rsidP="0091204E">
            <w:pPr>
              <w:pStyle w:val="Styledetableau2"/>
              <w:rPr>
                <w:lang w:val="en-US"/>
              </w:rPr>
            </w:pPr>
            <w:r w:rsidRPr="0091204E">
              <w:rPr>
                <w:lang w:val="en-US"/>
              </w:rPr>
              <w:t>Severe diabetic retinopathy (vs.no)</w:t>
            </w:r>
          </w:p>
        </w:tc>
        <w:tc>
          <w:tcPr>
            <w:tcW w:w="934" w:type="pct"/>
          </w:tcPr>
          <w:p w:rsidR="0091204E" w:rsidRPr="0091204E" w:rsidRDefault="0091204E" w:rsidP="0091204E">
            <w:pPr>
              <w:pStyle w:val="Styledetableau2"/>
              <w:cnfStyle w:val="000000000000"/>
            </w:pPr>
            <w:r w:rsidRPr="0091204E">
              <w:rPr>
                <w:rFonts w:eastAsia="Arial Unicode MS" w:cs="Arial Unicode MS"/>
              </w:rPr>
              <w:t>4.05 (1.57-10.42)</w:t>
            </w:r>
          </w:p>
        </w:tc>
        <w:tc>
          <w:tcPr>
            <w:tcW w:w="497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0.0038</w:t>
            </w:r>
          </w:p>
        </w:tc>
        <w:tc>
          <w:tcPr>
            <w:tcW w:w="125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  <w:tc>
          <w:tcPr>
            <w:tcW w:w="1039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2.89 (1.36-6.15)</w:t>
            </w:r>
          </w:p>
        </w:tc>
        <w:tc>
          <w:tcPr>
            <w:tcW w:w="490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b/>
              </w:rPr>
            </w:pPr>
            <w:r w:rsidRPr="0091204E">
              <w:rPr>
                <w:rFonts w:eastAsia="Arial Unicode MS" w:cs="Arial Unicode MS"/>
                <w:b/>
              </w:rPr>
              <w:t>0.005</w:t>
            </w:r>
          </w:p>
        </w:tc>
      </w:tr>
      <w:tr w:rsidR="0091204E" w:rsidRPr="0091204E" w:rsidTr="0091204E">
        <w:trPr>
          <w:cnfStyle w:val="000000100000"/>
          <w:trHeight w:val="441"/>
        </w:trPr>
        <w:tc>
          <w:tcPr>
            <w:cnfStyle w:val="001000000000"/>
            <w:tcW w:w="1915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</w:pPr>
            <w:r w:rsidRPr="0091204E">
              <w:t>Macular edema (vs. no)</w:t>
            </w:r>
          </w:p>
        </w:tc>
        <w:tc>
          <w:tcPr>
            <w:tcW w:w="934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1.14 (0.42-3.11)</w:t>
            </w:r>
          </w:p>
        </w:tc>
        <w:tc>
          <w:tcPr>
            <w:tcW w:w="497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0.792</w:t>
            </w:r>
          </w:p>
        </w:tc>
        <w:tc>
          <w:tcPr>
            <w:tcW w:w="125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</w:p>
        </w:tc>
        <w:tc>
          <w:tcPr>
            <w:tcW w:w="1039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</w:p>
        </w:tc>
        <w:tc>
          <w:tcPr>
            <w:tcW w:w="490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</w:p>
        </w:tc>
      </w:tr>
      <w:tr w:rsidR="0091204E" w:rsidRPr="0091204E" w:rsidTr="0091204E">
        <w:trPr>
          <w:trHeight w:val="441"/>
        </w:trPr>
        <w:tc>
          <w:tcPr>
            <w:cnfStyle w:val="001000000000"/>
            <w:tcW w:w="1915" w:type="pct"/>
          </w:tcPr>
          <w:p w:rsidR="0091204E" w:rsidRPr="0091204E" w:rsidRDefault="0091204E" w:rsidP="0091204E">
            <w:pPr>
              <w:pStyle w:val="Styledetableau2"/>
              <w:rPr>
                <w:lang w:val="en-US"/>
              </w:rPr>
            </w:pPr>
            <w:r w:rsidRPr="0091204E">
              <w:rPr>
                <w:rFonts w:eastAsia="Arial Unicode MS" w:cs="Arial Unicode MS"/>
                <w:lang w:val="en-US"/>
              </w:rPr>
              <w:t>History of PAD (vs. no)</w:t>
            </w:r>
          </w:p>
        </w:tc>
        <w:tc>
          <w:tcPr>
            <w:tcW w:w="934" w:type="pct"/>
          </w:tcPr>
          <w:p w:rsidR="0091204E" w:rsidRPr="0091204E" w:rsidRDefault="0091204E" w:rsidP="0091204E">
            <w:pPr>
              <w:pStyle w:val="Styledetableau2"/>
              <w:cnfStyle w:val="000000000000"/>
            </w:pPr>
            <w:r w:rsidRPr="0091204E">
              <w:rPr>
                <w:rFonts w:eastAsia="Arial Unicode MS" w:cs="Arial Unicode MS"/>
              </w:rPr>
              <w:t xml:space="preserve">4.67 (2.04-10.69)                            </w:t>
            </w:r>
          </w:p>
        </w:tc>
        <w:tc>
          <w:tcPr>
            <w:tcW w:w="497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0.0003</w:t>
            </w:r>
          </w:p>
        </w:tc>
        <w:tc>
          <w:tcPr>
            <w:tcW w:w="125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</w:p>
        </w:tc>
        <w:tc>
          <w:tcPr>
            <w:tcW w:w="1039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3.44 (1.55-7.60)</w:t>
            </w:r>
          </w:p>
        </w:tc>
        <w:tc>
          <w:tcPr>
            <w:tcW w:w="490" w:type="pct"/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b/>
              </w:rPr>
            </w:pPr>
            <w:r w:rsidRPr="0091204E">
              <w:rPr>
                <w:rFonts w:eastAsia="Arial Unicode MS" w:cs="Arial Unicode MS"/>
                <w:b/>
              </w:rPr>
              <w:t>0.0023</w:t>
            </w:r>
          </w:p>
        </w:tc>
      </w:tr>
      <w:tr w:rsidR="0091204E" w:rsidRPr="0091204E" w:rsidTr="0091204E">
        <w:trPr>
          <w:cnfStyle w:val="000000100000"/>
          <w:trHeight w:val="441"/>
        </w:trPr>
        <w:tc>
          <w:tcPr>
            <w:cnfStyle w:val="001000000000"/>
            <w:tcW w:w="1915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rPr>
                <w:lang w:val="en-US"/>
              </w:rPr>
            </w:pPr>
            <w:r w:rsidRPr="0091204E">
              <w:rPr>
                <w:rFonts w:eastAsia="Arial Unicode MS" w:cs="Arial Unicode MS"/>
                <w:lang w:val="en-US"/>
              </w:rPr>
              <w:t xml:space="preserve">TNFR1 (per 10 log pg/ml) </w:t>
            </w:r>
          </w:p>
        </w:tc>
        <w:tc>
          <w:tcPr>
            <w:tcW w:w="934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</w:pPr>
            <w:r w:rsidRPr="0091204E">
              <w:t>1.66 (1.14-2.43)</w:t>
            </w:r>
          </w:p>
        </w:tc>
        <w:tc>
          <w:tcPr>
            <w:tcW w:w="497" w:type="pct"/>
            <w:shd w:val="clear" w:color="auto" w:fill="auto"/>
          </w:tcPr>
          <w:p w:rsidR="0091204E" w:rsidRPr="0091204E" w:rsidRDefault="0091204E" w:rsidP="0091204E">
            <w:pPr>
              <w:pStyle w:val="Styledetableau2"/>
              <w:cnfStyle w:val="000000100000"/>
              <w:rPr>
                <w:rFonts w:eastAsia="Arial Unicode MS" w:cs="Arial Unicode MS"/>
              </w:rPr>
            </w:pPr>
            <w:r w:rsidRPr="0091204E">
              <w:rPr>
                <w:rFonts w:eastAsia="Arial Unicode MS" w:cs="Arial Unicode MS"/>
              </w:rPr>
              <w:t>0.008</w:t>
            </w:r>
          </w:p>
        </w:tc>
        <w:tc>
          <w:tcPr>
            <w:tcW w:w="125" w:type="pct"/>
            <w:shd w:val="clear" w:color="auto" w:fill="auto"/>
          </w:tcPr>
          <w:p w:rsidR="0091204E" w:rsidRPr="0091204E" w:rsidRDefault="0091204E" w:rsidP="0091204E">
            <w:pPr>
              <w:cnfStyle w:val="000000100000"/>
              <w:rPr>
                <w:rFonts w:ascii="Helvetica" w:hAnsi="Helvetica" w:cs="Helvetica"/>
                <w:sz w:val="20"/>
                <w:szCs w:val="20"/>
                <w:lang w:val="fr-FR"/>
              </w:rPr>
            </w:pPr>
          </w:p>
        </w:tc>
        <w:tc>
          <w:tcPr>
            <w:tcW w:w="1039" w:type="pct"/>
            <w:shd w:val="clear" w:color="auto" w:fill="auto"/>
          </w:tcPr>
          <w:p w:rsidR="0091204E" w:rsidRPr="0091204E" w:rsidRDefault="0091204E" w:rsidP="0091204E">
            <w:pPr>
              <w:cnfStyle w:val="000000100000"/>
              <w:rPr>
                <w:rFonts w:ascii="Helvetica" w:hAnsi="Helvetica" w:cs="Helvetica"/>
                <w:sz w:val="20"/>
                <w:szCs w:val="20"/>
              </w:rPr>
            </w:pPr>
            <w:r w:rsidRPr="0091204E">
              <w:rPr>
                <w:rFonts w:ascii="Helvetica" w:hAnsi="Helvetica" w:cs="Helvetica"/>
                <w:sz w:val="20"/>
                <w:szCs w:val="20"/>
              </w:rPr>
              <w:t>1.57 (1.21-2.04)</w:t>
            </w:r>
          </w:p>
        </w:tc>
        <w:tc>
          <w:tcPr>
            <w:tcW w:w="490" w:type="pct"/>
            <w:shd w:val="clear" w:color="auto" w:fill="auto"/>
          </w:tcPr>
          <w:p w:rsidR="0091204E" w:rsidRPr="0091204E" w:rsidRDefault="0091204E" w:rsidP="0091204E">
            <w:pPr>
              <w:cnfStyle w:val="00000010000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91204E">
              <w:rPr>
                <w:rFonts w:ascii="Helvetica" w:hAnsi="Helvetica" w:cs="Helvetica"/>
                <w:b/>
                <w:sz w:val="20"/>
                <w:szCs w:val="20"/>
              </w:rPr>
              <w:t>0.0006</w:t>
            </w:r>
          </w:p>
        </w:tc>
      </w:tr>
      <w:tr w:rsidR="0091204E" w:rsidRPr="0091204E" w:rsidTr="0091204E">
        <w:trPr>
          <w:trHeight w:val="441"/>
        </w:trPr>
        <w:tc>
          <w:tcPr>
            <w:cnfStyle w:val="001000000000"/>
            <w:tcW w:w="1915" w:type="pct"/>
            <w:tcBorders>
              <w:bottom w:val="single" w:sz="18" w:space="0" w:color="auto"/>
            </w:tcBorders>
          </w:tcPr>
          <w:p w:rsidR="0091204E" w:rsidRPr="0091204E" w:rsidRDefault="0091204E" w:rsidP="0091204E">
            <w:pPr>
              <w:pStyle w:val="Styledetableau2"/>
              <w:rPr>
                <w:rFonts w:eastAsia="Arial Unicode MS" w:cs="Arial Unicode MS"/>
                <w:lang w:val="en-US"/>
              </w:rPr>
            </w:pPr>
            <w:r w:rsidRPr="0091204E">
              <w:rPr>
                <w:rFonts w:eastAsia="Arial Unicode MS" w:cs="Arial Unicode MS"/>
                <w:lang w:val="en-US"/>
              </w:rPr>
              <w:t>ANGPTL2 (per 10 log ng/ml)</w:t>
            </w:r>
          </w:p>
        </w:tc>
        <w:tc>
          <w:tcPr>
            <w:tcW w:w="934" w:type="pct"/>
            <w:tcBorders>
              <w:bottom w:val="single" w:sz="18" w:space="0" w:color="auto"/>
            </w:tcBorders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  <w:r w:rsidRPr="0091204E">
              <w:rPr>
                <w:rFonts w:eastAsia="Arial Unicode MS" w:cs="Arial Unicode MS"/>
                <w:lang w:val="en-US"/>
              </w:rPr>
              <w:t>1.14 (0.91-1.43)</w:t>
            </w:r>
          </w:p>
        </w:tc>
        <w:tc>
          <w:tcPr>
            <w:tcW w:w="497" w:type="pct"/>
            <w:tcBorders>
              <w:bottom w:val="single" w:sz="18" w:space="0" w:color="auto"/>
            </w:tcBorders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  <w:r w:rsidRPr="0091204E">
              <w:rPr>
                <w:rFonts w:eastAsia="Arial Unicode MS" w:cs="Arial Unicode MS"/>
                <w:lang w:val="en-US"/>
              </w:rPr>
              <w:t>0.247</w:t>
            </w:r>
          </w:p>
        </w:tc>
        <w:tc>
          <w:tcPr>
            <w:tcW w:w="125" w:type="pct"/>
            <w:tcBorders>
              <w:bottom w:val="single" w:sz="18" w:space="0" w:color="auto"/>
            </w:tcBorders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1039" w:type="pct"/>
            <w:tcBorders>
              <w:bottom w:val="single" w:sz="18" w:space="0" w:color="auto"/>
            </w:tcBorders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</w:p>
        </w:tc>
        <w:tc>
          <w:tcPr>
            <w:tcW w:w="490" w:type="pct"/>
            <w:tcBorders>
              <w:bottom w:val="single" w:sz="18" w:space="0" w:color="auto"/>
            </w:tcBorders>
          </w:tcPr>
          <w:p w:rsidR="0091204E" w:rsidRPr="0091204E" w:rsidRDefault="0091204E" w:rsidP="0091204E">
            <w:pPr>
              <w:pStyle w:val="Styledetableau2"/>
              <w:cnfStyle w:val="000000000000"/>
              <w:rPr>
                <w:rFonts w:eastAsia="Arial Unicode MS" w:cs="Arial Unicode MS"/>
                <w:lang w:val="en-US"/>
              </w:rPr>
            </w:pPr>
          </w:p>
        </w:tc>
      </w:tr>
    </w:tbl>
    <w:p w:rsidR="00BF2F0E" w:rsidRPr="00172CE3" w:rsidRDefault="00C875B6" w:rsidP="00BF2F0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1204E" w:rsidRDefault="0091204E" w:rsidP="0091204E">
      <w:pPr>
        <w:pStyle w:val="Corps"/>
        <w:spacing w:line="480" w:lineRule="auto"/>
        <w:rPr>
          <w:lang w:val="en-US"/>
        </w:rPr>
      </w:pPr>
      <w:bookmarkStart w:id="0" w:name="_GoBack"/>
      <w:r>
        <w:rPr>
          <w:lang w:val="en-US"/>
        </w:rPr>
        <w:t xml:space="preserve">Variables associated with minor amputation at </w:t>
      </w:r>
      <w:r>
        <w:rPr>
          <w:i/>
          <w:iCs/>
          <w:lang w:val="en-US"/>
        </w:rPr>
        <w:t>P</w:t>
      </w:r>
      <w:r>
        <w:rPr>
          <w:lang w:val="en-US"/>
        </w:rPr>
        <w:t xml:space="preserve">&lt; 0.05 in the univariate Cox model were selected for the multivariate ‘maximal model’. The ‘final model’ was determined using multiple backward stepwise regression analysis applied to the ‘maximal model’. Boldface data indicate </w:t>
      </w:r>
      <w:r>
        <w:rPr>
          <w:i/>
          <w:iCs/>
          <w:lang w:val="en-US"/>
        </w:rPr>
        <w:t xml:space="preserve">P </w:t>
      </w:r>
      <w:r>
        <w:rPr>
          <w:lang w:val="en-US"/>
        </w:rPr>
        <w:t>values below the statistical significance threshold</w:t>
      </w:r>
    </w:p>
    <w:p w:rsidR="0091204E" w:rsidRDefault="0091204E" w:rsidP="0091204E">
      <w:pPr>
        <w:pStyle w:val="Corps"/>
        <w:spacing w:line="480" w:lineRule="auto"/>
        <w:rPr>
          <w:lang w:val="en-US"/>
        </w:rPr>
      </w:pPr>
      <w:r>
        <w:rPr>
          <w:lang w:val="en-US"/>
        </w:rPr>
        <w:t xml:space="preserve"> SBP: Systolic Blood Pressure. DBP: Diastolic Blood Pressure. PAD: Peripheral Artery Disease. uACR: urinary Albumin-to-Creatinine Ratio</w:t>
      </w:r>
    </w:p>
    <w:p w:rsidR="0091204E" w:rsidRDefault="0091204E" w:rsidP="0091204E">
      <w:pPr>
        <w:pStyle w:val="Corps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Missing data at baseline for 149 patients</w:t>
      </w:r>
    </w:p>
    <w:bookmarkEnd w:id="0"/>
    <w:p w:rsidR="0091204E" w:rsidRDefault="0091204E"/>
    <w:sectPr w:rsidR="0091204E" w:rsidSect="00D82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+"/>
      <w:lvlJc w:val="left"/>
      <w:pPr>
        <w:tabs>
          <w:tab w:val="num" w:pos="0"/>
        </w:tabs>
        <w:ind w:left="180" w:hanging="180"/>
      </w:pPr>
      <w:rPr>
        <w:rFonts w:ascii="Times New Roman" w:hAnsi="Times New Roman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hyphenationZone w:val="425"/>
  <w:characterSpacingControl w:val="doNotCompress"/>
  <w:compat>
    <w:useFELayout/>
  </w:compat>
  <w:rsids>
    <w:rsidRoot w:val="00BF2F0E"/>
    <w:rsid w:val="00065F68"/>
    <w:rsid w:val="00172CE3"/>
    <w:rsid w:val="00194CDB"/>
    <w:rsid w:val="001C3908"/>
    <w:rsid w:val="00272153"/>
    <w:rsid w:val="005953DC"/>
    <w:rsid w:val="005C1BE9"/>
    <w:rsid w:val="00685077"/>
    <w:rsid w:val="006C5A8B"/>
    <w:rsid w:val="007C5B51"/>
    <w:rsid w:val="008037D8"/>
    <w:rsid w:val="00811B9F"/>
    <w:rsid w:val="0091204E"/>
    <w:rsid w:val="009C7FA4"/>
    <w:rsid w:val="00A97512"/>
    <w:rsid w:val="00B70E4F"/>
    <w:rsid w:val="00BA0C0A"/>
    <w:rsid w:val="00BF12FF"/>
    <w:rsid w:val="00BF2F0E"/>
    <w:rsid w:val="00C53CBA"/>
    <w:rsid w:val="00C875B6"/>
    <w:rsid w:val="00E944E8"/>
    <w:rsid w:val="00EB6D22"/>
    <w:rsid w:val="00F25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F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detableau2">
    <w:name w:val="Style de tableau 2"/>
    <w:rsid w:val="00BF2F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styleId="LightShading">
    <w:name w:val="Light Shading"/>
    <w:basedOn w:val="TableNormal"/>
    <w:uiPriority w:val="60"/>
    <w:rsid w:val="00BF2F0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orps">
    <w:name w:val="Corps"/>
    <w:rsid w:val="0091204E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F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detableau2">
    <w:name w:val="Style de tableau 2"/>
    <w:rsid w:val="00BF2F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styleId="LightShading">
    <w:name w:val="Light Shading"/>
    <w:basedOn w:val="TableNormal"/>
    <w:uiPriority w:val="60"/>
    <w:rsid w:val="00BF2F0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schneider</dc:creator>
  <cp:keywords/>
  <dc:description/>
  <cp:lastModifiedBy>0013357</cp:lastModifiedBy>
  <cp:revision>3</cp:revision>
  <dcterms:created xsi:type="dcterms:W3CDTF">2018-03-15T16:32:00Z</dcterms:created>
  <dcterms:modified xsi:type="dcterms:W3CDTF">2018-05-28T14:05:00Z</dcterms:modified>
</cp:coreProperties>
</file>